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media/rId23.png" ContentType="image/png"/>
  <Override PartName="/word/media/rId62.png" ContentType="image/png"/>
  <Override PartName="/word/media/rId26.png" ContentType="image/png"/>
  <Override PartName="/word/media/rId67.png" ContentType="image/png"/>
  <Override PartName="/word/media/rId69.png" ContentType="image/png"/>
  <Override PartName="/word/media/rId59.png" ContentType="image/png"/>
  <Override PartName="/word/media/rId33.png" ContentType="image/png"/>
  <Override PartName="/word/media/rId37.png" ContentType="image/png"/>
  <Override PartName="/word/media/rId24.png" ContentType="image/png"/>
  <Override PartName="/word/media/rId64.png" ContentType="image/png"/>
  <Override PartName="/word/media/rId53.png" ContentType="image/png"/>
  <Override PartName="/word/media/rId55.png" ContentType="image/png"/>
  <Override PartName="/word/media/rId3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7.png" ContentType="image/png"/>
  <Override PartName="/word/media/rId30.png" ContentType="image/png"/>
  <Override PartName="/word/media/rId34.png" ContentType="image/png"/>
  <Override PartName="/word/media/rId35.png" ContentType="image/png"/>
  <Override PartName="/word/media/rId36.png" ContentType="image/png"/>
  <Override PartName="/word/media/rId40.png" ContentType="image/png"/>
  <Override PartName="/word/media/rId41.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3.png" ContentType="image/png"/>
  <Override PartName="/word/media/image12.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Interní</w:t>
      </w:r>
      <w:r>
        <w:t xml:space="preserve"> </w:t>
      </w:r>
      <w:r>
        <w:t xml:space="preserve">draft</w:t>
      </w:r>
    </w:p>
    <w:p>
      <w:pPr>
        <w:pStyle w:val="Date"/>
      </w:pPr>
      <w:r>
        <w:t xml:space="preserve">12/2021</w:t>
      </w:r>
    </w:p>
    <w:sdt>
      <w:sdtPr>
        <w:docPartObj>
          <w:docPartGallery w:val="Table of Contents"/>
          <w:docPartUnique/>
        </w:docPartObj>
      </w:sdtPr>
      <w:sdtContent>
        <w:p>
          <w:pPr>
            <w:pStyle w:val="TOCHeading"/>
          </w:pPr>
          <w:r>
            <w:t xml:space="preserve">Obsah</w:t>
          </w:r>
        </w:p>
        <w:p>
          <w:r>
            <w:fldChar w:fldCharType="begin" w:dirty="true"/>
            <w:instrText xml:space="preserve">TOC \o "1-1" \h \z \u</w:instrText>
            <w:fldChar w:fldCharType="separate"/>
            <w:fldChar w:fldCharType="end"/>
          </w:r>
        </w:p>
      </w:sdtContent>
    </w:sdt>
    <w:bookmarkStart w:id="20" w:name="shrnutí"/>
    <w:p>
      <w:pPr>
        <w:pStyle w:val="Heading1"/>
      </w:pPr>
      <w:r>
        <w:t xml:space="preserve">Shrnutí</w:t>
      </w:r>
    </w:p>
    <w:bookmarkEnd w:id="20"/>
    <w:bookmarkStart w:id="22" w:name="úvod"/>
    <w:p>
      <w:pPr>
        <w:pStyle w:val="Heading1"/>
      </w:pPr>
      <w:r>
        <w:t xml:space="preserve">Úvod</w:t>
      </w:r>
    </w:p>
    <w:p>
      <w:pPr>
        <w:pStyle w:val="FirstParagraph"/>
      </w:pPr>
      <w:r>
        <w:t xml:space="preserve">Hi</w:t>
      </w:r>
    </w:p>
    <w:p>
      <w:pPr>
        <w:pStyle w:val="BodyText"/>
      </w:pPr>
      <w:r>
        <w:t xml:space="preserve">Evropské strukturální a investiční fondy (ESI fondy) tvoří podstatnou část veřejných výdajů. Cílem této studie je zmapovat, ve kterých oblastech výdajů státního rozpočtu hrají ESI fondy největší roli a jak se jejich podíl na výdajích vyvíjí od roku 2015.</w:t>
      </w:r>
    </w:p>
    <w:p>
      <w:pPr>
        <w:pStyle w:val="BodyText"/>
      </w:pPr>
      <w:r>
        <w:t xml:space="preserve">Tato studie navazuje na studii MMR z roku 2017</w:t>
      </w:r>
      <w:r>
        <w:t xml:space="preserve"> </w:t>
      </w:r>
      <w:r>
        <w:t xml:space="preserve">(</w:t>
      </w:r>
      <w:hyperlink w:anchor="X8ee745528ca71583fc1de04ae4dcf660c40ff21">
        <w:r>
          <w:rPr>
            <w:rStyle w:val="Hyperlink"/>
          </w:rPr>
          <w:t xml:space="preserve">Ministerstvo pro místní rozvoj 2017</w:t>
        </w:r>
      </w:hyperlink>
      <w:r>
        <w:t xml:space="preserve">)</w:t>
      </w:r>
      <w:r>
        <w:t xml:space="preserve">. Od předchozí studie se přístup liší ve dvou rozměrech:</w:t>
      </w:r>
    </w:p>
    <w:p>
      <w:pPr>
        <w:numPr>
          <w:ilvl w:val="0"/>
          <w:numId w:val="1001"/>
        </w:numPr>
        <w:pStyle w:val="Compact"/>
      </w:pPr>
      <w:r>
        <w:t xml:space="preserve">omezujeme se pouze na státní rozpočet, tj. nezabýváme se rozpočty samospráv a státních fondů</w:t>
      </w:r>
    </w:p>
    <w:p>
      <w:pPr>
        <w:numPr>
          <w:ilvl w:val="0"/>
          <w:numId w:val="1001"/>
        </w:numPr>
        <w:pStyle w:val="Compact"/>
      </w:pPr>
      <w:r>
        <w:t xml:space="preserve">pokrýváme veškeré výdaje státního rozpočtu, tj. narozdíl od studie z roku 2017 nevylujučujeme z analýzy celkových výdajů oblasti, kde ESI fondy nehrají výraznou roli (např. mandatorní výdaje)</w:t>
      </w:r>
    </w:p>
    <w:p>
      <w:pPr>
        <w:pStyle w:val="FirstParagraph"/>
      </w:pPr>
      <w:r>
        <w:t xml:space="preserve">Z toho důvodu bohužel nejsou údaje mezi studiemi srovnatelné, tj. nelze z nich sestavit souvislou časovou řadu období 2008-15 a 2015-20. Pro alespoň částečné srovnání ale v příloze uvádíme alternativní verzi výpočtů, která kopíruje množinu veřejných výdajů analyzovanou ve studii z roku 2017. Ani tím ale nedokážeme ale zajistit srovnatelnost celkových výsledků, protože data o podílu ESI fondů nejdou v období 2015-20 přímo dostupná pro výdaje samospráv a státních fondů.</w:t>
      </w:r>
    </w:p>
    <w:bookmarkStart w:id="21" w:name="metody-a-zdroje-dat"/>
    <w:p>
      <w:pPr>
        <w:pStyle w:val="Heading2"/>
      </w:pPr>
      <w:r>
        <w:t xml:space="preserve">Metody a zdroje dat</w:t>
      </w:r>
    </w:p>
    <w:p>
      <w:pPr>
        <w:pStyle w:val="FirstParagraph"/>
      </w:pPr>
      <w:r>
        <w:t xml:space="preserve">K analýze využíváme otevřená data z Monitoru Státní pokladny a analyzujeme je podle existujících třídění rozpočtové skladby, kde nejpodstatnější jsou třídění druhové (na nejvyšší úrovni dělí výdaje na běžné a kapitálové) a třídění odvětvové (tzv. paragrafy a jejich skupiny odpovídající oblastem veřejných politik.)</w:t>
      </w:r>
    </w:p>
    <w:p>
      <w:pPr>
        <w:pStyle w:val="BodyText"/>
      </w:pPr>
      <w:r>
        <w:t xml:space="preserve">Výdaje financované z ESI fondů identifikujeme ve zdrojovém třídění a započítáváme do nich všechny typy výdajů spojené s jednotlivými operačními programy. Nezahrnujeme naopak tzv. Norské a EEA fondy. Detaily jsou uvedeny v příloze.</w:t>
      </w:r>
    </w:p>
    <w:bookmarkEnd w:id="21"/>
    <w:bookmarkEnd w:id="22"/>
    <w:bookmarkStart w:id="25" w:name="celkové-výdaje"/>
    <w:p>
      <w:pPr>
        <w:pStyle w:val="Heading1"/>
      </w:pPr>
      <w:r>
        <w:t xml:space="preserve">Celkové výdaje</w:t>
      </w:r>
    </w:p>
    <w:p>
      <w:pPr>
        <w:pStyle w:val="FirstParagraph"/>
      </w:pPr>
      <w:r>
        <w:t xml:space="preserve">Výdaje státního rozpočtu v roce 2020 byly 1 843 mld. Kč, z toho 123 mld. Kč činily ESI fondy. Jak ukazuje graf</w:t>
      </w:r>
      <w:r>
        <w:t xml:space="preserve"> </w:t>
      </w:r>
      <w:r>
        <w:t xml:space="preserve">1</w:t>
      </w:r>
      <w:r>
        <w:t xml:space="preserve">, u celkových výdajů jde o nárůst z roku 2015 (1 297 mld. Kč), kdy ale následkem dobíhajícího programového období 2007-13 hrály ESI fondy větší roli (162 mld. Kč).</w:t>
      </w:r>
    </w:p>
    <w:p>
      <w:pPr>
        <w:pStyle w:val="CaptionedFigure"/>
      </w:pPr>
      <w:r>
        <w:drawing>
          <wp:inline>
            <wp:extent cx="5613400" cy="2588035"/>
            <wp:effectExtent b="0" l="0" r="0" t="0"/>
            <wp:docPr descr="Graf 1: Celkové výdaje" title="" id="1" name="Picture"/>
            <a:graphic>
              <a:graphicData uri="http://schemas.openxmlformats.org/drawingml/2006/picture">
                <pic:pic>
                  <pic:nvPicPr>
                    <pic:cNvPr descr="s_analyza_files/figure-docx/plot-abs-1.png" id="0" name="Picture"/>
                    <pic:cNvPicPr>
                      <a:picLocks noChangeArrowheads="1" noChangeAspect="1"/>
                    </pic:cNvPicPr>
                  </pic:nvPicPr>
                  <pic:blipFill>
                    <a:blip r:embed="rId23"/>
                    <a:stretch>
                      <a:fillRect/>
                    </a:stretch>
                  </pic:blipFill>
                  <pic:spPr bwMode="auto">
                    <a:xfrm>
                      <a:off x="0" y="0"/>
                      <a:ext cx="5613400" cy="2588035"/>
                    </a:xfrm>
                    <a:prstGeom prst="rect">
                      <a:avLst/>
                    </a:prstGeom>
                    <a:noFill/>
                    <a:ln w="9525">
                      <a:noFill/>
                      <a:headEnd/>
                      <a:tailEnd/>
                    </a:ln>
                  </pic:spPr>
                </pic:pic>
              </a:graphicData>
            </a:graphic>
          </wp:inline>
        </w:drawing>
      </w:r>
    </w:p>
    <w:p>
      <w:pPr>
        <w:pStyle w:val="ImageCaption"/>
      </w:pPr>
      <w:r>
        <w:t xml:space="preserve">Graf 1: Celkové výdaje</w:t>
      </w:r>
    </w:p>
    <w:p>
      <w:pPr>
        <w:pStyle w:val="CaptionedFigure"/>
      </w:pPr>
      <w:r>
        <w:drawing>
          <wp:inline>
            <wp:extent cx="5613400" cy="2588035"/>
            <wp:effectExtent b="0" l="0" r="0" t="0"/>
            <wp:docPr descr="Graf 2: Podíl na celkových výdajích" title="" id="1" name="Picture"/>
            <a:graphic>
              <a:graphicData uri="http://schemas.openxmlformats.org/drawingml/2006/picture">
                <pic:pic>
                  <pic:nvPicPr>
                    <pic:cNvPr descr="s_analyza_files/figure-docx/plot-perc-1.png" id="0" name="Picture"/>
                    <pic:cNvPicPr>
                      <a:picLocks noChangeArrowheads="1" noChangeAspect="1"/>
                    </pic:cNvPicPr>
                  </pic:nvPicPr>
                  <pic:blipFill>
                    <a:blip r:embed="rId24"/>
                    <a:stretch>
                      <a:fillRect/>
                    </a:stretch>
                  </pic:blipFill>
                  <pic:spPr bwMode="auto">
                    <a:xfrm>
                      <a:off x="0" y="0"/>
                      <a:ext cx="5613400" cy="2588035"/>
                    </a:xfrm>
                    <a:prstGeom prst="rect">
                      <a:avLst/>
                    </a:prstGeom>
                    <a:noFill/>
                    <a:ln w="9525">
                      <a:noFill/>
                      <a:headEnd/>
                      <a:tailEnd/>
                    </a:ln>
                  </pic:spPr>
                </pic:pic>
              </a:graphicData>
            </a:graphic>
          </wp:inline>
        </w:drawing>
      </w:r>
    </w:p>
    <w:p>
      <w:pPr>
        <w:pStyle w:val="ImageCaption"/>
      </w:pPr>
      <w:r>
        <w:t xml:space="preserve">Graf 2: Podíl na celkových výdajích</w:t>
      </w:r>
    </w:p>
    <w:bookmarkEnd w:id="25"/>
    <w:bookmarkStart w:id="29" w:name="běžné-a-kapitálové"/>
    <w:p>
      <w:pPr>
        <w:pStyle w:val="Heading1"/>
      </w:pPr>
      <w:r>
        <w:t xml:space="preserve">Běžné a kapitálové</w:t>
      </w:r>
    </w:p>
    <w:bookmarkStart w:id="28" w:name="celý-státní-rozpočet"/>
    <w:p>
      <w:pPr>
        <w:pStyle w:val="Heading2"/>
      </w:pPr>
      <w:r>
        <w:t xml:space="preserve">Celý státní rozpočet</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bezkap-abs-1.png" id="0" name="Picture"/>
                    <pic:cNvPicPr>
                      <a:picLocks noChangeArrowheads="1" noChangeAspect="1"/>
                    </pic:cNvPicPr>
                  </pic:nvPicPr>
                  <pic:blipFill>
                    <a:blip r:embed="rId26"/>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3-1.png" id="0" name="Picture"/>
                    <pic:cNvPicPr>
                      <a:picLocks noChangeArrowheads="1" noChangeAspect="1"/>
                    </pic:cNvPicPr>
                  </pic:nvPicPr>
                  <pic:blipFill>
                    <a:blip r:embed="rId27"/>
                    <a:stretch>
                      <a:fillRect/>
                    </a:stretch>
                  </pic:blipFill>
                  <pic:spPr bwMode="auto">
                    <a:xfrm>
                      <a:off x="0" y="0"/>
                      <a:ext cx="5613400" cy="3450713"/>
                    </a:xfrm>
                    <a:prstGeom prst="rect">
                      <a:avLst/>
                    </a:prstGeom>
                    <a:noFill/>
                    <a:ln w="9525">
                      <a:noFill/>
                      <a:headEnd/>
                      <a:tailEnd/>
                    </a:ln>
                  </pic:spPr>
                </pic:pic>
              </a:graphicData>
            </a:graphic>
          </wp:inline>
        </w:drawing>
      </w:r>
    </w:p>
    <w:bookmarkEnd w:id="28"/>
    <w:bookmarkEnd w:id="29"/>
    <w:bookmarkStart w:id="61" w:name="odvětvové-členění"/>
    <w:p>
      <w:pPr>
        <w:pStyle w:val="Heading1"/>
      </w:pPr>
      <w:r>
        <w:t xml:space="preserve">Odvětvové členění</w:t>
      </w:r>
    </w:p>
    <w:bookmarkStart w:id="32" w:name="skupiny"/>
    <w:p>
      <w:pPr>
        <w:pStyle w:val="Heading2"/>
      </w:pPr>
      <w:r>
        <w:t xml:space="preserve">Skupiny</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unnamed-chunk-4-1.png" id="0" name="Picture"/>
                    <pic:cNvPicPr>
                      <a:picLocks noChangeArrowheads="1" noChangeAspect="1"/>
                    </pic:cNvPicPr>
                  </pic:nvPicPr>
                  <pic:blipFill>
                    <a:blip r:embed="rId30"/>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plot-skup-podil-1.png" id="0" name="Picture"/>
                    <pic:cNvPicPr>
                      <a:picLocks noChangeArrowheads="1" noChangeAspect="1"/>
                    </pic:cNvPicPr>
                  </pic:nvPicPr>
                  <pic:blipFill>
                    <a:blip r:embed="rId31"/>
                    <a:stretch>
                      <a:fillRect/>
                    </a:stretch>
                  </pic:blipFill>
                  <pic:spPr bwMode="auto">
                    <a:xfrm>
                      <a:off x="0" y="0"/>
                      <a:ext cx="5613400" cy="3450713"/>
                    </a:xfrm>
                    <a:prstGeom prst="rect">
                      <a:avLst/>
                    </a:prstGeom>
                    <a:noFill/>
                    <a:ln w="9525">
                      <a:noFill/>
                      <a:headEnd/>
                      <a:tailEnd/>
                    </a:ln>
                  </pic:spPr>
                </pic:pic>
              </a:graphicData>
            </a:graphic>
          </wp:inline>
        </w:drawing>
      </w:r>
    </w:p>
    <w:bookmarkEnd w:id="32"/>
    <w:bookmarkStart w:id="39" w:name="oddíly"/>
    <w:p>
      <w:pPr>
        <w:pStyle w:val="Heading2"/>
      </w:pPr>
      <w:r>
        <w:t xml:space="preserve">Oddíly</w:t>
      </w:r>
    </w:p>
    <w:p>
      <w:pPr>
        <w:pStyle w:val="FirstParagraph"/>
      </w:pPr>
      <w:r>
        <w:drawing>
          <wp:inline>
            <wp:extent cx="5613400" cy="5176070"/>
            <wp:effectExtent b="0" l="0" r="0" t="0"/>
            <wp:docPr descr="" title="" id="1" name="Picture"/>
            <a:graphic>
              <a:graphicData uri="http://schemas.openxmlformats.org/drawingml/2006/picture">
                <pic:pic>
                  <pic:nvPicPr>
                    <pic:cNvPr descr="s_analyza_files/figure-docx/plot-oddil-abs-1.png" id="0" name="Picture"/>
                    <pic:cNvPicPr>
                      <a:picLocks noChangeArrowheads="1" noChangeAspect="1"/>
                    </pic:cNvPicPr>
                  </pic:nvPicPr>
                  <pic:blipFill>
                    <a:blip r:embed="rId33"/>
                    <a:stretch>
                      <a:fillRect/>
                    </a:stretch>
                  </pic:blipFill>
                  <pic:spPr bwMode="auto">
                    <a:xfrm>
                      <a:off x="0" y="0"/>
                      <a:ext cx="5613400" cy="5176070"/>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5-1.png" id="0" name="Picture"/>
                    <pic:cNvPicPr>
                      <a:picLocks noChangeArrowheads="1" noChangeAspect="1"/>
                    </pic:cNvPicPr>
                  </pic:nvPicPr>
                  <pic:blipFill>
                    <a:blip r:embed="rId34"/>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6-1.png" id="0" name="Picture"/>
                    <pic:cNvPicPr>
                      <a:picLocks noChangeArrowheads="1" noChangeAspect="1"/>
                    </pic:cNvPicPr>
                  </pic:nvPicPr>
                  <pic:blipFill>
                    <a:blip r:embed="rId35"/>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7-1.png" id="0" name="Picture"/>
                    <pic:cNvPicPr>
                      <a:picLocks noChangeArrowheads="1" noChangeAspect="1"/>
                    </pic:cNvPicPr>
                  </pic:nvPicPr>
                  <pic:blipFill>
                    <a:blip r:embed="rId36"/>
                    <a:stretch>
                      <a:fillRect/>
                    </a:stretch>
                  </pic:blipFill>
                  <pic:spPr bwMode="auto">
                    <a:xfrm>
                      <a:off x="0" y="0"/>
                      <a:ext cx="5613400" cy="3450713"/>
                    </a:xfrm>
                    <a:prstGeom prst="rect">
                      <a:avLst/>
                    </a:prstGeom>
                    <a:noFill/>
                    <a:ln w="9525">
                      <a:noFill/>
                      <a:headEnd/>
                      <a:tailEnd/>
                    </a:ln>
                  </pic:spPr>
                </pic:pic>
              </a:graphicData>
            </a:graphic>
          </wp:inline>
        </w:drawing>
      </w:r>
    </w:p>
    <w:bookmarkStart w:id="38" w:name="podíl-esif"/>
    <w:p>
      <w:pPr>
        <w:pStyle w:val="Heading3"/>
      </w:pPr>
      <w:r>
        <w:t xml:space="preserve">Podíl ESIF</w:t>
      </w:r>
    </w:p>
    <w:p>
      <w:pPr>
        <w:pStyle w:val="FirstParagraph"/>
      </w:pPr>
      <w:r>
        <w:drawing>
          <wp:inline>
            <wp:extent cx="5613400" cy="5176070"/>
            <wp:effectExtent b="0" l="0" r="0" t="0"/>
            <wp:docPr descr="" title="" id="1" name="Picture"/>
            <a:graphic>
              <a:graphicData uri="http://schemas.openxmlformats.org/drawingml/2006/picture">
                <pic:pic>
                  <pic:nvPicPr>
                    <pic:cNvPr descr="s_analyza_files/figure-docx/plot-oddil-podil-1.png" id="0" name="Picture"/>
                    <pic:cNvPicPr>
                      <a:picLocks noChangeArrowheads="1" noChangeAspect="1"/>
                    </pic:cNvPicPr>
                  </pic:nvPicPr>
                  <pic:blipFill>
                    <a:blip r:embed="rId37"/>
                    <a:stretch>
                      <a:fillRect/>
                    </a:stretch>
                  </pic:blipFill>
                  <pic:spPr bwMode="auto">
                    <a:xfrm>
                      <a:off x="0" y="0"/>
                      <a:ext cx="5613400" cy="5176070"/>
                    </a:xfrm>
                    <a:prstGeom prst="rect">
                      <a:avLst/>
                    </a:prstGeom>
                    <a:noFill/>
                    <a:ln w="9525">
                      <a:noFill/>
                      <a:headEnd/>
                      <a:tailEnd/>
                    </a:ln>
                  </pic:spPr>
                </pic:pic>
              </a:graphicData>
            </a:graphic>
          </wp:inline>
        </w:drawing>
      </w:r>
    </w:p>
    <w:bookmarkEnd w:id="38"/>
    <w:bookmarkEnd w:id="39"/>
    <w:bookmarkStart w:id="52" w:name="tematické-analýzy"/>
    <w:p>
      <w:pPr>
        <w:pStyle w:val="Heading2"/>
      </w:pPr>
      <w:r>
        <w:t xml:space="preserve">Tematické analýzy</w:t>
      </w:r>
    </w:p>
    <w:bookmarkStart w:id="42" w:name="bydlení"/>
    <w:p>
      <w:pPr>
        <w:pStyle w:val="Heading3"/>
      </w:pPr>
      <w:r>
        <w:t xml:space="preserve">Bydlení</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unnamed-chunk-8-1.png" id="0" name="Picture"/>
                    <pic:cNvPicPr>
                      <a:picLocks noChangeArrowheads="1" noChangeAspect="1"/>
                    </pic:cNvPicPr>
                  </pic:nvPicPr>
                  <pic:blipFill>
                    <a:blip r:embed="rId40"/>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9-1.png" id="0" name="Picture"/>
                    <pic:cNvPicPr>
                      <a:picLocks noChangeArrowheads="1" noChangeAspect="1"/>
                    </pic:cNvPicPr>
                  </pic:nvPicPr>
                  <pic:blipFill>
                    <a:blip r:embed="rId41"/>
                    <a:stretch>
                      <a:fillRect/>
                    </a:stretch>
                  </pic:blipFill>
                  <pic:spPr bwMode="auto">
                    <a:xfrm>
                      <a:off x="0" y="0"/>
                      <a:ext cx="5613400" cy="3450713"/>
                    </a:xfrm>
                    <a:prstGeom prst="rect">
                      <a:avLst/>
                    </a:prstGeom>
                    <a:noFill/>
                    <a:ln w="9525">
                      <a:noFill/>
                      <a:headEnd/>
                      <a:tailEnd/>
                    </a:ln>
                  </pic:spPr>
                </pic:pic>
              </a:graphicData>
            </a:graphic>
          </wp:inline>
        </w:drawing>
      </w:r>
    </w:p>
    <w:bookmarkEnd w:id="42"/>
    <w:bookmarkStart w:id="51" w:name="žp"/>
    <w:p>
      <w:pPr>
        <w:pStyle w:val="Heading3"/>
      </w:pPr>
      <w:r>
        <w:t xml:space="preserve">ŽP</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unnamed-chunk-10-1.png" id="0" name="Picture"/>
                    <pic:cNvPicPr>
                      <a:picLocks noChangeArrowheads="1" noChangeAspect="1"/>
                    </pic:cNvPicPr>
                  </pic:nvPicPr>
                  <pic:blipFill>
                    <a:blip r:embed="rId43"/>
                    <a:stretch>
                      <a:fillRect/>
                    </a:stretch>
                  </pic:blipFill>
                  <pic:spPr bwMode="auto">
                    <a:xfrm>
                      <a:off x="0" y="0"/>
                      <a:ext cx="5613400" cy="3450713"/>
                    </a:xfrm>
                    <a:prstGeom prst="rect">
                      <a:avLst/>
                    </a:prstGeom>
                    <a:noFill/>
                    <a:ln w="9525">
                      <a:noFill/>
                      <a:headEnd/>
                      <a:tailEnd/>
                    </a:ln>
                  </pic:spPr>
                </pic:pic>
              </a:graphicData>
            </a:graphic>
          </wp:inline>
        </w:drawing>
      </w:r>
      <w:r>
        <w:t xml:space="preserve"> </w:t>
      </w:r>
      <w:r>
        <w:drawing>
          <wp:inline>
            <wp:extent cx="5613400" cy="3450713"/>
            <wp:effectExtent b="0" l="0" r="0" t="0"/>
            <wp:docPr descr="" title="" id="1" name="Picture"/>
            <a:graphic>
              <a:graphicData uri="http://schemas.openxmlformats.org/drawingml/2006/picture">
                <pic:pic>
                  <pic:nvPicPr>
                    <pic:cNvPr descr="s_analyza_files/figure-docx/unnamed-chunk-11-1.png" id="0" name="Picture"/>
                    <pic:cNvPicPr>
                      <a:picLocks noChangeArrowheads="1" noChangeAspect="1"/>
                    </pic:cNvPicPr>
                  </pic:nvPicPr>
                  <pic:blipFill>
                    <a:blip r:embed="rId44"/>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2-1.png" id="0" name="Picture"/>
                    <pic:cNvPicPr>
                      <a:picLocks noChangeArrowheads="1" noChangeAspect="1"/>
                    </pic:cNvPicPr>
                  </pic:nvPicPr>
                  <pic:blipFill>
                    <a:blip r:embed="rId45"/>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3-1.png" id="0" name="Picture"/>
                    <pic:cNvPicPr>
                      <a:picLocks noChangeArrowheads="1" noChangeAspect="1"/>
                    </pic:cNvPicPr>
                  </pic:nvPicPr>
                  <pic:blipFill>
                    <a:blip r:embed="rId46"/>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4-1.png" id="0" name="Picture"/>
                    <pic:cNvPicPr>
                      <a:picLocks noChangeArrowheads="1" noChangeAspect="1"/>
                    </pic:cNvPicPr>
                  </pic:nvPicPr>
                  <pic:blipFill>
                    <a:blip r:embed="rId47"/>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5-1.png" id="0" name="Picture"/>
                    <pic:cNvPicPr>
                      <a:picLocks noChangeArrowheads="1" noChangeAspect="1"/>
                    </pic:cNvPicPr>
                  </pic:nvPicPr>
                  <pic:blipFill>
                    <a:blip r:embed="rId48"/>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6-1.png" id="0" name="Picture"/>
                    <pic:cNvPicPr>
                      <a:picLocks noChangeArrowheads="1" noChangeAspect="1"/>
                    </pic:cNvPicPr>
                  </pic:nvPicPr>
                  <pic:blipFill>
                    <a:blip r:embed="rId49"/>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7-1.png" id="0" name="Picture"/>
                    <pic:cNvPicPr>
                      <a:picLocks noChangeArrowheads="1" noChangeAspect="1"/>
                    </pic:cNvPicPr>
                  </pic:nvPicPr>
                  <pic:blipFill>
                    <a:blip r:embed="rId50"/>
                    <a:stretch>
                      <a:fillRect/>
                    </a:stretch>
                  </pic:blipFill>
                  <pic:spPr bwMode="auto">
                    <a:xfrm>
                      <a:off x="0" y="0"/>
                      <a:ext cx="5613400" cy="3450713"/>
                    </a:xfrm>
                    <a:prstGeom prst="rect">
                      <a:avLst/>
                    </a:prstGeom>
                    <a:noFill/>
                    <a:ln w="9525">
                      <a:noFill/>
                      <a:headEnd/>
                      <a:tailEnd/>
                    </a:ln>
                  </pic:spPr>
                </pic:pic>
              </a:graphicData>
            </a:graphic>
          </wp:inline>
        </w:drawing>
      </w:r>
    </w:p>
    <w:bookmarkEnd w:id="51"/>
    <w:bookmarkEnd w:id="52"/>
    <w:bookmarkStart w:id="58" w:name="rizikové-pododdíly"/>
    <w:p>
      <w:pPr>
        <w:pStyle w:val="Heading2"/>
      </w:pPr>
      <w:r>
        <w:t xml:space="preserve">Rizikové pododdíly</w:t>
      </w:r>
    </w:p>
    <w:bookmarkStart w:id="57" w:name="běžné-výdaje"/>
    <w:p>
      <w:pPr>
        <w:pStyle w:val="Heading3"/>
      </w:pPr>
      <w:r>
        <w:t xml:space="preserve">Běžné výdaje</w:t>
      </w:r>
    </w:p>
    <w:bookmarkStart w:id="54" w:name="absolutně"/>
    <w:p>
      <w:pPr>
        <w:pStyle w:val="Heading4"/>
      </w:pPr>
      <w:r>
        <w:t xml:space="preserve">Absolutně</w:t>
      </w:r>
    </w:p>
    <w:p>
      <w:pPr>
        <w:pStyle w:val="FirstParagraph"/>
      </w:pPr>
      <w:r>
        <w:drawing>
          <wp:inline>
            <wp:extent cx="5613400" cy="6038748"/>
            <wp:effectExtent b="0" l="0" r="0" t="0"/>
            <wp:docPr descr="" title="" id="1" name="Picture"/>
            <a:graphic>
              <a:graphicData uri="http://schemas.openxmlformats.org/drawingml/2006/picture">
                <pic:pic>
                  <pic:nvPicPr>
                    <pic:cNvPr descr="s_analyza_files/figure-docx/plot-pododd-riziko-abs-1.png" id="0" name="Picture"/>
                    <pic:cNvPicPr>
                      <a:picLocks noChangeArrowheads="1" noChangeAspect="1"/>
                    </pic:cNvPicPr>
                  </pic:nvPicPr>
                  <pic:blipFill>
                    <a:blip r:embed="rId53"/>
                    <a:stretch>
                      <a:fillRect/>
                    </a:stretch>
                  </pic:blipFill>
                  <pic:spPr bwMode="auto">
                    <a:xfrm>
                      <a:off x="0" y="0"/>
                      <a:ext cx="5613400" cy="6038748"/>
                    </a:xfrm>
                    <a:prstGeom prst="rect">
                      <a:avLst/>
                    </a:prstGeom>
                    <a:noFill/>
                    <a:ln w="9525">
                      <a:noFill/>
                      <a:headEnd/>
                      <a:tailEnd/>
                    </a:ln>
                  </pic:spPr>
                </pic:pic>
              </a:graphicData>
            </a:graphic>
          </wp:inline>
        </w:drawing>
      </w:r>
    </w:p>
    <w:bookmarkEnd w:id="54"/>
    <w:bookmarkStart w:id="56" w:name="podíly"/>
    <w:p>
      <w:pPr>
        <w:pStyle w:val="Heading4"/>
      </w:pPr>
      <w:r>
        <w:t xml:space="preserve">Podíly</w:t>
      </w:r>
    </w:p>
    <w:p>
      <w:pPr>
        <w:pStyle w:val="FirstParagraph"/>
      </w:pPr>
      <w:r>
        <w:drawing>
          <wp:inline>
            <wp:extent cx="5613400" cy="6038748"/>
            <wp:effectExtent b="0" l="0" r="0" t="0"/>
            <wp:docPr descr="" title="" id="1" name="Picture"/>
            <a:graphic>
              <a:graphicData uri="http://schemas.openxmlformats.org/drawingml/2006/picture">
                <pic:pic>
                  <pic:nvPicPr>
                    <pic:cNvPr descr="s_analyza_files/figure-docx/plot-pododd-riziko-podil-1.png" id="0" name="Picture"/>
                    <pic:cNvPicPr>
                      <a:picLocks noChangeArrowheads="1" noChangeAspect="1"/>
                    </pic:cNvPicPr>
                  </pic:nvPicPr>
                  <pic:blipFill>
                    <a:blip r:embed="rId55"/>
                    <a:stretch>
                      <a:fillRect/>
                    </a:stretch>
                  </pic:blipFill>
                  <pic:spPr bwMode="auto">
                    <a:xfrm>
                      <a:off x="0" y="0"/>
                      <a:ext cx="5613400" cy="6038748"/>
                    </a:xfrm>
                    <a:prstGeom prst="rect">
                      <a:avLst/>
                    </a:prstGeom>
                    <a:noFill/>
                    <a:ln w="9525">
                      <a:noFill/>
                      <a:headEnd/>
                      <a:tailEnd/>
                    </a:ln>
                  </pic:spPr>
                </pic:pic>
              </a:graphicData>
            </a:graphic>
          </wp:inline>
        </w:drawing>
      </w:r>
    </w:p>
    <w:bookmarkEnd w:id="56"/>
    <w:bookmarkEnd w:id="57"/>
    <w:bookmarkEnd w:id="58"/>
    <w:bookmarkStart w:id="60" w:name="příklad-detailní-analýzy"/>
    <w:p>
      <w:pPr>
        <w:pStyle w:val="Heading2"/>
      </w:pPr>
      <w:r>
        <w:t xml:space="preserve">Příklad detailní analýzy</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detail-1.png" id="0" name="Picture"/>
                    <pic:cNvPicPr>
                      <a:picLocks noChangeArrowheads="1" noChangeAspect="1"/>
                    </pic:cNvPicPr>
                  </pic:nvPicPr>
                  <pic:blipFill>
                    <a:blip r:embed="rId59"/>
                    <a:stretch>
                      <a:fillRect/>
                    </a:stretch>
                  </pic:blipFill>
                  <pic:spPr bwMode="auto">
                    <a:xfrm>
                      <a:off x="0" y="0"/>
                      <a:ext cx="5613400" cy="3450713"/>
                    </a:xfrm>
                    <a:prstGeom prst="rect">
                      <a:avLst/>
                    </a:prstGeom>
                    <a:noFill/>
                    <a:ln w="9525">
                      <a:noFill/>
                      <a:headEnd/>
                      <a:tailEnd/>
                    </a:ln>
                  </pic:spPr>
                </pic:pic>
              </a:graphicData>
            </a:graphic>
          </wp:inline>
        </w:drawing>
      </w:r>
    </w:p>
    <w:bookmarkEnd w:id="60"/>
    <w:bookmarkEnd w:id="61"/>
    <w:bookmarkStart w:id="121" w:name="přílohy"/>
    <w:p>
      <w:pPr>
        <w:pStyle w:val="Heading1"/>
      </w:pPr>
      <w:r>
        <w:t xml:space="preserve">Přílohy</w:t>
      </w:r>
    </w:p>
    <w:bookmarkStart w:id="72" w:name="X2c3aa65419674999bceacd2f8c00acc81cb0a80"/>
    <w:p>
      <w:pPr>
        <w:pStyle w:val="Heading2"/>
      </w:pPr>
      <w:r>
        <w:t xml:space="preserve">Příloha 1: Výpočty pro podmnožinu výdajů podle studie z roku 2017</w:t>
      </w:r>
    </w:p>
    <w:bookmarkStart w:id="66" w:name="celkové-výdaje-1"/>
    <w:p>
      <w:pPr>
        <w:pStyle w:val="Heading3"/>
      </w:pPr>
      <w:r>
        <w:t xml:space="preserve">Celkové výdaje</w:t>
      </w:r>
    </w:p>
    <w:bookmarkStart w:id="63" w:name="absolutně-1"/>
    <w:p>
      <w:pPr>
        <w:pStyle w:val="Heading4"/>
      </w:pPr>
      <w:r>
        <w:t xml:space="preserve">Absolutně</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abs-hlousek-1.png" id="0" name="Picture"/>
                    <pic:cNvPicPr>
                      <a:picLocks noChangeArrowheads="1" noChangeAspect="1"/>
                    </pic:cNvPicPr>
                  </pic:nvPicPr>
                  <pic:blipFill>
                    <a:blip r:embed="rId62"/>
                    <a:stretch>
                      <a:fillRect/>
                    </a:stretch>
                  </pic:blipFill>
                  <pic:spPr bwMode="auto">
                    <a:xfrm>
                      <a:off x="0" y="0"/>
                      <a:ext cx="5613400" cy="3450713"/>
                    </a:xfrm>
                    <a:prstGeom prst="rect">
                      <a:avLst/>
                    </a:prstGeom>
                    <a:noFill/>
                    <a:ln w="9525">
                      <a:noFill/>
                      <a:headEnd/>
                      <a:tailEnd/>
                    </a:ln>
                  </pic:spPr>
                </pic:pic>
              </a:graphicData>
            </a:graphic>
          </wp:inline>
        </w:drawing>
      </w:r>
    </w:p>
    <w:bookmarkEnd w:id="63"/>
    <w:bookmarkStart w:id="65" w:name="podíl-esif-1"/>
    <w:p>
      <w:pPr>
        <w:pStyle w:val="Heading4"/>
      </w:pPr>
      <w:r>
        <w:t xml:space="preserve">Podíl ESIF</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podil-hlousek-1.png" id="0" name="Picture"/>
                    <pic:cNvPicPr>
                      <a:picLocks noChangeArrowheads="1" noChangeAspect="1"/>
                    </pic:cNvPicPr>
                  </pic:nvPicPr>
                  <pic:blipFill>
                    <a:blip r:embed="rId64"/>
                    <a:stretch>
                      <a:fillRect/>
                    </a:stretch>
                  </pic:blipFill>
                  <pic:spPr bwMode="auto">
                    <a:xfrm>
                      <a:off x="0" y="0"/>
                      <a:ext cx="5613400" cy="3450713"/>
                    </a:xfrm>
                    <a:prstGeom prst="rect">
                      <a:avLst/>
                    </a:prstGeom>
                    <a:noFill/>
                    <a:ln w="9525">
                      <a:noFill/>
                      <a:headEnd/>
                      <a:tailEnd/>
                    </a:ln>
                  </pic:spPr>
                </pic:pic>
              </a:graphicData>
            </a:graphic>
          </wp:inline>
        </w:drawing>
      </w:r>
    </w:p>
    <w:bookmarkEnd w:id="65"/>
    <w:bookmarkEnd w:id="66"/>
    <w:bookmarkStart w:id="71" w:name="běžné-a-kapitálové-1"/>
    <w:p>
      <w:pPr>
        <w:pStyle w:val="Heading3"/>
      </w:pPr>
      <w:r>
        <w:t xml:space="preserve">Běžné a kapitálové</w:t>
      </w:r>
    </w:p>
    <w:bookmarkStart w:id="68" w:name="absolutně-2"/>
    <w:p>
      <w:pPr>
        <w:pStyle w:val="Heading4"/>
      </w:pPr>
      <w:r>
        <w:t xml:space="preserve">Absolutně</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bezkap-abs-hlousek-1.png" id="0" name="Picture"/>
                    <pic:cNvPicPr>
                      <a:picLocks noChangeArrowheads="1" noChangeAspect="1"/>
                    </pic:cNvPicPr>
                  </pic:nvPicPr>
                  <pic:blipFill>
                    <a:blip r:embed="rId67"/>
                    <a:stretch>
                      <a:fillRect/>
                    </a:stretch>
                  </pic:blipFill>
                  <pic:spPr bwMode="auto">
                    <a:xfrm>
                      <a:off x="0" y="0"/>
                      <a:ext cx="5613400" cy="3450713"/>
                    </a:xfrm>
                    <a:prstGeom prst="rect">
                      <a:avLst/>
                    </a:prstGeom>
                    <a:noFill/>
                    <a:ln w="9525">
                      <a:noFill/>
                      <a:headEnd/>
                      <a:tailEnd/>
                    </a:ln>
                  </pic:spPr>
                </pic:pic>
              </a:graphicData>
            </a:graphic>
          </wp:inline>
        </w:drawing>
      </w:r>
    </w:p>
    <w:bookmarkEnd w:id="68"/>
    <w:bookmarkStart w:id="70" w:name="podíl-esif-2"/>
    <w:p>
      <w:pPr>
        <w:pStyle w:val="Heading4"/>
      </w:pPr>
      <w:r>
        <w:t xml:space="preserve">Podíl ESIF</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bezkap-podil-hlousek-1.png" id="0" name="Picture"/>
                    <pic:cNvPicPr>
                      <a:picLocks noChangeArrowheads="1" noChangeAspect="1"/>
                    </pic:cNvPicPr>
                  </pic:nvPicPr>
                  <pic:blipFill>
                    <a:blip r:embed="rId69"/>
                    <a:stretch>
                      <a:fillRect/>
                    </a:stretch>
                  </pic:blipFill>
                  <pic:spPr bwMode="auto">
                    <a:xfrm>
                      <a:off x="0" y="0"/>
                      <a:ext cx="5613400" cy="3450713"/>
                    </a:xfrm>
                    <a:prstGeom prst="rect">
                      <a:avLst/>
                    </a:prstGeom>
                    <a:noFill/>
                    <a:ln w="9525">
                      <a:noFill/>
                      <a:headEnd/>
                      <a:tailEnd/>
                    </a:ln>
                  </pic:spPr>
                </pic:pic>
              </a:graphicData>
            </a:graphic>
          </wp:inline>
        </w:drawing>
      </w:r>
    </w:p>
    <w:bookmarkEnd w:id="70"/>
    <w:bookmarkEnd w:id="71"/>
    <w:bookmarkEnd w:id="72"/>
    <w:bookmarkStart w:id="82" w:name="data"/>
    <w:p>
      <w:pPr>
        <w:pStyle w:val="Heading2"/>
      </w:pPr>
      <w:r>
        <w:t xml:space="preserve">Příloha 2: Technické aspekty ve stručnosti</w:t>
      </w:r>
    </w:p>
    <w:bookmarkStart w:id="73" w:name="zdroje-dat"/>
    <w:p>
      <w:pPr>
        <w:pStyle w:val="Heading3"/>
      </w:pPr>
      <w:r>
        <w:t xml:space="preserve">Zdroje dat</w:t>
      </w:r>
    </w:p>
    <w:p>
      <w:pPr>
        <w:pStyle w:val="FirstParagraph"/>
      </w:pPr>
      <w:r>
        <w:t xml:space="preserve">Využíváme data ze Státní poklady, konkrétně otevřené datové sady o plnění rozpočtů tzv. ústředně řízených organizacích, které dohromady odpovídají hranicím státního rozpočtu.</w:t>
      </w:r>
    </w:p>
    <w:bookmarkEnd w:id="73"/>
    <w:bookmarkStart w:id="78" w:name="jak-fungují-rozpočtová-data"/>
    <w:p>
      <w:pPr>
        <w:pStyle w:val="Heading3"/>
      </w:pPr>
      <w:r>
        <w:t xml:space="preserve">Jak fungují rozpočtová data</w:t>
      </w:r>
    </w:p>
    <w:bookmarkStart w:id="74" w:name="záběr"/>
    <w:p>
      <w:pPr>
        <w:pStyle w:val="Heading4"/>
      </w:pPr>
      <w:r>
        <w:t xml:space="preserve">Záběr</w:t>
      </w:r>
    </w:p>
    <w:p>
      <w:pPr>
        <w:pStyle w:val="FirstParagraph"/>
      </w:pPr>
      <w:r>
        <w:t xml:space="preserve">Státní pokladna ve veřejně dostupných datech sleduje čtyři typy organizací</w:t>
      </w:r>
    </w:p>
    <w:p>
      <w:pPr>
        <w:numPr>
          <w:ilvl w:val="0"/>
          <w:numId w:val="1002"/>
        </w:numPr>
        <w:pStyle w:val="Compact"/>
      </w:pPr>
      <w:r>
        <w:t xml:space="preserve">ústředně řízené:</w:t>
      </w:r>
    </w:p>
    <w:p>
      <w:pPr>
        <w:numPr>
          <w:ilvl w:val="1"/>
          <w:numId w:val="1003"/>
        </w:numPr>
        <w:pStyle w:val="Compact"/>
      </w:pPr>
      <w:r>
        <w:t xml:space="preserve">organizační složky státu</w:t>
      </w:r>
    </w:p>
    <w:p>
      <w:pPr>
        <w:numPr>
          <w:ilvl w:val="1"/>
          <w:numId w:val="1003"/>
        </w:numPr>
        <w:pStyle w:val="Compact"/>
      </w:pPr>
      <w:r>
        <w:t xml:space="preserve">příspěvkové organizace</w:t>
      </w:r>
    </w:p>
    <w:p>
      <w:pPr>
        <w:numPr>
          <w:ilvl w:val="1"/>
          <w:numId w:val="1003"/>
        </w:numPr>
        <w:pStyle w:val="Compact"/>
      </w:pPr>
      <w:r>
        <w:t xml:space="preserve">státní fondy</w:t>
      </w:r>
    </w:p>
    <w:p>
      <w:pPr>
        <w:numPr>
          <w:ilvl w:val="0"/>
          <w:numId w:val="1002"/>
        </w:numPr>
        <w:pStyle w:val="Compact"/>
      </w:pPr>
      <w:r>
        <w:t xml:space="preserve">místně řízené,</w:t>
      </w:r>
    </w:p>
    <w:p>
      <w:pPr>
        <w:numPr>
          <w:ilvl w:val="1"/>
          <w:numId w:val="1004"/>
        </w:numPr>
        <w:pStyle w:val="Compact"/>
      </w:pPr>
      <w:r>
        <w:t xml:space="preserve">tj. obce, kraje a jejich příspěvkové organizace a sdružení, vše společně</w:t>
      </w:r>
    </w:p>
    <w:p>
      <w:pPr>
        <w:pStyle w:val="FirstParagraph"/>
      </w:pPr>
      <w:r>
        <w:t xml:space="preserve">Kromě příjmů a výdajů pak stát eviduje ještě účelové transfery (dotace) od státu k obcím.</w:t>
      </w:r>
    </w:p>
    <w:bookmarkEnd w:id="74"/>
    <w:bookmarkStart w:id="75" w:name="logika-toku-peněz-a-její-odraz-v-datech"/>
    <w:p>
      <w:pPr>
        <w:pStyle w:val="Heading4"/>
      </w:pPr>
      <w:r>
        <w:t xml:space="preserve">Logika toku peněz a její odraz v datech</w:t>
      </w:r>
    </w:p>
    <w:p>
      <w:pPr>
        <w:pStyle w:val="FirstParagraph"/>
      </w:pPr>
      <w:r>
        <w:t xml:space="preserve">Peníze do veřejného sektoru tečou třemi cestami:</w:t>
      </w:r>
    </w:p>
    <w:p>
      <w:pPr>
        <w:numPr>
          <w:ilvl w:val="0"/>
          <w:numId w:val="1005"/>
        </w:numPr>
        <w:pStyle w:val="Compact"/>
      </w:pPr>
      <w:r>
        <w:t xml:space="preserve">do státního rozpočtu</w:t>
      </w:r>
    </w:p>
    <w:p>
      <w:pPr>
        <w:numPr>
          <w:ilvl w:val="0"/>
          <w:numId w:val="1005"/>
        </w:numPr>
        <w:pStyle w:val="Compact"/>
      </w:pPr>
      <w:r>
        <w:t xml:space="preserve">do obecních a krajských rozpočtů</w:t>
      </w:r>
    </w:p>
    <w:p>
      <w:pPr>
        <w:numPr>
          <w:ilvl w:val="0"/>
          <w:numId w:val="1005"/>
        </w:numPr>
        <w:pStyle w:val="Compact"/>
      </w:pPr>
      <w:r>
        <w:t xml:space="preserve">do státních fondů</w:t>
      </w:r>
    </w:p>
    <w:p>
      <w:pPr>
        <w:pStyle w:val="FirstParagraph"/>
      </w:pPr>
      <w:r>
        <w:t xml:space="preserve">Následně tečou dál formou transferů, tj. účelových a neúčelových přesunů, dotací atd., např. od státu nebo státním fondům obcím nebo státním příspěvkovým organizacím.</w:t>
      </w:r>
    </w:p>
    <w:p>
      <w:pPr>
        <w:pStyle w:val="BodyText"/>
      </w:pPr>
      <w:r>
        <w:t xml:space="preserve">Peníze jednou přitečené do státního rozpočtu jsou tam vidět jako příjem a následně jako výdaj. Pokud peníze utrácí stát sám na svoje vlastní aktivity, výdaje vidíme rozčlěnený do detailu podle paragrafů a položek. Pokud stát poslal peníze dál, např. obcím, vidíme ho jako transfer a další detail vidíme až v datech od toho, kdo je na konci utratil, tj. např. obec. Proto např. ve státním rozpočtu nejde dobře sledovat výdaje na platy ve školství, protože ty jsou ve státním rozpočtu evidovány jako transfer obcím a nejsou v detailu sledovány.</w:t>
      </w:r>
    </w:p>
    <w:p>
      <w:pPr>
        <w:pStyle w:val="BodyText"/>
      </w:pPr>
      <w:r>
        <w:t xml:space="preserve">U ESI fondů platí, že peníze přitečou vždy do státního rozpočtu (tzv. Národní fond) a následně je stát buď</w:t>
      </w:r>
    </w:p>
    <w:p>
      <w:pPr>
        <w:numPr>
          <w:ilvl w:val="0"/>
          <w:numId w:val="1006"/>
        </w:numPr>
        <w:pStyle w:val="Compact"/>
      </w:pPr>
      <w:r>
        <w:t xml:space="preserve">utratí (sám je příjemce) - pak vidíme na co přesně, tj. např. platy, nákupy + na jaké odvětví (paragraf)</w:t>
      </w:r>
    </w:p>
    <w:p>
      <w:pPr>
        <w:numPr>
          <w:ilvl w:val="0"/>
          <w:numId w:val="1006"/>
        </w:numPr>
        <w:pStyle w:val="Compact"/>
      </w:pPr>
      <w:r>
        <w:t xml:space="preserve">pošle dál do veřejného sektoru, např. obci nebo vlastní příspěvkovce - pak je vidíme ve výdajích SR jako transfer a obec/státní či obecní příspěvkovka jej eviduje v detailu výdajů svého rozpočtu (k tomu ale viz níže)</w:t>
      </w:r>
    </w:p>
    <w:p>
      <w:pPr>
        <w:numPr>
          <w:ilvl w:val="0"/>
          <w:numId w:val="1006"/>
        </w:numPr>
        <w:pStyle w:val="Compact"/>
      </w:pPr>
      <w:r>
        <w:t xml:space="preserve">pošle do soukromého sektoru jako transfer (dotaci) - pak je vidíme ve výdajích SR jako transfer v daném odvětví (paragrafu).</w:t>
      </w:r>
    </w:p>
    <w:p>
      <w:pPr>
        <w:pStyle w:val="FirstParagraph"/>
      </w:pPr>
      <w:r>
        <w:t xml:space="preserve">Technické řešení tohoto problému - kdy výdaje jsou evidovány při předání mezi částmi veřejného sektoru i při konečném vydání - řeší konsolidace, pro kterou data státní pokladny také poskytují podklad.</w:t>
      </w:r>
    </w:p>
    <w:bookmarkEnd w:id="75"/>
    <w:bookmarkStart w:id="76" w:name="členění-jaký-detail-můžeme-znát"/>
    <w:p>
      <w:pPr>
        <w:pStyle w:val="Heading4"/>
      </w:pPr>
      <w:r>
        <w:t xml:space="preserve">Členění: jaký detail můžeme znát</w:t>
      </w:r>
    </w:p>
    <w:p>
      <w:pPr>
        <w:pStyle w:val="FirstParagraph"/>
      </w:pPr>
      <w:r>
        <w:t xml:space="preserve">Data státní pokladny fungují tak, že na každou utracenou korunu nalepí několik nálepek podle různých členění a výsledné datové sady tak poskytují velmi jemný rozpad výdají podle několika členění naráz. Každé členění má několik úrovní detailu, od cca 10 kategorií po několik set.</w:t>
      </w:r>
    </w:p>
    <w:p>
      <w:pPr>
        <w:numPr>
          <w:ilvl w:val="0"/>
          <w:numId w:val="1007"/>
        </w:numPr>
        <w:pStyle w:val="Compact"/>
      </w:pPr>
      <w:r>
        <w:t xml:space="preserve">odvětvové členění, tzv. paragrafy, tj. na jakou oblast (viděno sektorově)</w:t>
      </w:r>
    </w:p>
    <w:p>
      <w:pPr>
        <w:numPr>
          <w:ilvl w:val="0"/>
          <w:numId w:val="1007"/>
        </w:numPr>
        <w:pStyle w:val="Compact"/>
      </w:pPr>
      <w:r>
        <w:t xml:space="preserve">zodpovědnostní členění: kapitoly, tj. z rozpočtu kterého ministerstva, popř. konkrétní veřejné organizace, výdaje šly</w:t>
      </w:r>
    </w:p>
    <w:p>
      <w:pPr>
        <w:numPr>
          <w:ilvl w:val="0"/>
          <w:numId w:val="1007"/>
        </w:numPr>
        <w:pStyle w:val="Compact"/>
      </w:pPr>
      <w:r>
        <w:t xml:space="preserve">druhové členění: v nejvyšší hladině členění na běžné a kapitálové výdaje, dále na platy, transfery, nákupy atd.</w:t>
      </w:r>
    </w:p>
    <w:p>
      <w:pPr>
        <w:numPr>
          <w:ilvl w:val="0"/>
          <w:numId w:val="1007"/>
        </w:numPr>
        <w:pStyle w:val="Compact"/>
      </w:pPr>
      <w:r>
        <w:t xml:space="preserve">zdrojové třídění: kde se peníze vzaly? V základní úrovni ČR x mimo, dále až na konkrétní programy vč. kofinancování</w:t>
      </w:r>
    </w:p>
    <w:p>
      <w:pPr>
        <w:pStyle w:val="FirstParagraph"/>
      </w:pPr>
      <w:r>
        <w:t xml:space="preserve">Této vícerozpěrnosti dat využíváme jednak pro identifikaci peněz z ESIF (zdrojové třídění), jednak pro detailnější analýzy (např. kapitálové výdaje na transfery soukromému sektoru v oblasi energetiky).</w:t>
      </w:r>
    </w:p>
    <w:p>
      <w:pPr>
        <w:pStyle w:val="BodyText"/>
      </w:pPr>
      <w:r>
        <w:t xml:space="preserve">U zdrojového třídění dokážeme odlišit i období, tj. např. v roce 2015 lze odlišit OP D 2007-13 od OP D 2014-20.</w:t>
      </w:r>
    </w:p>
    <w:bookmarkEnd w:id="76"/>
    <w:bookmarkStart w:id="77" w:name="ve-vztahu-k-esif-datům"/>
    <w:p>
      <w:pPr>
        <w:pStyle w:val="Heading4"/>
      </w:pPr>
      <w:r>
        <w:t xml:space="preserve">Ve vztahu k ESIF datům</w:t>
      </w:r>
    </w:p>
    <w:p>
      <w:pPr>
        <w:pStyle w:val="FirstParagraph"/>
      </w:pPr>
      <w:r>
        <w:t xml:space="preserve">Ze státní pokladny lze dovodit operační program, ztrácí se ale vazba na projekty a tím i na kategorie používané v monitoringu ESIF, např. oblasti intervencí.</w:t>
      </w:r>
    </w:p>
    <w:bookmarkEnd w:id="77"/>
    <w:bookmarkEnd w:id="78"/>
    <w:bookmarkStart w:id="80" w:name="dostupnost-a-omezení-dat"/>
    <w:p>
      <w:pPr>
        <w:pStyle w:val="Heading3"/>
      </w:pPr>
      <w:r>
        <w:t xml:space="preserve">Dostupnost a omezení dat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w:t>
            </w:r>
          </w:p>
        </w:tc>
        <w:tc>
          <w:tcPr/>
          <w:p>
            <w:pPr>
              <w:pStyle w:val="Compact"/>
              <w:jc w:val="left"/>
            </w:pPr>
            <w:r>
              <w:t xml:space="preserve">roky</w:t>
            </w:r>
          </w:p>
        </w:tc>
        <w:tc>
          <w:tcPr/>
          <w:p>
            <w:pPr>
              <w:pStyle w:val="Compact"/>
              <w:jc w:val="left"/>
            </w:pPr>
            <w:r>
              <w:t xml:space="preserve">identifikace ESIF</w:t>
            </w:r>
          </w:p>
        </w:tc>
      </w:tr>
      <w:tr>
        <w:tc>
          <w:tcPr/>
          <w:p>
            <w:pPr>
              <w:pStyle w:val="Compact"/>
              <w:jc w:val="left"/>
            </w:pPr>
            <w:r>
              <w:t xml:space="preserve">státní rozpočet</w:t>
            </w:r>
          </w:p>
        </w:tc>
        <w:tc>
          <w:tcPr/>
          <w:p>
            <w:pPr>
              <w:pStyle w:val="Compact"/>
              <w:jc w:val="left"/>
            </w:pPr>
            <w:r>
              <w:t xml:space="preserve">2015-2021</w:t>
            </w:r>
          </w:p>
        </w:tc>
        <w:tc>
          <w:tcPr/>
          <w:p>
            <w:pPr>
              <w:pStyle w:val="Compact"/>
              <w:jc w:val="left"/>
            </w:pPr>
            <w:r>
              <w:t xml:space="preserve">Ano</w:t>
            </w:r>
          </w:p>
        </w:tc>
      </w:tr>
      <w:tr>
        <w:tc>
          <w:tcPr/>
          <w:p>
            <w:pPr>
              <w:pStyle w:val="Compact"/>
              <w:jc w:val="left"/>
            </w:pPr>
            <w:r>
              <w:t xml:space="preserve">státní příspěvkové organizace</w:t>
            </w:r>
          </w:p>
        </w:tc>
        <w:tc>
          <w:tcPr/>
          <w:p>
            <w:pPr>
              <w:pStyle w:val="Compact"/>
              <w:jc w:val="left"/>
            </w:pPr>
            <w:r>
              <w:t xml:space="preserve">2010-2020</w:t>
            </w:r>
          </w:p>
        </w:tc>
        <w:tc>
          <w:tcPr/>
          <w:p>
            <w:pPr>
              <w:pStyle w:val="Compact"/>
              <w:jc w:val="left"/>
            </w:pPr>
            <w:r>
              <w:t xml:space="preserve">?</w:t>
            </w:r>
          </w:p>
        </w:tc>
      </w:tr>
      <w:tr>
        <w:tc>
          <w:tcPr/>
          <w:p>
            <w:pPr>
              <w:pStyle w:val="Compact"/>
              <w:jc w:val="left"/>
            </w:pPr>
            <w:r>
              <w:t xml:space="preserve">státní fondy</w:t>
            </w:r>
          </w:p>
        </w:tc>
        <w:tc>
          <w:tcPr/>
          <w:p>
            <w:pPr>
              <w:pStyle w:val="Compact"/>
              <w:jc w:val="left"/>
            </w:pPr>
            <w:r>
              <w:t xml:space="preserve">2015-2021</w:t>
            </w:r>
          </w:p>
        </w:tc>
        <w:tc>
          <w:tcPr/>
          <w:p>
            <w:pPr>
              <w:pStyle w:val="Compact"/>
              <w:jc w:val="left"/>
            </w:pPr>
            <w:r>
              <w:t xml:space="preserve">Ne</w:t>
            </w:r>
          </w:p>
        </w:tc>
      </w:tr>
      <w:tr>
        <w:tc>
          <w:tcPr/>
          <w:p>
            <w:pPr>
              <w:pStyle w:val="Compact"/>
              <w:jc w:val="left"/>
            </w:pPr>
            <w:r>
              <w:t xml:space="preserve">samosprávy a jimi zřizované organizace</w:t>
            </w:r>
          </w:p>
        </w:tc>
        <w:tc>
          <w:tcPr/>
          <w:p>
            <w:pPr>
              <w:pStyle w:val="Compact"/>
              <w:jc w:val="left"/>
            </w:pPr>
            <w:r>
              <w:t xml:space="preserve">2010-2021</w:t>
            </w:r>
          </w:p>
        </w:tc>
        <w:tc>
          <w:tcPr/>
          <w:p>
            <w:pPr>
              <w:pStyle w:val="Compact"/>
              <w:jc w:val="left"/>
            </w:pPr>
            <w:r>
              <w:t xml:space="preserve">Částečně</w:t>
            </w:r>
          </w:p>
        </w:tc>
      </w:tr>
    </w:tbl>
    <w:bookmarkStart w:id="79" w:name="poznámky-ke-kvalitě-dat"/>
    <w:p>
      <w:pPr>
        <w:pStyle w:val="Heading4"/>
      </w:pPr>
      <w:r>
        <w:t xml:space="preserve">Poznámky ke kvalitě dat</w:t>
      </w:r>
    </w:p>
    <w:p>
      <w:pPr>
        <w:numPr>
          <w:ilvl w:val="0"/>
          <w:numId w:val="1008"/>
        </w:numPr>
        <w:pStyle w:val="Compact"/>
      </w:pPr>
      <w:r>
        <w:t xml:space="preserve">odvětvové třídění investic do pododdílů v oddílu Doprava je po roce 2015 velmi vachrlaté a pododdíly v podstatě nejdou použít - většina výdajů na železnice a silnice je v pododdíle Ostatní záležitosti… a všechny tyto oddíly objemově velmi skáčou mezi lety.</w:t>
      </w:r>
    </w:p>
    <w:bookmarkEnd w:id="79"/>
    <w:bookmarkEnd w:id="80"/>
    <w:bookmarkStart w:id="81" w:name="srovnatelnost-se-studií-z-roku-2017"/>
    <w:p>
      <w:pPr>
        <w:pStyle w:val="Heading3"/>
      </w:pPr>
      <w:r>
        <w:t xml:space="preserve">Srovnatelnost se studií z roku 2017</w:t>
      </w:r>
    </w:p>
    <w:p>
      <w:pPr>
        <w:pStyle w:val="FirstParagraph"/>
      </w:pPr>
      <w:r>
        <w:t xml:space="preserve">Hlavní rozdíly jsou tři:</w:t>
      </w:r>
    </w:p>
    <w:p>
      <w:pPr>
        <w:numPr>
          <w:ilvl w:val="0"/>
          <w:numId w:val="1009"/>
        </w:numPr>
        <w:pStyle w:val="Compact"/>
      </w:pPr>
      <w:r>
        <w:t xml:space="preserve">studie z roku 2017 zahrnuje státní fondy</w:t>
      </w:r>
    </w:p>
    <w:p>
      <w:pPr>
        <w:numPr>
          <w:ilvl w:val="0"/>
          <w:numId w:val="1009"/>
        </w:numPr>
        <w:pStyle w:val="Compact"/>
      </w:pPr>
      <w:r>
        <w:t xml:space="preserve">studie z roku 2017 zahrnuje samosprávy</w:t>
      </w:r>
    </w:p>
    <w:p>
      <w:pPr>
        <w:numPr>
          <w:ilvl w:val="0"/>
          <w:numId w:val="1009"/>
        </w:numPr>
        <w:pStyle w:val="Compact"/>
      </w:pPr>
      <w:r>
        <w:t xml:space="preserve">studie z roku 2017 pracuje s vybraným okruhem výdajů - vyloučeny jsou např. ty části druhového nebo odvětvového třídění, kde ESI fondy nehrají roli (např. sociální dávky), popř. které nebyly centrem zájmu studie (zemědělství)</w:t>
      </w:r>
    </w:p>
    <w:p>
      <w:pPr>
        <w:pStyle w:val="FirstParagraph"/>
      </w:pPr>
      <w:r>
        <w:t xml:space="preserve">Ad 1: u SF nejsou z veřejných zdrojů data o zdrojích výdajů, pro rok 2017 vznikly velkým množstvím ruční kompilace interně na MF</w:t>
      </w:r>
      <w:r>
        <w:t xml:space="preserve"> </w:t>
      </w:r>
      <w:r>
        <w:t xml:space="preserve">Ad 2: pro obce data o zdroji výdajů zřejmě nejsou přímo dostupná od roku 2015</w:t>
      </w:r>
    </w:p>
    <w:p>
      <w:pPr>
        <w:pStyle w:val="BodyText"/>
      </w:pPr>
      <w:r>
        <w:t xml:space="preserve">Následky:</w:t>
      </w:r>
    </w:p>
    <w:p>
      <w:pPr>
        <w:pStyle w:val="BodyText"/>
      </w:pPr>
      <w:r>
        <w:t xml:space="preserve">ad 1. Kategorie „ústředně řízení organizace“ zahrnuje jiný okruh výdajů; po roce 2015 u části těchto výdajů neznáme rozdělení na ESIF a vlastní. Nicméně celkové součty výdajů pro „překryvový“ rok (kde máme data z obou zdrojů) cca odpovídají.</w:t>
      </w:r>
      <w:r>
        <w:t xml:space="preserve"> </w:t>
      </w:r>
      <w:r>
        <w:t xml:space="preserve">ad 2. O kategorii „místně řízených organizací“ tj. samospráv máme ohledně podílu ESIF jen nepřímá data a jejich kvalita spolehlivost zatím není jasná.</w:t>
      </w:r>
      <w:r>
        <w:t xml:space="preserve"> </w:t>
      </w:r>
      <w:r>
        <w:t xml:space="preserve">ad 3. V této studii na některých místech ukazujeme dva okruhy výdajů: jednak celý státní rozpočet, jednak výběr podle studie z roku 2017.</w:t>
      </w:r>
    </w:p>
    <w:bookmarkEnd w:id="81"/>
    <w:bookmarkEnd w:id="82"/>
    <w:bookmarkStart w:id="120" w:name="citace-literatura-data-nástroje"/>
    <w:p>
      <w:pPr>
        <w:pStyle w:val="Heading2"/>
      </w:pPr>
      <w:r>
        <w:t xml:space="preserve">Citace: literatura, data, nástroje</w:t>
      </w:r>
    </w:p>
    <w:bookmarkStart w:id="119" w:name="refs"/>
    <w:bookmarkStart w:id="84" w:name="ref-R-czso"/>
    <w:p>
      <w:pPr>
        <w:pStyle w:val="Bibliography"/>
      </w:pPr>
      <w:r>
        <w:t xml:space="preserve">Bouchal, Petr. 2021a.</w:t>
      </w:r>
      <w:r>
        <w:t xml:space="preserve"> </w:t>
      </w:r>
      <w:r>
        <w:rPr>
          <w:iCs/>
          <w:i/>
        </w:rPr>
        <w:t xml:space="preserve">czso: Use Open Data from the Czech Statistical Office in R</w:t>
      </w:r>
      <w:r>
        <w:t xml:space="preserve">.</w:t>
      </w:r>
      <w:r>
        <w:t xml:space="preserve"> </w:t>
      </w:r>
      <w:hyperlink r:id="rId83">
        <w:r>
          <w:rPr>
            <w:rStyle w:val="Hyperlink"/>
          </w:rPr>
          <w:t xml:space="preserve">https://CRAN.R-project.org/package=czso</w:t>
        </w:r>
      </w:hyperlink>
      <w:r>
        <w:t xml:space="preserve">.</w:t>
      </w:r>
    </w:p>
    <w:bookmarkEnd w:id="84"/>
    <w:bookmarkStart w:id="85" w:name="ref-R-statnipokladna"/>
    <w:p>
      <w:pPr>
        <w:pStyle w:val="Bibliography"/>
      </w:pPr>
      <w:r>
        <w:t xml:space="preserve">———. 2021b.</w:t>
      </w:r>
      <w:r>
        <w:t xml:space="preserve"> </w:t>
      </w:r>
      <w:r>
        <w:rPr>
          <w:iCs/>
          <w:i/>
        </w:rPr>
        <w:t xml:space="preserve">statnipokladna: Use Data from the Czech Public Finance Database</w:t>
      </w:r>
      <w:r>
        <w:t xml:space="preserve">.</w:t>
      </w:r>
    </w:p>
    <w:bookmarkEnd w:id="85"/>
    <w:bookmarkStart w:id="87" w:name="ref-R-janitor"/>
    <w:p>
      <w:pPr>
        <w:pStyle w:val="Bibliography"/>
      </w:pPr>
      <w:r>
        <w:t xml:space="preserve">Firke, Sam. 2020.</w:t>
      </w:r>
      <w:r>
        <w:t xml:space="preserve"> </w:t>
      </w:r>
      <w:r>
        <w:rPr>
          <w:iCs/>
          <w:i/>
        </w:rPr>
        <w:t xml:space="preserve">janitor: Simple Tools for Examining and Cleaning Dirty Data</w:t>
      </w:r>
      <w:r>
        <w:t xml:space="preserve">.</w:t>
      </w:r>
      <w:r>
        <w:t xml:space="preserve"> </w:t>
      </w:r>
      <w:hyperlink r:id="rId86">
        <w:r>
          <w:rPr>
            <w:rStyle w:val="Hyperlink"/>
          </w:rPr>
          <w:t xml:space="preserve">https://github.com/sfirke/janitor</w:t>
        </w:r>
      </w:hyperlink>
      <w:r>
        <w:t xml:space="preserve">.</w:t>
      </w:r>
    </w:p>
    <w:bookmarkEnd w:id="87"/>
    <w:bookmarkStart w:id="89" w:name="ref-lubridate2011"/>
    <w:p>
      <w:pPr>
        <w:pStyle w:val="Bibliography"/>
      </w:pPr>
      <w:r>
        <w:t xml:space="preserve">Grolemund, Garrett, a Hadley Wickham. 2011.</w:t>
      </w:r>
      <w:r>
        <w:t xml:space="preserve"> </w:t>
      </w:r>
      <w:r>
        <w:t xml:space="preserve">„Dates and Times Made Easy with</w:t>
      </w:r>
      <w:r>
        <w:t xml:space="preserve"> </w:t>
      </w:r>
      <w:r>
        <w:t xml:space="preserve">lubridate</w:t>
      </w:r>
      <w:r>
        <w:t xml:space="preserve">"</w:t>
      </w:r>
      <w:r>
        <w:t xml:space="preserve">.</w:t>
      </w:r>
      <w:r>
        <w:t xml:space="preserve"> </w:t>
      </w:r>
      <w:r>
        <w:rPr>
          <w:iCs/>
          <w:i/>
        </w:rPr>
        <w:t xml:space="preserve">Journal of Statistical Software</w:t>
      </w:r>
      <w:r>
        <w:t xml:space="preserve"> </w:t>
      </w:r>
      <w:r>
        <w:t xml:space="preserve">40 (3): 1–25.</w:t>
      </w:r>
      <w:r>
        <w:t xml:space="preserve"> </w:t>
      </w:r>
      <w:hyperlink r:id="rId88">
        <w:r>
          <w:rPr>
            <w:rStyle w:val="Hyperlink"/>
          </w:rPr>
          <w:t xml:space="preserve">https://www.jstatsoft.org/v40/i03/</w:t>
        </w:r>
      </w:hyperlink>
      <w:r>
        <w:t xml:space="preserve">.</w:t>
      </w:r>
    </w:p>
    <w:bookmarkEnd w:id="89"/>
    <w:bookmarkStart w:id="91" w:name="ref-R-pointblank"/>
    <w:p>
      <w:pPr>
        <w:pStyle w:val="Bibliography"/>
      </w:pPr>
      <w:r>
        <w:t xml:space="preserve">Iannone, Richard, a Mauricio Vargas. 2021.</w:t>
      </w:r>
      <w:r>
        <w:t xml:space="preserve"> </w:t>
      </w:r>
      <w:r>
        <w:rPr>
          <w:iCs/>
          <w:i/>
        </w:rPr>
        <w:t xml:space="preserve">pointblank: Data Validation and Organization of Metadata for Local and Remote Tables</w:t>
      </w:r>
      <w:r>
        <w:t xml:space="preserve">.</w:t>
      </w:r>
      <w:r>
        <w:t xml:space="preserve"> </w:t>
      </w:r>
      <w:hyperlink r:id="rId90">
        <w:r>
          <w:rPr>
            <w:rStyle w:val="Hyperlink"/>
          </w:rPr>
          <w:t xml:space="preserve">https://CRAN.R-project.org/package=pointblank</w:t>
        </w:r>
      </w:hyperlink>
      <w:r>
        <w:t xml:space="preserve">.</w:t>
      </w:r>
    </w:p>
    <w:bookmarkEnd w:id="91"/>
    <w:bookmarkStart w:id="92" w:name="ref-R-targets"/>
    <w:p>
      <w:pPr>
        <w:pStyle w:val="Bibliography"/>
      </w:pPr>
      <w:r>
        <w:t xml:space="preserve">Landau, William Michael. 2021a.</w:t>
      </w:r>
      <w:r>
        <w:t xml:space="preserve"> </w:t>
      </w:r>
      <w:r>
        <w:rPr>
          <w:iCs/>
          <w:i/>
        </w:rPr>
        <w:t xml:space="preserve">targets: Dynamic Function-Oriented Make-Like Declarative Workflows</w:t>
      </w:r>
      <w:r>
        <w:t xml:space="preserve">.</w:t>
      </w:r>
    </w:p>
    <w:bookmarkEnd w:id="92"/>
    <w:bookmarkStart w:id="94" w:name="ref-targets2021"/>
    <w:p>
      <w:pPr>
        <w:pStyle w:val="Bibliography"/>
      </w:pPr>
      <w:r>
        <w:t xml:space="preserve">———. 2021b.</w:t>
      </w:r>
      <w:r>
        <w:t xml:space="preserve"> </w:t>
      </w:r>
      <w:r>
        <w:t xml:space="preserve">„The targets R package: a dynamic Make-like function-oriented pipeline toolkit for reproducibility and high-performance computing"</w:t>
      </w:r>
      <w:r>
        <w:t xml:space="preserve">.</w:t>
      </w:r>
      <w:r>
        <w:t xml:space="preserve"> </w:t>
      </w:r>
      <w:r>
        <w:rPr>
          <w:iCs/>
          <w:i/>
        </w:rPr>
        <w:t xml:space="preserve">Journal of Open Source Software</w:t>
      </w:r>
      <w:r>
        <w:t xml:space="preserve"> </w:t>
      </w:r>
      <w:r>
        <w:t xml:space="preserve">6 (57): 2959.</w:t>
      </w:r>
      <w:r>
        <w:t xml:space="preserve"> </w:t>
      </w:r>
      <w:hyperlink r:id="rId93">
        <w:r>
          <w:rPr>
            <w:rStyle w:val="Hyperlink"/>
          </w:rPr>
          <w:t xml:space="preserve">https://doi.org/10.21105/joss.02959</w:t>
        </w:r>
      </w:hyperlink>
      <w:r>
        <w:t xml:space="preserve">.</w:t>
      </w:r>
    </w:p>
    <w:bookmarkEnd w:id="94"/>
    <w:bookmarkStart w:id="96" w:name="X8ee745528ca71583fc1de04ae4dcf660c40ff21"/>
    <w:p>
      <w:pPr>
        <w:pStyle w:val="Bibliography"/>
      </w:pPr>
      <w:r>
        <w:t xml:space="preserve">Ministerstvo pro místní rozvoj. 2017.</w:t>
      </w:r>
      <w:r>
        <w:t xml:space="preserve"> </w:t>
      </w:r>
      <w:r>
        <w:t xml:space="preserve">„Veřejné výdaje a fondy EU 2007–2015"</w:t>
      </w:r>
      <w:r>
        <w:t xml:space="preserve">. Praha: Ministerstvo pro místní rozvoj.</w:t>
      </w:r>
      <w:r>
        <w:t xml:space="preserve"> </w:t>
      </w:r>
      <w:hyperlink r:id="rId95">
        <w:r>
          <w:rPr>
            <w:rStyle w:val="Hyperlink"/>
          </w:rPr>
          <w:t xml:space="preserve">https://dotaceeu.cz/cs/evropske-fondy-v-cr/narodni-organ-pro-koordinaci/evaluace/knihovna-evaluaci/verejne-vydaje-a-fondy-eu-2007%e2%80%932015</w:t>
        </w:r>
      </w:hyperlink>
      <w:r>
        <w:t xml:space="preserve">.</w:t>
      </w:r>
    </w:p>
    <w:bookmarkEnd w:id="96"/>
    <w:bookmarkStart w:id="98" w:name="ref-MonitorInformacniPortal"/>
    <w:p>
      <w:pPr>
        <w:pStyle w:val="Bibliography"/>
      </w:pPr>
      <w:r>
        <w:t xml:space="preserve">„Monitor - informační portál Ministerstva financí"</w:t>
      </w:r>
      <w:r>
        <w:t xml:space="preserve">. b.r. Viděno 19. listopad 2020.</w:t>
      </w:r>
      <w:r>
        <w:t xml:space="preserve"> </w:t>
      </w:r>
      <w:hyperlink r:id="rId97">
        <w:r>
          <w:rPr>
            <w:rStyle w:val="Hyperlink"/>
          </w:rPr>
          <w:t xml:space="preserve">https://monitor.statnipokladna.cz/</w:t>
        </w:r>
      </w:hyperlink>
      <w:r>
        <w:t xml:space="preserve">.</w:t>
      </w:r>
    </w:p>
    <w:bookmarkEnd w:id="98"/>
    <w:bookmarkStart w:id="100"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99">
        <w:r>
          <w:rPr>
            <w:rStyle w:val="Hyperlink"/>
          </w:rPr>
          <w:t xml:space="preserve">https://www.R-project.org/</w:t>
        </w:r>
      </w:hyperlink>
      <w:r>
        <w:t xml:space="preserve">.</w:t>
      </w:r>
    </w:p>
    <w:bookmarkEnd w:id="100"/>
    <w:bookmarkStart w:id="101" w:name="ref-R-arrow"/>
    <w:p>
      <w:pPr>
        <w:pStyle w:val="Bibliography"/>
      </w:pPr>
      <w:r>
        <w:t xml:space="preserve">Richardson, Neal, Ian Cook, Nic Crane, Jonathan Keane, Romain François, Jeroen Ooms, a Apache Arrow. 2021.</w:t>
      </w:r>
      <w:r>
        <w:t xml:space="preserve"> </w:t>
      </w:r>
      <w:r>
        <w:rPr>
          <w:iCs/>
          <w:i/>
        </w:rPr>
        <w:t xml:space="preserve">arrow: Integration to Apache ’Arrow’</w:t>
      </w:r>
      <w:r>
        <w:t xml:space="preserve">.</w:t>
      </w:r>
    </w:p>
    <w:bookmarkEnd w:id="101"/>
    <w:bookmarkStart w:id="102" w:name="ref-R-lubridate"/>
    <w:p>
      <w:pPr>
        <w:pStyle w:val="Bibliography"/>
      </w:pPr>
      <w:r>
        <w:t xml:space="preserve">Spinu, Vitalie, Garrett Grolemund, a Hadley Wickham. 2021.</w:t>
      </w:r>
      <w:r>
        <w:t xml:space="preserve"> </w:t>
      </w:r>
      <w:r>
        <w:rPr>
          <w:iCs/>
          <w:i/>
        </w:rPr>
        <w:t xml:space="preserve">lubridate: Make Dealing with Dates a Little Easier</w:t>
      </w:r>
      <w:r>
        <w:t xml:space="preserve">.</w:t>
      </w:r>
    </w:p>
    <w:bookmarkEnd w:id="102"/>
    <w:bookmarkStart w:id="104"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03">
        <w:r>
          <w:rPr>
            <w:rStyle w:val="Hyperlink"/>
          </w:rPr>
          <w:t xml:space="preserve">https://ggplot2.tidyverse.org</w:t>
        </w:r>
      </w:hyperlink>
      <w:r>
        <w:t xml:space="preserve">.</w:t>
      </w:r>
    </w:p>
    <w:bookmarkEnd w:id="104"/>
    <w:bookmarkStart w:id="106" w:name="ref-R-stringr"/>
    <w:p>
      <w:pPr>
        <w:pStyle w:val="Bibliography"/>
      </w:pPr>
      <w:r>
        <w:t xml:space="preserve">———. 2019.</w:t>
      </w:r>
      <w:r>
        <w:t xml:space="preserve"> </w:t>
      </w:r>
      <w:r>
        <w:rPr>
          <w:iCs/>
          <w:i/>
        </w:rPr>
        <w:t xml:space="preserve">stringr: Simple, Consistent Wrappers for Common String Operations</w:t>
      </w:r>
      <w:r>
        <w:t xml:space="preserve">.</w:t>
      </w:r>
      <w:r>
        <w:t xml:space="preserve"> </w:t>
      </w:r>
      <w:hyperlink r:id="rId105">
        <w:r>
          <w:rPr>
            <w:rStyle w:val="Hyperlink"/>
          </w:rPr>
          <w:t xml:space="preserve">https://CRAN.R-project.org/package=stringr</w:t>
        </w:r>
      </w:hyperlink>
      <w:r>
        <w:t xml:space="preserve">.</w:t>
      </w:r>
    </w:p>
    <w:bookmarkEnd w:id="106"/>
    <w:bookmarkStart w:id="108" w:name="ref-R-forcats"/>
    <w:p>
      <w:pPr>
        <w:pStyle w:val="Bibliography"/>
      </w:pPr>
      <w:r>
        <w:t xml:space="preserve">———. 2020.</w:t>
      </w:r>
      <w:r>
        <w:t xml:space="preserve"> </w:t>
      </w:r>
      <w:r>
        <w:rPr>
          <w:iCs/>
          <w:i/>
        </w:rPr>
        <w:t xml:space="preserve">forcats: Tools for Working with Categorical Variables (Factors)</w:t>
      </w:r>
      <w:r>
        <w:t xml:space="preserve">.</w:t>
      </w:r>
      <w:r>
        <w:t xml:space="preserve"> </w:t>
      </w:r>
      <w:hyperlink r:id="rId107">
        <w:r>
          <w:rPr>
            <w:rStyle w:val="Hyperlink"/>
          </w:rPr>
          <w:t xml:space="preserve">https://CRAN.R-project.org/package=forcats</w:t>
        </w:r>
      </w:hyperlink>
      <w:r>
        <w:t xml:space="preserve">.</w:t>
      </w:r>
    </w:p>
    <w:bookmarkEnd w:id="108"/>
    <w:bookmarkStart w:id="110" w:name="ref-R-tidyr"/>
    <w:p>
      <w:pPr>
        <w:pStyle w:val="Bibliography"/>
      </w:pPr>
      <w:r>
        <w:t xml:space="preserve">———. 2021.</w:t>
      </w:r>
      <w:r>
        <w:t xml:space="preserve"> </w:t>
      </w:r>
      <w:r>
        <w:rPr>
          <w:iCs/>
          <w:i/>
        </w:rPr>
        <w:t xml:space="preserve">tidyr: Tidy Messy Data</w:t>
      </w:r>
      <w:r>
        <w:t xml:space="preserve">.</w:t>
      </w:r>
      <w:r>
        <w:t xml:space="preserve"> </w:t>
      </w:r>
      <w:hyperlink r:id="rId109">
        <w:r>
          <w:rPr>
            <w:rStyle w:val="Hyperlink"/>
          </w:rPr>
          <w:t xml:space="preserve">https://CRAN.R-project.org/package=tidyr</w:t>
        </w:r>
      </w:hyperlink>
      <w:r>
        <w:t xml:space="preserve">.</w:t>
      </w:r>
    </w:p>
    <w:bookmarkEnd w:id="110"/>
    <w:bookmarkStart w:id="112" w:name="ref-R-readxl"/>
    <w:p>
      <w:pPr>
        <w:pStyle w:val="Bibliography"/>
      </w:pPr>
      <w:r>
        <w:t xml:space="preserve">Wickham, Hadley, a Jennifer Bryan. 2019.</w:t>
      </w:r>
      <w:r>
        <w:t xml:space="preserve"> </w:t>
      </w:r>
      <w:r>
        <w:rPr>
          <w:iCs/>
          <w:i/>
        </w:rPr>
        <w:t xml:space="preserve">readxl: Read Excel Files</w:t>
      </w:r>
      <w:r>
        <w:t xml:space="preserve">.</w:t>
      </w:r>
      <w:r>
        <w:t xml:space="preserve"> </w:t>
      </w:r>
      <w:hyperlink r:id="rId111">
        <w:r>
          <w:rPr>
            <w:rStyle w:val="Hyperlink"/>
          </w:rPr>
          <w:t xml:space="preserve">https://CRAN.R-project.org/package=readxl</w:t>
        </w:r>
      </w:hyperlink>
      <w:r>
        <w:t xml:space="preserve">.</w:t>
      </w:r>
    </w:p>
    <w:bookmarkEnd w:id="112"/>
    <w:bookmarkStart w:id="114" w:name="ref-R-dplyr"/>
    <w:p>
      <w:pPr>
        <w:pStyle w:val="Bibliography"/>
      </w:pPr>
      <w:r>
        <w:t xml:space="preserve">Wickham, Hadley, Romain François, Lionel Henry, a Kirill Müller. 2021.</w:t>
      </w:r>
      <w:r>
        <w:t xml:space="preserve"> </w:t>
      </w:r>
      <w:r>
        <w:rPr>
          <w:iCs/>
          <w:i/>
        </w:rPr>
        <w:t xml:space="preserve">dplyr: A Grammar of Data Manipulation</w:t>
      </w:r>
      <w:r>
        <w:t xml:space="preserve">.</w:t>
      </w:r>
      <w:r>
        <w:t xml:space="preserve"> </w:t>
      </w:r>
      <w:hyperlink r:id="rId113">
        <w:r>
          <w:rPr>
            <w:rStyle w:val="Hyperlink"/>
          </w:rPr>
          <w:t xml:space="preserve">https://CRAN.R-project.org/package=dplyr</w:t>
        </w:r>
      </w:hyperlink>
      <w:r>
        <w:t xml:space="preserve">.</w:t>
      </w:r>
    </w:p>
    <w:bookmarkEnd w:id="114"/>
    <w:bookmarkStart w:id="116" w:name="ref-R-readr"/>
    <w:p>
      <w:pPr>
        <w:pStyle w:val="Bibliography"/>
      </w:pPr>
      <w:r>
        <w:t xml:space="preserve">Wickham, Hadley, a Jim Hester. 2021.</w:t>
      </w:r>
      <w:r>
        <w:t xml:space="preserve"> </w:t>
      </w:r>
      <w:r>
        <w:rPr>
          <w:iCs/>
          <w:i/>
        </w:rPr>
        <w:t xml:space="preserve">readr: Read Rectangular Text Data</w:t>
      </w:r>
      <w:r>
        <w:t xml:space="preserve">.</w:t>
      </w:r>
      <w:r>
        <w:t xml:space="preserve"> </w:t>
      </w:r>
      <w:hyperlink r:id="rId115">
        <w:r>
          <w:rPr>
            <w:rStyle w:val="Hyperlink"/>
          </w:rPr>
          <w:t xml:space="preserve">https://CRAN.R-project.org/package=readr</w:t>
        </w:r>
      </w:hyperlink>
      <w:r>
        <w:t xml:space="preserve">.</w:t>
      </w:r>
    </w:p>
    <w:bookmarkEnd w:id="116"/>
    <w:bookmarkStart w:id="118" w:name="ref-R-ggplot2"/>
    <w:p>
      <w:pPr>
        <w:pStyle w:val="Bibliography"/>
      </w:pPr>
      <w:r>
        <w:t xml:space="preserve">Wickham, Hadley, Winston Chang, Lionel Henry, Thomas Lin Pedersen, Kohske Takahashi, Claus Wilke, Kara Woo, Hiroaki Yutani, a Dewey Dunnington. 2020.</w:t>
      </w:r>
      <w:r>
        <w:t xml:space="preserve"> </w:t>
      </w:r>
      <w:r>
        <w:rPr>
          <w:iCs/>
          <w:i/>
        </w:rPr>
        <w:t xml:space="preserve">ggplot2: Create Elegant Data Visualisations Using the Grammar of Graphics</w:t>
      </w:r>
      <w:r>
        <w:t xml:space="preserve">.</w:t>
      </w:r>
      <w:r>
        <w:t xml:space="preserve"> </w:t>
      </w:r>
      <w:hyperlink r:id="rId117">
        <w:r>
          <w:rPr>
            <w:rStyle w:val="Hyperlink"/>
          </w:rPr>
          <w:t xml:space="preserve">https://CRAN.R-project.org/package=ggplot2</w:t>
        </w:r>
      </w:hyperlink>
      <w:r>
        <w:t xml:space="preserve">.</w:t>
      </w:r>
    </w:p>
    <w:bookmarkEnd w:id="118"/>
    <w:bookmarkEnd w:id="119"/>
    <w:bookmarkEnd w:id="120"/>
    <w:bookmarkEnd w:id="121"/>
    <w:sectPr w:rsidR="00890944" w:rsidRPr="00FD6177" w:rsidSect="00C33E82">
      <w:footerReference r:id="rId10" w:type="even"/>
      <w:footerReference r:id="rId12" w:type="default"/>
      <w:headerReference r:id="rId9" w:type="first"/>
      <w:footerReference r:id="rId11" w:type="first"/>
      <w:type w:val="continuous"/>
      <w:pgSz w:h="16840" w:w="11900"/>
      <w:pgMar w:bottom="1170" w:footer="567" w:gutter="0" w:header="567" w:left="1588" w:right="1460" w:top="851"/>
      <w:cols w:space="708"/>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notTrueType/>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EA7F" w14:textId="2AEE4020" w:rsidR="00E657C4" w:rsidRDefault="00E657C4"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18</w:t>
    </w:r>
    <w:r>
      <w:rPr>
        <w:rStyle w:val="PageNumber"/>
      </w:rPr>
      <w:fldChar w:fldCharType="end"/>
    </w:r>
  </w:p>
  <w:p w14:paraId="1207F85C" w14:textId="4E560B7D" w:rsidR="00E657C4" w:rsidRPr="00A73944" w:rsidRDefault="00E657C4" w:rsidP="00A154C6">
    <w:pPr>
      <w:tabs>
        <w:tab w:val="right" w:pos="8080"/>
      </w:tabs>
      <w:ind w:right="360" w:firstLine="360"/>
      <w:jc w:val="left"/>
      <w:rPr>
        <w:smallCaps/>
      </w:rPr>
    </w:pPr>
    <w:r>
      <w:rPr>
        <w:smallCaps/>
      </w:rPr>
      <w:tab/>
    </w:r>
    <w:r w:rsidR="002167C8">
      <w:rPr>
        <w:smallCaps/>
      </w:rPr>
      <w:t>Role ESI fondů ve výdajích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A06C" w14:textId="77777777" w:rsidR="00E657C4" w:rsidRDefault="00E657C4" w:rsidP="00D25151">
    <w:pPr>
      <w:tabs>
        <w:tab w:val="right" w:pos="8789"/>
      </w:tabs>
      <w:ind w:right="474"/>
      <w:jc w:val="left"/>
    </w:pPr>
  </w:p>
  <w:p w14:paraId="7A9336A2" w14:textId="203FA134" w:rsidR="00E657C4" w:rsidRDefault="00E657C4"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19</w:t>
    </w:r>
    <w:r>
      <w:rPr>
        <w:rStyle w:val="PageNumber"/>
      </w:rPr>
      <w:fldChar w:fldCharType="end"/>
    </w:r>
  </w:p>
  <w:p w14:paraId="7CA3D82A" w14:textId="7749A25A" w:rsidR="00E657C4" w:rsidRPr="00A73944" w:rsidRDefault="00E657C4"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759E" w14:textId="77777777" w:rsidR="00E657C4" w:rsidRDefault="00E657C4" w:rsidP="00A67C89">
    <w:pPr>
      <w:ind w:right="357"/>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358D" w14:textId="77777777" w:rsidR="00E657C4" w:rsidRPr="00C6752B" w:rsidRDefault="00E657C4" w:rsidP="00D4599F">
    <w:pPr>
      <w:tabs>
        <w:tab w:val="right" w:pos="7088"/>
      </w:tabs>
      <w:ind w:right="360" w:firstLine="360"/>
      <w:jc w:val="right"/>
      <w:rPr>
        <w:smallCaps/>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20D4" w14:textId="2F9F23E7" w:rsidR="002167C8" w:rsidRDefault="002167C8">
    <w:r w:rsidRPr="002167C8">
      <w:rPr>
        <w:noProof/>
      </w:rPr>
      <w:drawing>
        <wp:anchor distT="0" distB="0" distL="114300" distR="114300" simplePos="0" relativeHeight="251659264" behindDoc="0" locked="0" layoutInCell="1" allowOverlap="1" wp14:anchorId="5660008D" wp14:editId="0E36819E">
          <wp:simplePos x="0" y="0"/>
          <wp:positionH relativeFrom="margin">
            <wp:posOffset>-107070</wp:posOffset>
          </wp:positionH>
          <wp:positionV relativeFrom="paragraph">
            <wp:posOffset>257224</wp:posOffset>
          </wp:positionV>
          <wp:extent cx="2462530" cy="550545"/>
          <wp:effectExtent l="0" t="0" r="0" b="1905"/>
          <wp:wrapSquare wrapText="bothSides"/>
          <wp:docPr id="22"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34AFF379" wp14:editId="415613DE">
              <wp:simplePos x="0" y="0"/>
              <wp:positionH relativeFrom="column">
                <wp:posOffset>2353310</wp:posOffset>
              </wp:positionH>
              <wp:positionV relativeFrom="paragraph">
                <wp:posOffset>239493</wp:posOffset>
              </wp:positionV>
              <wp:extent cx="3504320" cy="574040"/>
              <wp:effectExtent l="0" t="0" r="20320" b="16510"/>
              <wp:wrapNone/>
              <wp:docPr id="23"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FF379"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B596CB5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5C6E25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AA63D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7488E1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1D0CA7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294A60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D486E1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CBA2BFF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AF0B64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8C682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16536AF"/>
    <w:multiLevelType w:val="hybridMultilevel"/>
    <w:tmpl w:val="A582E1B8"/>
    <w:lvl w:ilvl="0" w:tplc="E502FA52">
      <w:start w:val="2"/>
      <w:numFmt w:val="bullet"/>
      <w:lvlText w:val="-"/>
      <w:lvlJc w:val="left"/>
      <w:pPr>
        <w:ind w:hanging="360" w:left="1495"/>
      </w:pPr>
      <w:rPr>
        <w:rFonts w:ascii="Calibri Light" w:cs="Calibri Light" w:eastAsia="Calibri" w:hAnsi="Calibri Light" w:hint="default"/>
      </w:rPr>
    </w:lvl>
    <w:lvl w:ilvl="1" w:tentative="1" w:tplc="04050003">
      <w:start w:val="1"/>
      <w:numFmt w:val="bullet"/>
      <w:lvlText w:val="o"/>
      <w:lvlJc w:val="left"/>
      <w:pPr>
        <w:ind w:hanging="360" w:left="2215"/>
      </w:pPr>
      <w:rPr>
        <w:rFonts w:ascii="Courier New" w:cs="Courier New" w:hAnsi="Courier New" w:hint="default"/>
      </w:rPr>
    </w:lvl>
    <w:lvl w:ilvl="2" w:tentative="1" w:tplc="04050005">
      <w:start w:val="1"/>
      <w:numFmt w:val="bullet"/>
      <w:lvlText w:val=""/>
      <w:lvlJc w:val="left"/>
      <w:pPr>
        <w:ind w:hanging="360" w:left="2935"/>
      </w:pPr>
      <w:rPr>
        <w:rFonts w:ascii="Wingdings" w:hAnsi="Wingdings" w:hint="default"/>
      </w:rPr>
    </w:lvl>
    <w:lvl w:ilvl="3" w:tentative="1" w:tplc="04050001">
      <w:start w:val="1"/>
      <w:numFmt w:val="bullet"/>
      <w:lvlText w:val=""/>
      <w:lvlJc w:val="left"/>
      <w:pPr>
        <w:ind w:hanging="360" w:left="3655"/>
      </w:pPr>
      <w:rPr>
        <w:rFonts w:ascii="Symbol" w:hAnsi="Symbol" w:hint="default"/>
      </w:rPr>
    </w:lvl>
    <w:lvl w:ilvl="4" w:tentative="1" w:tplc="04050003">
      <w:start w:val="1"/>
      <w:numFmt w:val="bullet"/>
      <w:lvlText w:val="o"/>
      <w:lvlJc w:val="left"/>
      <w:pPr>
        <w:ind w:hanging="360" w:left="4375"/>
      </w:pPr>
      <w:rPr>
        <w:rFonts w:ascii="Courier New" w:cs="Courier New" w:hAnsi="Courier New" w:hint="default"/>
      </w:rPr>
    </w:lvl>
    <w:lvl w:ilvl="5" w:tentative="1" w:tplc="04050005">
      <w:start w:val="1"/>
      <w:numFmt w:val="bullet"/>
      <w:lvlText w:val=""/>
      <w:lvlJc w:val="left"/>
      <w:pPr>
        <w:ind w:hanging="360" w:left="5095"/>
      </w:pPr>
      <w:rPr>
        <w:rFonts w:ascii="Wingdings" w:hAnsi="Wingdings" w:hint="default"/>
      </w:rPr>
    </w:lvl>
    <w:lvl w:ilvl="6" w:tentative="1" w:tplc="04050001">
      <w:start w:val="1"/>
      <w:numFmt w:val="bullet"/>
      <w:lvlText w:val=""/>
      <w:lvlJc w:val="left"/>
      <w:pPr>
        <w:ind w:hanging="360" w:left="5815"/>
      </w:pPr>
      <w:rPr>
        <w:rFonts w:ascii="Symbol" w:hAnsi="Symbol" w:hint="default"/>
      </w:rPr>
    </w:lvl>
    <w:lvl w:ilvl="7" w:tentative="1" w:tplc="04050003">
      <w:start w:val="1"/>
      <w:numFmt w:val="bullet"/>
      <w:lvlText w:val="o"/>
      <w:lvlJc w:val="left"/>
      <w:pPr>
        <w:ind w:hanging="360" w:left="6535"/>
      </w:pPr>
      <w:rPr>
        <w:rFonts w:ascii="Courier New" w:cs="Courier New" w:hAnsi="Courier New" w:hint="default"/>
      </w:rPr>
    </w:lvl>
    <w:lvl w:ilvl="8" w:tentative="1" w:tplc="04050005">
      <w:start w:val="1"/>
      <w:numFmt w:val="bullet"/>
      <w:lvlText w:val=""/>
      <w:lvlJc w:val="left"/>
      <w:pPr>
        <w:ind w:hanging="360" w:left="7255"/>
      </w:pPr>
      <w:rPr>
        <w:rFonts w:ascii="Wingdings" w:hAnsi="Wingdings" w:hint="default"/>
      </w:rPr>
    </w:lvl>
  </w:abstractNum>
  <w:abstractNum w15:restartNumberingAfterBreak="0" w:abstractNumId="11">
    <w:nsid w:val="04FC678F"/>
    <w:multiLevelType w:val="hybridMultilevel"/>
    <w:tmpl w:val="5E4E2A06"/>
    <w:lvl w:ilvl="0" w:tplc="DA0C8134">
      <w:start w:val="1"/>
      <w:numFmt w:val="decimal"/>
      <w:pStyle w:val="Nadpis2-11"/>
      <w:lvlText w:val="1.%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2">
    <w:nsid w:val="09F227D9"/>
    <w:multiLevelType w:val="hybridMultilevel"/>
    <w:tmpl w:val="E146EF18"/>
    <w:lvl w:ilvl="0" w:tplc="6BEE1CAC">
      <w:start w:val="1"/>
      <w:numFmt w:val="bullet"/>
      <w:lvlText w:val="-"/>
      <w:lvlJc w:val="left"/>
      <w:pPr>
        <w:ind w:hanging="360" w:left="720"/>
      </w:pPr>
      <w:rPr>
        <w:rFonts w:ascii="Courier New" w:hAnsi="Courier New"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3">
    <w:nsid w:val="30CC3908"/>
    <w:multiLevelType w:val="hybridMultilevel"/>
    <w:tmpl w:val="392E1B38"/>
    <w:lvl w:ilvl="0" w:tplc="D546569E">
      <w:start w:val="1"/>
      <w:numFmt w:val="decimal"/>
      <w:pStyle w:val="Nadpis1slovan"/>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3EE4EB6"/>
    <w:multiLevelType w:val="hybridMultilevel"/>
    <w:tmpl w:val="EB688F60"/>
    <w:lvl w:ilvl="0" w:tplc="0EA4EAB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5">
    <w:nsid w:val="508C5934"/>
    <w:multiLevelType w:val="hybridMultilevel"/>
    <w:tmpl w:val="B25C195C"/>
    <w:lvl w:ilvl="0" w:tplc="647A2DD0">
      <w:start w:val="1"/>
      <w:numFmt w:val="bullet"/>
      <w:lvlText w:val="-"/>
      <w:lvlJc w:val="left"/>
      <w:pPr>
        <w:ind w:hanging="360" w:left="720"/>
      </w:pPr>
      <w:rPr>
        <w:rFonts w:ascii="Symbol" w:hAnsi="Symbol" w:hint="default"/>
      </w:rPr>
    </w:lvl>
    <w:lvl w:ilvl="1" w:tplc="D5326790">
      <w:start w:val="1"/>
      <w:numFmt w:val="bullet"/>
      <w:lvlText w:val="o"/>
      <w:lvlJc w:val="left"/>
      <w:pPr>
        <w:ind w:hanging="360" w:left="1440"/>
      </w:pPr>
      <w:rPr>
        <w:rFonts w:ascii="Courier New" w:hAnsi="Courier New" w:hint="default"/>
      </w:rPr>
    </w:lvl>
    <w:lvl w:ilvl="2" w:tplc="67C46784">
      <w:start w:val="1"/>
      <w:numFmt w:val="bullet"/>
      <w:lvlText w:val=""/>
      <w:lvlJc w:val="left"/>
      <w:pPr>
        <w:ind w:hanging="360" w:left="2160"/>
      </w:pPr>
      <w:rPr>
        <w:rFonts w:ascii="Wingdings" w:hAnsi="Wingdings" w:hint="default"/>
      </w:rPr>
    </w:lvl>
    <w:lvl w:ilvl="3" w:tplc="D2A0E2D8">
      <w:start w:val="1"/>
      <w:numFmt w:val="bullet"/>
      <w:lvlText w:val=""/>
      <w:lvlJc w:val="left"/>
      <w:pPr>
        <w:ind w:hanging="360" w:left="2880"/>
      </w:pPr>
      <w:rPr>
        <w:rFonts w:ascii="Symbol" w:hAnsi="Symbol" w:hint="default"/>
      </w:rPr>
    </w:lvl>
    <w:lvl w:ilvl="4" w:tplc="359046B4">
      <w:start w:val="1"/>
      <w:numFmt w:val="bullet"/>
      <w:lvlText w:val="o"/>
      <w:lvlJc w:val="left"/>
      <w:pPr>
        <w:ind w:hanging="360" w:left="3600"/>
      </w:pPr>
      <w:rPr>
        <w:rFonts w:ascii="Courier New" w:hAnsi="Courier New" w:hint="default"/>
      </w:rPr>
    </w:lvl>
    <w:lvl w:ilvl="5" w:tplc="BE9A8C9E">
      <w:start w:val="1"/>
      <w:numFmt w:val="bullet"/>
      <w:lvlText w:val=""/>
      <w:lvlJc w:val="left"/>
      <w:pPr>
        <w:ind w:hanging="360" w:left="4320"/>
      </w:pPr>
      <w:rPr>
        <w:rFonts w:ascii="Wingdings" w:hAnsi="Wingdings" w:hint="default"/>
      </w:rPr>
    </w:lvl>
    <w:lvl w:ilvl="6" w:tplc="EE12B8AA">
      <w:start w:val="1"/>
      <w:numFmt w:val="bullet"/>
      <w:lvlText w:val=""/>
      <w:lvlJc w:val="left"/>
      <w:pPr>
        <w:ind w:hanging="360" w:left="5040"/>
      </w:pPr>
      <w:rPr>
        <w:rFonts w:ascii="Symbol" w:hAnsi="Symbol" w:hint="default"/>
      </w:rPr>
    </w:lvl>
    <w:lvl w:ilvl="7" w:tplc="C5946E20">
      <w:start w:val="1"/>
      <w:numFmt w:val="bullet"/>
      <w:lvlText w:val="o"/>
      <w:lvlJc w:val="left"/>
      <w:pPr>
        <w:ind w:hanging="360" w:left="5760"/>
      </w:pPr>
      <w:rPr>
        <w:rFonts w:ascii="Courier New" w:hAnsi="Courier New" w:hint="default"/>
      </w:rPr>
    </w:lvl>
    <w:lvl w:ilvl="8" w:tplc="4622F9E0">
      <w:start w:val="1"/>
      <w:numFmt w:val="bullet"/>
      <w:lvlText w:val=""/>
      <w:lvlJc w:val="left"/>
      <w:pPr>
        <w:ind w:hanging="360" w:left="6480"/>
      </w:pPr>
      <w:rPr>
        <w:rFonts w:ascii="Wingdings" w:hAnsi="Wingdings" w:hint="default"/>
      </w:rPr>
    </w:lvl>
  </w:abstractNum>
  <w:abstractNum w15:restartNumberingAfterBreak="0" w:abstractNumId="16">
    <w:nsid w:val="541A36F0"/>
    <w:multiLevelType w:val="hybridMultilevel"/>
    <w:tmpl w:val="DDDA7E44"/>
    <w:lvl w:ilvl="0" w:tplc="22B01AB4">
      <w:start w:val="1"/>
      <w:numFmt w:val="bullet"/>
      <w:lvlText w:val="-"/>
      <w:lvlJc w:val="left"/>
      <w:pPr>
        <w:ind w:hanging="360" w:left="720"/>
      </w:pPr>
      <w:rPr>
        <w:rFonts w:ascii="Calibri Light" w:cs="Calibri Light"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7">
    <w:nsid w:val="5E3B44CF"/>
    <w:multiLevelType w:val="multilevel"/>
    <w:tmpl w:val="4FB0721A"/>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8">
    <w:nsid w:val="5FF86ABC"/>
    <w:multiLevelType w:val="hybridMultilevel"/>
    <w:tmpl w:val="0A20D5E0"/>
    <w:lvl w:ilvl="0" w:tplc="04050017">
      <w:start w:val="1"/>
      <w:numFmt w:val="lowerLetter"/>
      <w:lvlText w:val="%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9">
    <w:nsid w:val="68B36C90"/>
    <w:multiLevelType w:val="hybridMultilevel"/>
    <w:tmpl w:val="260A9542"/>
    <w:lvl w:ilvl="0" w:tplc="900CB5B8">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6C31745C"/>
    <w:multiLevelType w:val="hybridMultilevel"/>
    <w:tmpl w:val="730E5CC6"/>
    <w:lvl w:ilvl="0" w:tplc="3FC4BB38">
      <w:start w:val="1"/>
      <w:numFmt w:val="decimal"/>
      <w:pStyle w:val="Nadpis2-21"/>
      <w:lvlText w:val="2.%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1">
    <w:nsid w:val="7D01651C"/>
    <w:multiLevelType w:val="hybridMultilevel"/>
    <w:tmpl w:val="7CEAB4CC"/>
    <w:lvl w:ilvl="0" w:tplc="8FAE9BFC">
      <w:start w:val="11"/>
      <w:numFmt w:val="bullet"/>
      <w:lvlText w:val="-"/>
      <w:lvlJc w:val="left"/>
      <w:pPr>
        <w:ind w:hanging="360" w:left="720"/>
      </w:pPr>
      <w:rPr>
        <w:rFonts w:ascii="Calibri Light" w:cs="Calibri Light" w:eastAsia="Calibri" w:hAnsi="Calibri Light"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2">
    <w:nsid w:val="7E071DEC"/>
    <w:multiLevelType w:val="hybridMultilevel"/>
    <w:tmpl w:val="4D566D9C"/>
    <w:lvl w:ilvl="0" w:tplc="0405000F">
      <w:start w:val="1"/>
      <w:numFmt w:val="decimal"/>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3">
    <w:nsid w:val="7EFD7322"/>
    <w:multiLevelType w:val="hybridMultilevel"/>
    <w:tmpl w:val="1D8011F2"/>
    <w:lvl w:ilvl="0" w:tplc="EC702BA2">
      <w:start w:val="1"/>
      <w:numFmt w:val="decimal"/>
      <w:pStyle w:val="Napis1-slovan"/>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4">
    <w:nsid w:val="7F720E16"/>
    <w:multiLevelType w:val="hybridMultilevel"/>
    <w:tmpl w:val="067ABF2C"/>
    <w:lvl w:ilvl="0" w:tplc="F78A29C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5"/>
  </w:num>
  <w:num w:numId="2">
    <w:abstractNumId w:val="19"/>
  </w:num>
  <w:num w:numId="3">
    <w:abstractNumId w:val="17"/>
  </w:num>
  <w:num w:numId="4">
    <w:abstractNumId w:val="24"/>
  </w:num>
  <w:num w:numId="5">
    <w:abstractNumId w:val="22"/>
  </w:num>
  <w:num w:numId="6">
    <w:abstractNumId w:val="12"/>
  </w:num>
  <w:num w:numId="7">
    <w:abstractNumId w:val="18"/>
  </w:num>
  <w:num w:numId="8">
    <w:abstractNumId w:val="14"/>
  </w:num>
  <w:num w:numId="9">
    <w:abstractNumId w:val="23"/>
  </w:num>
  <w:num w:numId="10">
    <w:abstractNumId w:val="11"/>
  </w:num>
  <w:num w:numId="11">
    <w:abstractNumId w:val="20"/>
  </w:num>
  <w:num w:numId="12">
    <w:abstractNumId w:val="16"/>
  </w:num>
  <w:num w:numId="13">
    <w:abstractNumId w:val="21"/>
  </w:num>
  <w:num w:numId="14">
    <w:abstractNumId w:val="13"/>
  </w:num>
  <w:num w:numId="15">
    <w:abstractNumId w:val="10"/>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63"/>
  <w:proofState w:grammar="clean" w:spelling="clean"/>
  <w:defaultTabStop w:val="720"/>
  <w:hyphenationZone w:val="425"/>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cs"/>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0"/>
    <w:lsdException w:name="heading 2" w:qFormat="1" w:semiHidden="1" w:uiPriority="0" w:unhideWhenUsed="1"/>
    <w:lsdException w:name="heading 3" w:qFormat="1"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6"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97AFC"/>
    <w:pPr>
      <w:spacing w:after="120" w:line="264" w:lineRule="auto"/>
      <w:jc w:val="both"/>
    </w:pPr>
    <w:rPr>
      <w:rFonts w:ascii="Calibri Light" w:cs="Times New Roman" w:eastAsia="Calibri" w:hAnsi="Calibri Light"/>
      <w:color w:themeColor="text1" w:themeTint="F2" w:val="0D0D0D"/>
      <w:lang w:val="cs"/>
    </w:rPr>
  </w:style>
  <w:style w:styleId="Heading1" w:type="paragraph">
    <w:name w:val="heading 1"/>
    <w:basedOn w:val="Normal"/>
    <w:next w:val="Normal"/>
    <w:link w:val="Heading1Char"/>
    <w:autoRedefine/>
    <w:qFormat/>
    <w:rsid w:val="0021277B"/>
    <w:pPr>
      <w:keepNext/>
      <w:tabs>
        <w:tab w:pos="8080" w:val="left"/>
      </w:tabs>
      <w:suppressAutoHyphens/>
      <w:spacing w:before="120"/>
      <w:ind w:right="72"/>
      <w:jc w:val="left"/>
      <w:outlineLvl w:val="0"/>
    </w:pPr>
    <w:rPr>
      <w:rFonts w:ascii="Calibri" w:cstheme="majorBidi" w:eastAsiaTheme="majorEastAsia" w:hAnsi="Calibri"/>
      <w:bCs/>
      <w:color w:themeColor="text2" w:val="1F497D"/>
      <w:kern w:val="32"/>
      <w:sz w:val="32"/>
      <w:szCs w:val="32"/>
    </w:rPr>
  </w:style>
  <w:style w:styleId="Heading2" w:type="paragraph">
    <w:name w:val="heading 2"/>
    <w:basedOn w:val="Normal"/>
    <w:next w:val="Normal"/>
    <w:link w:val="Heading2Char"/>
    <w:unhideWhenUsed/>
    <w:qFormat/>
    <w:rsid w:val="000E0065"/>
    <w:pPr>
      <w:keepNext/>
      <w:suppressAutoHyphens/>
      <w:spacing w:before="360"/>
      <w:jc w:val="left"/>
      <w:outlineLvl w:val="1"/>
    </w:pPr>
    <w:rPr>
      <w:rFonts w:ascii="Calibri" w:cstheme="majorBidi" w:eastAsiaTheme="majorEastAsia" w:hAnsi="Calibri"/>
      <w:bCs/>
      <w:iCs/>
      <w:color w:val="064094"/>
      <w:sz w:val="24"/>
      <w:szCs w:val="28"/>
    </w:rPr>
  </w:style>
  <w:style w:styleId="Heading3" w:type="paragraph">
    <w:name w:val="heading 3"/>
    <w:basedOn w:val="Normal"/>
    <w:next w:val="Normal"/>
    <w:link w:val="Heading3Char"/>
    <w:uiPriority w:val="9"/>
    <w:unhideWhenUsed/>
    <w:qFormat/>
    <w:rsid w:val="00EE4CA0"/>
    <w:pPr>
      <w:keepNext/>
      <w:keepLines/>
      <w:numPr>
        <w:ilvl w:val="2"/>
        <w:numId w:val="3"/>
      </w:numPr>
      <w:spacing w:after="0" w:before="200"/>
      <w:jc w:val="left"/>
      <w:outlineLvl w:val="2"/>
    </w:pPr>
    <w:rPr>
      <w:rFonts w:cstheme="majorBidi" w:eastAsiaTheme="majorEastAsia"/>
      <w:bCs/>
      <w:iCs/>
      <w:color w:themeColor="text2" w:val="1F497D"/>
      <w:szCs w:val="24"/>
    </w:rPr>
  </w:style>
  <w:style w:styleId="Heading4" w:type="paragraph">
    <w:name w:val="heading 4"/>
    <w:basedOn w:val="Normal"/>
    <w:next w:val="Normal"/>
    <w:link w:val="Heading4Char"/>
    <w:uiPriority w:val="9"/>
    <w:unhideWhenUsed/>
    <w:rsid w:val="00EE4CA0"/>
    <w:pPr>
      <w:keepNext/>
      <w:keepLines/>
      <w:numPr>
        <w:ilvl w:val="3"/>
        <w:numId w:val="3"/>
      </w:numPr>
      <w:spacing w:after="0" w:before="200"/>
      <w:outlineLvl w:val="3"/>
    </w:pPr>
    <w:rPr>
      <w:rFonts w:cstheme="majorBidi" w:eastAsiaTheme="majorEastAsia"/>
      <w:bCs/>
      <w:iCs/>
      <w:color w:themeColor="accent1" w:val="4F81BD"/>
    </w:rPr>
  </w:style>
  <w:style w:styleId="Heading5" w:type="paragraph">
    <w:name w:val="heading 5"/>
    <w:basedOn w:val="Normal"/>
    <w:next w:val="Normal"/>
    <w:link w:val="Heading5Char"/>
    <w:uiPriority w:val="9"/>
    <w:unhideWhenUsed/>
    <w:rsid w:val="00EE4CA0"/>
    <w:pPr>
      <w:keepNext/>
      <w:keepLines/>
      <w:numPr>
        <w:ilvl w:val="4"/>
        <w:numId w:val="3"/>
      </w:numPr>
      <w:spacing w:after="0" w:before="200"/>
      <w:outlineLvl w:val="4"/>
    </w:pPr>
    <w:rPr>
      <w:rFonts w:asciiTheme="majorHAnsi" w:cstheme="majorBidi" w:eastAsiaTheme="majorEastAsia" w:hAnsiTheme="majorHAnsi"/>
      <w:color w:themeColor="accent1" w:themeShade="7F" w:val="243F60"/>
    </w:rPr>
  </w:style>
  <w:style w:styleId="Heading6" w:type="paragraph">
    <w:name w:val="heading 6"/>
    <w:basedOn w:val="Normal"/>
    <w:next w:val="Normal"/>
    <w:link w:val="Heading6Char"/>
    <w:uiPriority w:val="9"/>
    <w:semiHidden/>
    <w:unhideWhenUsed/>
    <w:rsid w:val="00EE4CA0"/>
    <w:pPr>
      <w:keepNext/>
      <w:keepLines/>
      <w:numPr>
        <w:ilvl w:val="5"/>
        <w:numId w:val="3"/>
      </w:numPr>
      <w:spacing w:after="0" w:before="200"/>
      <w:outlineLvl w:val="5"/>
    </w:pPr>
    <w:rPr>
      <w:rFonts w:asciiTheme="majorHAnsi" w:cstheme="majorBidi" w:eastAsiaTheme="majorEastAsia" w:hAnsiTheme="majorHAnsi"/>
      <w:i/>
      <w:iCs/>
      <w:color w:themeColor="accent1" w:themeShade="7F" w:val="243F60"/>
    </w:rPr>
  </w:style>
  <w:style w:styleId="Heading7" w:type="paragraph">
    <w:name w:val="heading 7"/>
    <w:basedOn w:val="Normal"/>
    <w:next w:val="Normal"/>
    <w:link w:val="Heading7Char"/>
    <w:uiPriority w:val="9"/>
    <w:semiHidden/>
    <w:unhideWhenUsed/>
    <w:qFormat/>
    <w:rsid w:val="00EE4CA0"/>
    <w:pPr>
      <w:keepNext/>
      <w:keepLines/>
      <w:numPr>
        <w:ilvl w:val="6"/>
        <w:numId w:val="3"/>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EE4CA0"/>
    <w:pPr>
      <w:keepNext/>
      <w:keepLines/>
      <w:numPr>
        <w:ilvl w:val="7"/>
        <w:numId w:val="3"/>
      </w:numPr>
      <w:spacing w:after="0" w:before="200"/>
      <w:outlineLvl w:val="7"/>
    </w:pPr>
    <w:rPr>
      <w:rFonts w:asciiTheme="majorHAnsi" w:cstheme="majorBidi" w:eastAsiaTheme="majorEastAsia" w:hAnsiTheme="majorHAnsi"/>
      <w:color w:themeColor="text1" w:themeTint="BF" w:val="404040"/>
      <w:szCs w:val="20"/>
    </w:rPr>
  </w:style>
  <w:style w:styleId="Heading9" w:type="paragraph">
    <w:name w:val="heading 9"/>
    <w:basedOn w:val="Normal"/>
    <w:next w:val="Normal"/>
    <w:link w:val="Heading9Char"/>
    <w:uiPriority w:val="9"/>
    <w:semiHidden/>
    <w:unhideWhenUsed/>
    <w:qFormat/>
    <w:rsid w:val="00EE4CA0"/>
    <w:pPr>
      <w:keepNext/>
      <w:keepLines/>
      <w:numPr>
        <w:ilvl w:val="8"/>
        <w:numId w:val="3"/>
      </w:numPr>
      <w:spacing w:after="0" w:before="200"/>
      <w:outlineLvl w:val="8"/>
    </w:pPr>
    <w:rPr>
      <w:rFonts w:asciiTheme="majorHAnsi" w:cstheme="majorBidi" w:eastAsiaTheme="majorEastAsia" w:hAnsiTheme="majorHAnsi"/>
      <w:i/>
      <w:iCs/>
      <w:color w:themeColor="text1" w:themeTint="BF" w:val="40404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rsid w:val="0021277B"/>
    <w:rPr>
      <w:rFonts w:ascii="Calibri" w:cstheme="majorBidi" w:eastAsiaTheme="majorEastAsia" w:hAnsi="Calibri"/>
      <w:bCs/>
      <w:color w:themeColor="text2" w:val="1F497D"/>
      <w:kern w:val="32"/>
      <w:sz w:val="32"/>
      <w:szCs w:val="32"/>
      <w:lang w:val="cs"/>
    </w:rPr>
  </w:style>
  <w:style w:customStyle="1" w:styleId="Heading2Char" w:type="character">
    <w:name w:val="Heading 2 Char"/>
    <w:basedOn w:val="DefaultParagraphFont"/>
    <w:link w:val="Heading2"/>
    <w:rsid w:val="000E0065"/>
    <w:rPr>
      <w:rFonts w:ascii="Calibri" w:cstheme="majorBidi" w:eastAsiaTheme="majorEastAsia" w:hAnsi="Calibri"/>
      <w:bCs/>
      <w:iCs/>
      <w:color w:val="064094"/>
      <w:sz w:val="24"/>
      <w:szCs w:val="28"/>
      <w:lang w:val="cs"/>
    </w:rPr>
  </w:style>
  <w:style w:customStyle="1" w:styleId="Heading3Char" w:type="character">
    <w:name w:val="Heading 3 Char"/>
    <w:basedOn w:val="DefaultParagraphFont"/>
    <w:link w:val="Heading3"/>
    <w:uiPriority w:val="9"/>
    <w:rsid w:val="00EE4CA0"/>
    <w:rPr>
      <w:rFonts w:ascii="Calibri Light" w:cstheme="majorBidi" w:eastAsiaTheme="majorEastAsia" w:hAnsi="Calibri Light"/>
      <w:bCs/>
      <w:iCs/>
      <w:color w:themeColor="text2" w:val="1F497D"/>
      <w:szCs w:val="24"/>
      <w:lang w:val="cs"/>
    </w:rPr>
  </w:style>
  <w:style w:customStyle="1" w:styleId="Heading4Char" w:type="character">
    <w:name w:val="Heading 4 Char"/>
    <w:basedOn w:val="DefaultParagraphFont"/>
    <w:link w:val="Heading4"/>
    <w:uiPriority w:val="9"/>
    <w:rsid w:val="00EE4CA0"/>
    <w:rPr>
      <w:rFonts w:ascii="Calibri Light" w:cstheme="majorBidi" w:eastAsiaTheme="majorEastAsia" w:hAnsi="Calibri Light"/>
      <w:bCs/>
      <w:iCs/>
      <w:color w:themeColor="accent1" w:val="4F81BD"/>
      <w:lang w:val="cs"/>
    </w:rPr>
  </w:style>
  <w:style w:customStyle="1" w:styleId="Heading5Char" w:type="character">
    <w:name w:val="Heading 5 Char"/>
    <w:basedOn w:val="DefaultParagraphFont"/>
    <w:link w:val="Heading5"/>
    <w:uiPriority w:val="9"/>
    <w:rsid w:val="00EE4CA0"/>
    <w:rPr>
      <w:rFonts w:asciiTheme="majorHAnsi" w:cstheme="majorBidi" w:eastAsiaTheme="majorEastAsia" w:hAnsiTheme="majorHAnsi"/>
      <w:color w:themeColor="accent1" w:themeShade="7F" w:val="243F60"/>
      <w:lang w:val="cs"/>
    </w:rPr>
  </w:style>
  <w:style w:customStyle="1" w:styleId="Heading6Char" w:type="character">
    <w:name w:val="Heading 6 Char"/>
    <w:basedOn w:val="DefaultParagraphFont"/>
    <w:link w:val="Heading6"/>
    <w:uiPriority w:val="9"/>
    <w:semiHidden/>
    <w:rsid w:val="00EE4CA0"/>
    <w:rPr>
      <w:rFonts w:asciiTheme="majorHAnsi" w:cstheme="majorBidi" w:eastAsiaTheme="majorEastAsia" w:hAnsiTheme="majorHAnsi"/>
      <w:i/>
      <w:iCs/>
      <w:color w:themeColor="accent1" w:themeShade="7F" w:val="243F60"/>
      <w:lang w:val="cs"/>
    </w:rPr>
  </w:style>
  <w:style w:customStyle="1" w:styleId="Heading7Char" w:type="character">
    <w:name w:val="Heading 7 Char"/>
    <w:basedOn w:val="DefaultParagraphFont"/>
    <w:link w:val="Heading7"/>
    <w:uiPriority w:val="9"/>
    <w:semiHidden/>
    <w:rsid w:val="00EE4CA0"/>
    <w:rPr>
      <w:rFonts w:asciiTheme="majorHAnsi" w:cstheme="majorBidi" w:eastAsiaTheme="majorEastAsia" w:hAnsiTheme="majorHAnsi"/>
      <w:i/>
      <w:iCs/>
      <w:color w:themeColor="text1" w:themeTint="BF" w:val="404040"/>
      <w:lang w:val="cs"/>
    </w:rPr>
  </w:style>
  <w:style w:customStyle="1" w:styleId="Heading8Char" w:type="character">
    <w:name w:val="Heading 8 Char"/>
    <w:basedOn w:val="DefaultParagraphFont"/>
    <w:link w:val="Heading8"/>
    <w:uiPriority w:val="9"/>
    <w:semiHidden/>
    <w:rsid w:val="00EE4CA0"/>
    <w:rPr>
      <w:rFonts w:asciiTheme="majorHAnsi" w:cstheme="majorBidi" w:eastAsiaTheme="majorEastAsia" w:hAnsiTheme="majorHAnsi"/>
      <w:color w:themeColor="text1" w:themeTint="BF" w:val="404040"/>
      <w:szCs w:val="20"/>
      <w:lang w:val="cs"/>
    </w:rPr>
  </w:style>
  <w:style w:customStyle="1" w:styleId="Heading9Char" w:type="character">
    <w:name w:val="Heading 9 Char"/>
    <w:basedOn w:val="DefaultParagraphFont"/>
    <w:link w:val="Heading9"/>
    <w:uiPriority w:val="9"/>
    <w:semiHidden/>
    <w:rsid w:val="00EE4CA0"/>
    <w:rPr>
      <w:rFonts w:asciiTheme="majorHAnsi" w:cstheme="majorBidi" w:eastAsiaTheme="majorEastAsia" w:hAnsiTheme="majorHAnsi"/>
      <w:i/>
      <w:iCs/>
      <w:color w:themeColor="text1" w:themeTint="BF" w:val="404040"/>
      <w:szCs w:val="20"/>
      <w:lang w:val="cs"/>
    </w:rPr>
  </w:style>
  <w:style w:styleId="ListParagraph" w:type="paragraph">
    <w:name w:val="List Paragraph"/>
    <w:basedOn w:val="Normal"/>
    <w:uiPriority w:val="34"/>
    <w:qFormat/>
    <w:rsid w:val="003E33E8"/>
    <w:pPr>
      <w:numPr>
        <w:numId w:val="2"/>
      </w:numPr>
      <w:contextualSpacing/>
    </w:pPr>
  </w:style>
  <w:style w:styleId="NoSpacing" w:type="paragraph">
    <w:name w:val="No Spacing"/>
    <w:uiPriority w:val="1"/>
    <w:rsid w:val="00CB2014"/>
    <w:pPr>
      <w:spacing w:after="0" w:line="240" w:lineRule="auto"/>
    </w:pPr>
  </w:style>
  <w:style w:styleId="Hyperlink" w:type="character">
    <w:name w:val="Hyperlink"/>
    <w:basedOn w:val="DefaultParagraphFont"/>
    <w:uiPriority w:val="99"/>
    <w:unhideWhenUsed/>
    <w:rsid w:val="000B2A55"/>
    <w:rPr>
      <w:color w:val="064094"/>
      <w:u w:val="none"/>
    </w:rPr>
  </w:style>
  <w:style w:styleId="BalloonText" w:type="paragraph">
    <w:name w:val="Balloon Text"/>
    <w:basedOn w:val="Normal"/>
    <w:link w:val="BalloonTextChar"/>
    <w:uiPriority w:val="99"/>
    <w:semiHidden/>
    <w:unhideWhenUsed/>
    <w:rsid w:val="00A42404"/>
    <w:pPr>
      <w:spacing w:after="0"/>
    </w:pPr>
    <w:rPr>
      <w:rFonts w:ascii="Lucida Grande" w:cs="Lucida Grande" w:hAnsi="Lucida Grande"/>
      <w:sz w:val="18"/>
      <w:szCs w:val="18"/>
    </w:rPr>
  </w:style>
  <w:style w:customStyle="1" w:styleId="BalloonTextChar" w:type="character">
    <w:name w:val="Balloon Text Char"/>
    <w:basedOn w:val="DefaultParagraphFont"/>
    <w:link w:val="BalloonText"/>
    <w:uiPriority w:val="99"/>
    <w:semiHidden/>
    <w:rsid w:val="00406AA2"/>
    <w:rPr>
      <w:rFonts w:ascii="Lucida Grande" w:cs="Lucida Grande" w:eastAsia="Calibri" w:hAnsi="Lucida Grande"/>
      <w:color w:themeColor="text1" w:themeTint="F2" w:val="0D0D0D"/>
      <w:sz w:val="18"/>
      <w:szCs w:val="18"/>
      <w:lang w:val="cs"/>
    </w:rPr>
  </w:style>
  <w:style w:styleId="IntenseEmphasis" w:type="character">
    <w:name w:val="Intense Emphasis"/>
    <w:basedOn w:val="DefaultParagraphFont"/>
    <w:uiPriority w:val="21"/>
    <w:qFormat/>
    <w:rsid w:val="007D681A"/>
    <w:rPr>
      <w:b/>
      <w:bCs/>
      <w:i/>
      <w:iCs/>
      <w:color w:themeColor="accent1" w:val="4F81BD"/>
    </w:rPr>
  </w:style>
  <w:style w:styleId="LightShading-Accent2" w:type="table">
    <w:name w:val="Light Shading Accent 2"/>
    <w:basedOn w:val="TableNormal"/>
    <w:uiPriority w:val="60"/>
    <w:rsid w:val="00C776C3"/>
    <w:pPr>
      <w:spacing w:after="0" w:line="240" w:lineRule="auto"/>
    </w:pPr>
    <w:rPr>
      <w:color w:themeColor="accent2" w:themeShade="BF" w:val="943634"/>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LightShading-Accent1" w:type="table">
    <w:name w:val="Light Shading Accent 1"/>
    <w:basedOn w:val="TableNormal"/>
    <w:uiPriority w:val="60"/>
    <w:rsid w:val="00751167"/>
    <w:pPr>
      <w:spacing w:after="0" w:line="240" w:lineRule="auto"/>
    </w:pPr>
    <w:rPr>
      <w:color w:themeColor="accent1" w:themeShade="BF" w:val="365F91"/>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Caption" w:type="paragraph">
    <w:name w:val="caption"/>
    <w:basedOn w:val="Normal"/>
    <w:next w:val="Normal"/>
    <w:uiPriority w:val="6"/>
    <w:unhideWhenUsed/>
    <w:qFormat/>
    <w:rsid w:val="00DF7462"/>
    <w:pPr>
      <w:spacing w:line="240" w:lineRule="auto"/>
      <w:jc w:val="left"/>
    </w:pPr>
    <w:rPr>
      <w:b/>
      <w:bCs/>
      <w:vanish/>
      <w:color w:themeColor="accent1" w:val="4F81BD"/>
      <w:sz w:val="18"/>
      <w:szCs w:val="18"/>
    </w:rPr>
  </w:style>
  <w:style w:styleId="Header" w:type="paragraph">
    <w:name w:val="header"/>
    <w:basedOn w:val="Normal"/>
    <w:link w:val="HeaderChar"/>
    <w:uiPriority w:val="99"/>
    <w:unhideWhenUsed/>
    <w:rsid w:val="00160620"/>
    <w:pPr>
      <w:tabs>
        <w:tab w:pos="4320" w:val="center"/>
        <w:tab w:pos="8640" w:val="right"/>
      </w:tabs>
      <w:spacing w:after="0" w:line="240" w:lineRule="auto"/>
    </w:pPr>
  </w:style>
  <w:style w:customStyle="1" w:styleId="HeaderChar" w:type="character">
    <w:name w:val="Header Char"/>
    <w:basedOn w:val="DefaultParagraphFont"/>
    <w:link w:val="Header"/>
    <w:uiPriority w:val="99"/>
    <w:rsid w:val="00132FC1"/>
    <w:rPr>
      <w:rFonts w:ascii="Calibri" w:cs="Times New Roman" w:eastAsia="Calibri" w:hAnsi="Calibri"/>
      <w:color w:themeColor="text1" w:themeTint="F2" w:val="0D0D0D"/>
      <w:lang w:val="cs"/>
    </w:rPr>
  </w:style>
  <w:style w:styleId="Footer" w:type="paragraph">
    <w:name w:val="footer"/>
    <w:basedOn w:val="Normal"/>
    <w:link w:val="FooterChar"/>
    <w:uiPriority w:val="99"/>
    <w:unhideWhenUsed/>
    <w:rsid w:val="00160620"/>
    <w:pPr>
      <w:tabs>
        <w:tab w:pos="4320" w:val="center"/>
        <w:tab w:pos="8640" w:val="right"/>
      </w:tabs>
      <w:spacing w:after="0" w:line="240" w:lineRule="auto"/>
    </w:pPr>
  </w:style>
  <w:style w:customStyle="1" w:styleId="FooterChar" w:type="character">
    <w:name w:val="Footer Char"/>
    <w:basedOn w:val="DefaultParagraphFont"/>
    <w:link w:val="Footer"/>
    <w:uiPriority w:val="99"/>
    <w:rsid w:val="00132FC1"/>
    <w:rPr>
      <w:rFonts w:ascii="Calibri" w:cs="Times New Roman" w:eastAsia="Calibri" w:hAnsi="Calibri"/>
      <w:color w:themeColor="text1" w:themeTint="F2" w:val="0D0D0D"/>
      <w:lang w:val="cs"/>
    </w:rPr>
  </w:style>
  <w:style w:styleId="FootnoteText" w:type="paragraph">
    <w:name w:val="footnote text"/>
    <w:aliases w:val="Char,Char Char Char"/>
    <w:basedOn w:val="Normal"/>
    <w:link w:val="FootnoteTextChar"/>
    <w:uiPriority w:val="99"/>
    <w:unhideWhenUsed/>
    <w:rsid w:val="00D07F8A"/>
    <w:pPr>
      <w:spacing w:after="0" w:line="240" w:lineRule="auto"/>
    </w:pPr>
    <w:rPr>
      <w:sz w:val="18"/>
      <w:szCs w:val="20"/>
    </w:rPr>
  </w:style>
  <w:style w:customStyle="1" w:styleId="FootnoteTextChar" w:type="character">
    <w:name w:val="Footnote Text Char"/>
    <w:aliases w:val="Char Char,Char Char Char Char"/>
    <w:basedOn w:val="DefaultParagraphFont"/>
    <w:link w:val="FootnoteText"/>
    <w:uiPriority w:val="99"/>
    <w:rsid w:val="004B20BC"/>
    <w:rPr>
      <w:rFonts w:ascii="Calibri" w:cs="Times New Roman" w:eastAsia="Calibri" w:hAnsi="Calibri"/>
      <w:color w:themeColor="text1" w:themeTint="F2" w:val="0D0D0D"/>
      <w:sz w:val="18"/>
      <w:szCs w:val="20"/>
      <w:lang w:val="cs"/>
    </w:rPr>
  </w:style>
  <w:style w:styleId="FootnoteReference" w:type="character">
    <w:name w:val="footnote reference"/>
    <w:basedOn w:val="DefaultParagraphFont"/>
    <w:uiPriority w:val="99"/>
    <w:unhideWhenUsed/>
    <w:rsid w:val="004B20BC"/>
    <w:rPr>
      <w:vertAlign w:val="superscript"/>
    </w:rPr>
  </w:style>
  <w:style w:styleId="TableGrid" w:type="table">
    <w:name w:val="Table Grid"/>
    <w:basedOn w:val="TableNormal"/>
    <w:uiPriority w:val="59"/>
    <w:rsid w:val="0084138A"/>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diumList1-Accent1" w:type="table">
    <w:name w:val="Medium List 1 Accent 1"/>
    <w:basedOn w:val="TableNormal"/>
    <w:uiPriority w:val="65"/>
    <w:rsid w:val="0084138A"/>
    <w:pPr>
      <w:spacing w:after="0" w:line="240" w:lineRule="auto"/>
    </w:pPr>
    <w:rPr>
      <w:color w:themeColor="text1" w:val="000000"/>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customStyle="1" w:styleId="MarginNote" w:type="paragraph">
    <w:name w:val="Margin Note"/>
    <w:basedOn w:val="Normal"/>
    <w:autoRedefine/>
    <w:qFormat/>
    <w:rsid w:val="005E681C"/>
    <w:pPr>
      <w:keepNext/>
      <w:framePr w:h="719" w:hAnchor="page" w:hRule="exact" w:hSpace="284" w:vAnchor="text" w:vSpace="181" w:w="1973" w:wrap="around" w:y="208"/>
      <w:ind w:left="357"/>
      <w:jc w:val="right"/>
    </w:pPr>
    <w:rPr>
      <w:color w:val="17365D"/>
      <w:sz w:val="19"/>
    </w:rPr>
  </w:style>
  <w:style w:styleId="PageNumber" w:type="character">
    <w:name w:val="page number"/>
    <w:basedOn w:val="DefaultParagraphFont"/>
    <w:uiPriority w:val="99"/>
    <w:semiHidden/>
    <w:unhideWhenUsed/>
    <w:rsid w:val="00CD0A71"/>
  </w:style>
  <w:style w:styleId="TOC1" w:type="paragraph">
    <w:name w:val="toc 1"/>
    <w:basedOn w:val="Normal"/>
    <w:next w:val="Normal"/>
    <w:autoRedefine/>
    <w:uiPriority w:val="39"/>
    <w:unhideWhenUsed/>
    <w:rsid w:val="005119A7"/>
    <w:pPr>
      <w:spacing w:after="0" w:before="120"/>
      <w:jc w:val="left"/>
    </w:pPr>
    <w:rPr>
      <w:rFonts w:asciiTheme="minorHAnsi" w:hAnsiTheme="minorHAnsi"/>
      <w:b/>
      <w:sz w:val="24"/>
      <w:szCs w:val="24"/>
    </w:rPr>
  </w:style>
  <w:style w:styleId="TOC2" w:type="paragraph">
    <w:name w:val="toc 2"/>
    <w:basedOn w:val="Normal"/>
    <w:next w:val="Normal"/>
    <w:autoRedefine/>
    <w:uiPriority w:val="39"/>
    <w:unhideWhenUsed/>
    <w:rsid w:val="005119A7"/>
    <w:pPr>
      <w:spacing w:after="0"/>
      <w:ind w:left="220"/>
      <w:jc w:val="left"/>
    </w:pPr>
    <w:rPr>
      <w:rFonts w:asciiTheme="minorHAnsi" w:hAnsiTheme="minorHAnsi"/>
      <w:b/>
    </w:rPr>
  </w:style>
  <w:style w:styleId="TOC3" w:type="paragraph">
    <w:name w:val="toc 3"/>
    <w:basedOn w:val="Normal"/>
    <w:next w:val="Normal"/>
    <w:autoRedefine/>
    <w:uiPriority w:val="39"/>
    <w:unhideWhenUsed/>
    <w:rsid w:val="00CD0A71"/>
    <w:pPr>
      <w:spacing w:after="0"/>
      <w:ind w:left="440"/>
      <w:jc w:val="left"/>
    </w:pPr>
    <w:rPr>
      <w:rFonts w:asciiTheme="minorHAnsi" w:hAnsiTheme="minorHAnsi"/>
    </w:rPr>
  </w:style>
  <w:style w:styleId="TOC4" w:type="paragraph">
    <w:name w:val="toc 4"/>
    <w:basedOn w:val="Normal"/>
    <w:next w:val="Normal"/>
    <w:autoRedefine/>
    <w:uiPriority w:val="39"/>
    <w:unhideWhenUsed/>
    <w:rsid w:val="00CD0A71"/>
    <w:pPr>
      <w:spacing w:after="0"/>
      <w:ind w:left="660"/>
      <w:jc w:val="left"/>
    </w:pPr>
    <w:rPr>
      <w:rFonts w:asciiTheme="minorHAnsi" w:hAnsiTheme="minorHAnsi"/>
      <w:sz w:val="20"/>
      <w:szCs w:val="20"/>
    </w:rPr>
  </w:style>
  <w:style w:styleId="TOC5" w:type="paragraph">
    <w:name w:val="toc 5"/>
    <w:basedOn w:val="Normal"/>
    <w:next w:val="Normal"/>
    <w:autoRedefine/>
    <w:uiPriority w:val="39"/>
    <w:unhideWhenUsed/>
    <w:rsid w:val="00CD0A71"/>
    <w:pPr>
      <w:spacing w:after="0"/>
      <w:ind w:left="880"/>
      <w:jc w:val="left"/>
    </w:pPr>
    <w:rPr>
      <w:rFonts w:asciiTheme="minorHAnsi" w:hAnsiTheme="minorHAnsi"/>
      <w:sz w:val="20"/>
      <w:szCs w:val="20"/>
    </w:rPr>
  </w:style>
  <w:style w:styleId="TOC6" w:type="paragraph">
    <w:name w:val="toc 6"/>
    <w:basedOn w:val="Normal"/>
    <w:next w:val="Normal"/>
    <w:autoRedefine/>
    <w:uiPriority w:val="39"/>
    <w:unhideWhenUsed/>
    <w:rsid w:val="00CD0A71"/>
    <w:pPr>
      <w:spacing w:after="0"/>
      <w:ind w:left="1100"/>
      <w:jc w:val="left"/>
    </w:pPr>
    <w:rPr>
      <w:rFonts w:asciiTheme="minorHAnsi" w:hAnsiTheme="minorHAnsi"/>
      <w:sz w:val="20"/>
      <w:szCs w:val="20"/>
    </w:rPr>
  </w:style>
  <w:style w:styleId="TOC7" w:type="paragraph">
    <w:name w:val="toc 7"/>
    <w:basedOn w:val="Normal"/>
    <w:next w:val="Normal"/>
    <w:autoRedefine/>
    <w:uiPriority w:val="39"/>
    <w:unhideWhenUsed/>
    <w:rsid w:val="00CD0A71"/>
    <w:pPr>
      <w:spacing w:after="0"/>
      <w:ind w:left="1320"/>
      <w:jc w:val="left"/>
    </w:pPr>
    <w:rPr>
      <w:rFonts w:asciiTheme="minorHAnsi" w:hAnsiTheme="minorHAnsi"/>
      <w:sz w:val="20"/>
      <w:szCs w:val="20"/>
    </w:rPr>
  </w:style>
  <w:style w:styleId="TOC8" w:type="paragraph">
    <w:name w:val="toc 8"/>
    <w:basedOn w:val="Normal"/>
    <w:next w:val="Normal"/>
    <w:autoRedefine/>
    <w:uiPriority w:val="39"/>
    <w:unhideWhenUsed/>
    <w:rsid w:val="00CD0A71"/>
    <w:pPr>
      <w:spacing w:after="0"/>
      <w:ind w:left="1540"/>
      <w:jc w:val="left"/>
    </w:pPr>
    <w:rPr>
      <w:rFonts w:asciiTheme="minorHAnsi" w:hAnsiTheme="minorHAnsi"/>
      <w:sz w:val="20"/>
      <w:szCs w:val="20"/>
    </w:rPr>
  </w:style>
  <w:style w:styleId="TOC9" w:type="paragraph">
    <w:name w:val="toc 9"/>
    <w:basedOn w:val="Normal"/>
    <w:next w:val="Normal"/>
    <w:autoRedefine/>
    <w:uiPriority w:val="39"/>
    <w:unhideWhenUsed/>
    <w:rsid w:val="00CD0A71"/>
    <w:pPr>
      <w:spacing w:after="0"/>
      <w:ind w:left="1760"/>
      <w:jc w:val="left"/>
    </w:pPr>
    <w:rPr>
      <w:rFonts w:asciiTheme="minorHAnsi" w:hAnsiTheme="minorHAnsi"/>
      <w:sz w:val="20"/>
      <w:szCs w:val="20"/>
    </w:rPr>
  </w:style>
  <w:style w:customStyle="1" w:styleId="Box" w:type="paragraph">
    <w:name w:val="Box"/>
    <w:basedOn w:val="Normal"/>
    <w:link w:val="BoxChar"/>
    <w:rsid w:val="00CD0A71"/>
    <w:pPr>
      <w:pBdr>
        <w:top w:color="4F81BD" w:space="1" w:sz="12" w:themeColor="accent1" w:val="single"/>
        <w:left w:color="4F81BD" w:space="4" w:sz="12" w:themeColor="accent1" w:val="single"/>
        <w:bottom w:color="4F81BD" w:space="1" w:sz="12" w:themeColor="accent1" w:val="single"/>
        <w:right w:color="4F81BD" w:space="4" w:sz="12" w:themeColor="accent1" w:val="single"/>
      </w:pBdr>
      <w:shd w:color="auto" w:fill="DBE5F1" w:themeFill="accent1" w:themeFillTint="33" w:val="clear"/>
      <w:ind w:left="-1701" w:right="-93"/>
    </w:pPr>
  </w:style>
  <w:style w:customStyle="1" w:styleId="BoxChar" w:type="character">
    <w:name w:val="Box Char"/>
    <w:basedOn w:val="DefaultParagraphFont"/>
    <w:link w:val="Box"/>
    <w:rsid w:val="00CD0A71"/>
    <w:rPr>
      <w:rFonts w:ascii="Calibri" w:cs="Times New Roman" w:eastAsia="Calibri" w:hAnsi="Calibri"/>
      <w:color w:themeColor="text1" w:themeTint="F2" w:val="0D0D0D"/>
      <w:shd w:color="auto" w:fill="DBE5F1" w:themeFill="accent1" w:themeFillTint="33" w:val="clear"/>
      <w:lang w:val="cs"/>
    </w:rPr>
  </w:style>
  <w:style w:customStyle="1" w:styleId="Boxtitle" w:type="paragraph">
    <w:name w:val="Box title"/>
    <w:basedOn w:val="Box"/>
    <w:link w:val="BoxtitleChar"/>
    <w:rsid w:val="00CD0A71"/>
    <w:rPr>
      <w:b/>
      <w:color w:themeColor="text2" w:val="1F497D"/>
      <w:sz w:val="24"/>
    </w:rPr>
  </w:style>
  <w:style w:customStyle="1" w:styleId="BoxtitleChar" w:type="character">
    <w:name w:val="Box title Char"/>
    <w:basedOn w:val="BoxChar"/>
    <w:link w:val="Boxtitle"/>
    <w:rsid w:val="00CD0A71"/>
    <w:rPr>
      <w:rFonts w:ascii="Calibri" w:cs="Times New Roman" w:eastAsia="Calibri" w:hAnsi="Calibri"/>
      <w:b/>
      <w:color w:themeColor="text2" w:val="1F497D"/>
      <w:sz w:val="24"/>
      <w:shd w:color="auto" w:fill="DBE5F1" w:themeFill="accent1" w:themeFillTint="33" w:val="clear"/>
      <w:lang w:val="cs"/>
    </w:rPr>
  </w:style>
  <w:style w:customStyle="1" w:styleId="Figurenote" w:type="paragraph">
    <w:name w:val="Figure note"/>
    <w:basedOn w:val="Normal"/>
    <w:link w:val="FigurenoteChar"/>
    <w:qFormat/>
    <w:rsid w:val="002F1B37"/>
    <w:pPr>
      <w:spacing w:after="60" w:line="240" w:lineRule="auto"/>
      <w:ind w:left="578"/>
      <w:jc w:val="left"/>
    </w:pPr>
    <w:rPr>
      <w:i/>
      <w:color w:themeColor="text1" w:themeTint="80" w:val="7F7F7F"/>
      <w:sz w:val="16"/>
    </w:rPr>
  </w:style>
  <w:style w:customStyle="1" w:styleId="FigurenoteChar" w:type="character">
    <w:name w:val="Figure note Char"/>
    <w:basedOn w:val="DefaultParagraphFont"/>
    <w:link w:val="Figurenote"/>
    <w:rsid w:val="002F1B37"/>
    <w:rPr>
      <w:rFonts w:ascii="Calibri Light" w:cs="Times New Roman" w:eastAsia="Calibri" w:hAnsi="Calibri Light"/>
      <w:i/>
      <w:color w:themeColor="text1" w:themeTint="80" w:val="7F7F7F"/>
      <w:sz w:val="16"/>
      <w:lang w:val="cs"/>
    </w:rPr>
  </w:style>
  <w:style w:styleId="CommentReference" w:type="character">
    <w:name w:val="annotation reference"/>
    <w:basedOn w:val="DefaultParagraphFont"/>
    <w:uiPriority w:val="99"/>
    <w:semiHidden/>
    <w:unhideWhenUsed/>
    <w:rsid w:val="00CD0A71"/>
    <w:rPr>
      <w:sz w:val="16"/>
      <w:szCs w:val="16"/>
    </w:rPr>
  </w:style>
  <w:style w:styleId="CommentText" w:type="paragraph">
    <w:name w:val="annotation text"/>
    <w:basedOn w:val="Normal"/>
    <w:link w:val="CommentTextChar"/>
    <w:uiPriority w:val="99"/>
    <w:unhideWhenUsed/>
    <w:rsid w:val="00CD0A71"/>
    <w:pPr>
      <w:spacing w:line="240" w:lineRule="auto"/>
    </w:pPr>
    <w:rPr>
      <w:szCs w:val="20"/>
    </w:rPr>
  </w:style>
  <w:style w:customStyle="1" w:styleId="CommentTextChar" w:type="character">
    <w:name w:val="Comment Text Char"/>
    <w:basedOn w:val="DefaultParagraphFont"/>
    <w:link w:val="CommentText"/>
    <w:uiPriority w:val="99"/>
    <w:rsid w:val="00CD0A71"/>
    <w:rPr>
      <w:rFonts w:ascii="Calibri" w:cs="Times New Roman" w:eastAsia="Calibri" w:hAnsi="Calibri"/>
      <w:color w:themeColor="text1" w:themeTint="F2" w:val="0D0D0D"/>
      <w:szCs w:val="20"/>
      <w:lang w:val="cs"/>
    </w:rPr>
  </w:style>
  <w:style w:styleId="CommentSubject" w:type="paragraph">
    <w:name w:val="annotation subject"/>
    <w:basedOn w:val="CommentText"/>
    <w:next w:val="CommentText"/>
    <w:link w:val="CommentSubjectChar"/>
    <w:uiPriority w:val="99"/>
    <w:semiHidden/>
    <w:unhideWhenUsed/>
    <w:rsid w:val="00CD0A71"/>
    <w:rPr>
      <w:b/>
      <w:bCs/>
    </w:rPr>
  </w:style>
  <w:style w:customStyle="1" w:styleId="CommentSubjectChar" w:type="character">
    <w:name w:val="Comment Subject Char"/>
    <w:basedOn w:val="CommentTextChar"/>
    <w:link w:val="CommentSubject"/>
    <w:uiPriority w:val="99"/>
    <w:semiHidden/>
    <w:rsid w:val="00CD0A71"/>
    <w:rPr>
      <w:rFonts w:ascii="Calibri" w:cs="Times New Roman" w:eastAsia="Calibri" w:hAnsi="Calibri"/>
      <w:b/>
      <w:bCs/>
      <w:color w:themeColor="text1" w:themeTint="F2" w:val="0D0D0D"/>
      <w:szCs w:val="20"/>
      <w:lang w:val="cs"/>
    </w:rPr>
  </w:style>
  <w:style w:styleId="TableofFigures" w:type="paragraph">
    <w:name w:val="table of figures"/>
    <w:basedOn w:val="Normal"/>
    <w:next w:val="Normal"/>
    <w:uiPriority w:val="99"/>
    <w:unhideWhenUsed/>
    <w:rsid w:val="00CD0A71"/>
    <w:pPr>
      <w:spacing w:after="0"/>
    </w:pPr>
  </w:style>
  <w:style w:styleId="Strong" w:type="character">
    <w:name w:val="Strong"/>
    <w:uiPriority w:val="22"/>
    <w:qFormat/>
    <w:rsid w:val="00CD0A71"/>
    <w:rPr>
      <w:b/>
    </w:rPr>
  </w:style>
  <w:style w:customStyle="1" w:styleId="MarginTable" w:type="paragraph">
    <w:name w:val="Margin Table"/>
    <w:basedOn w:val="MarginNote"/>
    <w:qFormat/>
    <w:rsid w:val="000C737A"/>
    <w:pPr>
      <w:framePr w:hAnchor="text" w:hRule="auto" w:hSpace="0" w:vAnchor="margin" w:vSpace="0" w:w="0" w:wrap="auto" w:yAlign="inline"/>
      <w:spacing w:after="0"/>
      <w:ind w:left="-1701"/>
      <w:jc w:val="left"/>
    </w:pPr>
    <w:rPr>
      <w:rFonts w:ascii="Calibri" w:hAnsi="Calibri"/>
      <w:b/>
      <w:sz w:val="20"/>
    </w:rPr>
  </w:style>
  <w:style w:styleId="FollowedHyperlink" w:type="character">
    <w:name w:val="FollowedHyperlink"/>
    <w:basedOn w:val="DefaultParagraphFont"/>
    <w:uiPriority w:val="99"/>
    <w:semiHidden/>
    <w:unhideWhenUsed/>
    <w:rsid w:val="00CD0A71"/>
    <w:rPr>
      <w:color w:themeColor="followedHyperlink" w:val="800080"/>
      <w:u w:val="single"/>
    </w:rPr>
  </w:style>
  <w:style w:styleId="DocumentMap" w:type="paragraph">
    <w:name w:val="Document Map"/>
    <w:basedOn w:val="Normal"/>
    <w:link w:val="DocumentMapChar"/>
    <w:uiPriority w:val="99"/>
    <w:semiHidden/>
    <w:unhideWhenUsed/>
    <w:rsid w:val="00CD0A71"/>
    <w:pPr>
      <w:spacing w:after="0" w:line="240" w:lineRule="auto"/>
    </w:pPr>
    <w:rPr>
      <w:rFonts w:ascii="Tahoma" w:cs="Tahoma" w:hAnsi="Tahoma"/>
      <w:sz w:val="16"/>
      <w:szCs w:val="16"/>
    </w:rPr>
  </w:style>
  <w:style w:customStyle="1" w:styleId="DocumentMapChar" w:type="character">
    <w:name w:val="Document Map Char"/>
    <w:basedOn w:val="DefaultParagraphFont"/>
    <w:link w:val="DocumentMap"/>
    <w:uiPriority w:val="99"/>
    <w:semiHidden/>
    <w:rsid w:val="00CD0A71"/>
    <w:rPr>
      <w:rFonts w:ascii="Tahoma" w:cs="Tahoma" w:eastAsia="Calibri" w:hAnsi="Tahoma"/>
      <w:color w:themeColor="text1" w:themeTint="F2" w:val="0D0D0D"/>
      <w:sz w:val="16"/>
      <w:szCs w:val="16"/>
      <w:lang w:val="cs"/>
    </w:rPr>
  </w:style>
  <w:style w:customStyle="1" w:styleId="LightShading-Accent11" w:type="table">
    <w:name w:val="Light Shading - Accent 11"/>
    <w:basedOn w:val="TableNormal"/>
    <w:uiPriority w:val="60"/>
    <w:rsid w:val="00CD0A71"/>
    <w:pPr>
      <w:spacing w:after="0" w:line="240" w:lineRule="auto"/>
    </w:pPr>
    <w:rPr>
      <w:rFonts w:ascii="Times New Roman" w:cs="Times New Roman" w:eastAsia="Helvetica" w:hAnsi="Times New Roman"/>
      <w:color w:themeColor="accent1" w:themeShade="BF" w:val="365F91"/>
      <w:sz w:val="20"/>
      <w:szCs w:val="20"/>
      <w:lang w:val="cs"/>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customStyle="1" w:styleId="Highlight" w:type="paragraph">
    <w:name w:val="Highlight"/>
    <w:basedOn w:val="Normal"/>
    <w:link w:val="HighlightChar"/>
    <w:qFormat/>
    <w:rsid w:val="00CD0A71"/>
    <w:pPr>
      <w:ind w:left="567" w:right="758"/>
      <w:jc w:val="center"/>
    </w:pPr>
    <w:rPr>
      <w:color w:themeColor="text2" w:val="1F497D"/>
      <w:sz w:val="28"/>
      <w:szCs w:val="28"/>
    </w:rPr>
  </w:style>
  <w:style w:customStyle="1" w:styleId="HighlightChar" w:type="character">
    <w:name w:val="Highlight Char"/>
    <w:basedOn w:val="DefaultParagraphFont"/>
    <w:link w:val="Highlight"/>
    <w:rsid w:val="00CD0A71"/>
    <w:rPr>
      <w:rFonts w:ascii="Calibri" w:cs="Times New Roman" w:eastAsia="Calibri" w:hAnsi="Calibri"/>
      <w:color w:themeColor="text2" w:val="1F497D"/>
      <w:sz w:val="28"/>
      <w:szCs w:val="28"/>
      <w:lang w:val="cs"/>
    </w:rPr>
  </w:style>
  <w:style w:styleId="Emphasis" w:type="character">
    <w:name w:val="Emphasis"/>
    <w:basedOn w:val="DefaultParagraphFont"/>
    <w:uiPriority w:val="20"/>
    <w:qFormat/>
    <w:rsid w:val="00CD0A71"/>
    <w:rPr>
      <w:i/>
      <w:iCs/>
    </w:rPr>
  </w:style>
  <w:style w:styleId="NormalWeb" w:type="paragraph">
    <w:name w:val="Normal (Web)"/>
    <w:basedOn w:val="Normal"/>
    <w:uiPriority w:val="99"/>
    <w:unhideWhenUsed/>
    <w:rsid w:val="00000D4D"/>
    <w:pPr>
      <w:spacing w:after="100" w:afterAutospacing="1" w:before="100" w:beforeAutospacing="1" w:line="240" w:lineRule="auto"/>
      <w:jc w:val="left"/>
    </w:pPr>
    <w:rPr>
      <w:rFonts w:ascii="Times New Roman" w:eastAsiaTheme="minorEastAsia" w:hAnsi="Times New Roman"/>
      <w:color w:val="auto"/>
      <w:sz w:val="24"/>
      <w:szCs w:val="24"/>
      <w:lang w:val="cs"/>
    </w:rPr>
  </w:style>
  <w:style w:customStyle="1" w:styleId="apple-converted-space" w:type="character">
    <w:name w:val="apple-converted-space"/>
    <w:basedOn w:val="DefaultParagraphFont"/>
    <w:rsid w:val="00CD0A71"/>
  </w:style>
  <w:style w:styleId="Title" w:type="paragraph">
    <w:name w:val="Title"/>
    <w:basedOn w:val="Heading1"/>
    <w:next w:val="Normal"/>
    <w:link w:val="TitleChar"/>
    <w:uiPriority w:val="10"/>
    <w:qFormat/>
    <w:rsid w:val="00EE4CA0"/>
    <w:pPr>
      <w:spacing w:after="0"/>
      <w:jc w:val="right"/>
      <w:outlineLvl w:val="9"/>
    </w:pPr>
    <w:rPr>
      <w:color w:val="393939"/>
      <w:sz w:val="36"/>
    </w:rPr>
  </w:style>
  <w:style w:customStyle="1" w:styleId="TitleChar" w:type="character">
    <w:name w:val="Title Char"/>
    <w:basedOn w:val="DefaultParagraphFont"/>
    <w:link w:val="Title"/>
    <w:uiPriority w:val="10"/>
    <w:rsid w:val="00EE4CA0"/>
    <w:rPr>
      <w:rFonts w:ascii="Calibri" w:cstheme="majorBidi" w:eastAsiaTheme="majorEastAsia" w:hAnsi="Calibri"/>
      <w:bCs/>
      <w:color w:val="393939"/>
      <w:kern w:val="32"/>
      <w:sz w:val="36"/>
      <w:szCs w:val="32"/>
      <w:lang w:val="cs"/>
    </w:rPr>
  </w:style>
  <w:style w:styleId="Subtitle" w:type="paragraph">
    <w:name w:val="Subtitle"/>
    <w:basedOn w:val="Title"/>
    <w:next w:val="Normal"/>
    <w:link w:val="SubtitleChar"/>
    <w:uiPriority w:val="11"/>
    <w:qFormat/>
    <w:rsid w:val="006A67CF"/>
    <w:pPr>
      <w:spacing w:after="240" w:before="0"/>
    </w:pPr>
    <w:rPr>
      <w:color w:val="064094"/>
      <w:sz w:val="24"/>
    </w:rPr>
  </w:style>
  <w:style w:customStyle="1" w:styleId="SubtitleChar" w:type="character">
    <w:name w:val="Subtitle Char"/>
    <w:basedOn w:val="DefaultParagraphFont"/>
    <w:link w:val="Subtitle"/>
    <w:uiPriority w:val="11"/>
    <w:rsid w:val="006A67CF"/>
    <w:rPr>
      <w:rFonts w:ascii="Calibri" w:cstheme="majorBidi" w:eastAsiaTheme="majorEastAsia" w:hAnsi="Calibri"/>
      <w:bCs/>
      <w:color w:val="064094"/>
      <w:kern w:val="32"/>
      <w:sz w:val="24"/>
      <w:szCs w:val="32"/>
      <w:lang w:val="cs"/>
    </w:rPr>
  </w:style>
  <w:style w:styleId="EndnoteText" w:type="paragraph">
    <w:name w:val="endnote text"/>
    <w:basedOn w:val="Normal"/>
    <w:link w:val="EndnoteTextChar"/>
    <w:uiPriority w:val="99"/>
    <w:semiHidden/>
    <w:unhideWhenUsed/>
    <w:rsid w:val="00CD0A71"/>
    <w:pPr>
      <w:spacing w:after="0" w:line="240" w:lineRule="auto"/>
    </w:pPr>
    <w:rPr>
      <w:szCs w:val="20"/>
    </w:rPr>
  </w:style>
  <w:style w:customStyle="1" w:styleId="EndnoteTextChar" w:type="character">
    <w:name w:val="Endnote Text Char"/>
    <w:basedOn w:val="DefaultParagraphFont"/>
    <w:link w:val="EndnoteText"/>
    <w:uiPriority w:val="99"/>
    <w:semiHidden/>
    <w:rsid w:val="00CD0A71"/>
    <w:rPr>
      <w:rFonts w:ascii="Calibri" w:cs="Times New Roman" w:eastAsia="Calibri" w:hAnsi="Calibri"/>
      <w:color w:themeColor="text1" w:themeTint="F2" w:val="0D0D0D"/>
      <w:szCs w:val="20"/>
      <w:lang w:val="cs"/>
    </w:rPr>
  </w:style>
  <w:style w:styleId="EndnoteReference" w:type="character">
    <w:name w:val="endnote reference"/>
    <w:basedOn w:val="DefaultParagraphFont"/>
    <w:uiPriority w:val="99"/>
    <w:semiHidden/>
    <w:unhideWhenUsed/>
    <w:rsid w:val="00CD0A71"/>
    <w:rPr>
      <w:vertAlign w:val="superscript"/>
    </w:rPr>
  </w:style>
  <w:style w:customStyle="1" w:styleId="rtejustify" w:type="paragraph">
    <w:name w:val="rtejustify"/>
    <w:basedOn w:val="Normal"/>
    <w:rsid w:val="002D78FC"/>
    <w:pPr>
      <w:spacing w:after="100" w:afterAutospacing="1" w:before="100" w:beforeAutospacing="1" w:line="240" w:lineRule="auto"/>
      <w:jc w:val="left"/>
    </w:pPr>
    <w:rPr>
      <w:rFonts w:ascii="Times New Roman" w:eastAsia="Times New Roman" w:hAnsi="Times New Roman"/>
      <w:color w:val="auto"/>
      <w:sz w:val="24"/>
      <w:szCs w:val="24"/>
      <w:lang w:eastAsia="cs-CZ"/>
    </w:rPr>
  </w:style>
  <w:style w:styleId="Quote" w:type="paragraph">
    <w:name w:val="Quote"/>
    <w:basedOn w:val="Normal"/>
    <w:next w:val="Normal"/>
    <w:link w:val="QuoteChar"/>
    <w:uiPriority w:val="29"/>
    <w:qFormat/>
    <w:rsid w:val="00AE724E"/>
    <w:pPr>
      <w:spacing w:after="240" w:before="240"/>
      <w:jc w:val="left"/>
    </w:pPr>
    <w:rPr>
      <w:iCs/>
      <w:color w:themeColor="text2" w:val="1F497D"/>
      <w:sz w:val="26"/>
    </w:rPr>
  </w:style>
  <w:style w:customStyle="1" w:styleId="QuoteChar" w:type="character">
    <w:name w:val="Quote Char"/>
    <w:basedOn w:val="DefaultParagraphFont"/>
    <w:link w:val="Quote"/>
    <w:uiPriority w:val="29"/>
    <w:rsid w:val="00AE724E"/>
    <w:rPr>
      <w:rFonts w:ascii="Calibri Light" w:cs="Times New Roman" w:eastAsia="Calibri" w:hAnsi="Calibri Light"/>
      <w:iCs/>
      <w:color w:themeColor="text2" w:val="1F497D"/>
      <w:sz w:val="26"/>
      <w:lang w:val="cs"/>
    </w:rPr>
  </w:style>
  <w:style w:styleId="Revision" w:type="paragraph">
    <w:name w:val="Revision"/>
    <w:hidden/>
    <w:uiPriority w:val="99"/>
    <w:semiHidden/>
    <w:rsid w:val="00506F1E"/>
    <w:pPr>
      <w:spacing w:after="0" w:line="240" w:lineRule="auto"/>
    </w:pPr>
    <w:rPr>
      <w:rFonts w:ascii="Calibri" w:cs="Times New Roman" w:eastAsia="Calibri" w:hAnsi="Calibri"/>
      <w:color w:themeColor="text1" w:themeTint="F2" w:val="0D0D0D"/>
      <w:lang w:val="cs"/>
    </w:rPr>
  </w:style>
  <w:style w:styleId="PlaceholderText" w:type="character">
    <w:name w:val="Placeholder Text"/>
    <w:basedOn w:val="DefaultParagraphFont"/>
    <w:uiPriority w:val="99"/>
    <w:semiHidden/>
    <w:rsid w:val="006B4E56"/>
    <w:rPr>
      <w:color w:val="808080"/>
    </w:rPr>
  </w:style>
  <w:style w:styleId="TOCHeading" w:type="paragraph">
    <w:name w:val="TOC Heading"/>
    <w:basedOn w:val="Heading1"/>
    <w:next w:val="Normal"/>
    <w:uiPriority w:val="39"/>
    <w:unhideWhenUsed/>
    <w:qFormat/>
    <w:rsid w:val="006906FA"/>
    <w:pPr>
      <w:keepLines/>
      <w:suppressAutoHyphens w:val="0"/>
      <w:spacing w:after="0" w:before="480" w:line="276" w:lineRule="auto"/>
      <w:outlineLvl w:val="9"/>
    </w:pPr>
    <w:rPr>
      <w:rFonts w:asciiTheme="majorHAnsi" w:hAnsiTheme="majorHAnsi"/>
      <w:color w:themeColor="accent1" w:themeShade="BF" w:val="365F91"/>
      <w:kern w:val="0"/>
      <w:sz w:val="28"/>
      <w:szCs w:val="28"/>
      <w:lang w:eastAsia="cs-CZ"/>
    </w:rPr>
  </w:style>
  <w:style w:customStyle="1" w:styleId="Intro" w:type="paragraph">
    <w:name w:val="Intro"/>
    <w:basedOn w:val="Normal"/>
    <w:qFormat/>
    <w:rsid w:val="001A446E"/>
    <w:rPr>
      <w:color w:themeColor="text1" w:themeTint="D9" w:val="262626"/>
    </w:rPr>
  </w:style>
  <w:style w:customStyle="1" w:styleId="Boldcalibri" w:type="paragraph">
    <w:name w:val="Bold calibri"/>
    <w:basedOn w:val="Intro"/>
    <w:next w:val="Intro"/>
    <w:qFormat/>
    <w:rsid w:val="004833F9"/>
    <w:rPr>
      <w:rFonts w:asciiTheme="minorHAnsi" w:hAnsiTheme="minorHAnsi"/>
      <w:b/>
    </w:rPr>
  </w:style>
  <w:style w:customStyle="1" w:styleId="MarginTable2" w:type="paragraph">
    <w:name w:val="Margin Table 2"/>
    <w:basedOn w:val="MarginNote"/>
    <w:qFormat/>
    <w:rsid w:val="00897AFC"/>
    <w:pPr>
      <w:framePr w:hRule="auto" w:hSpace="181" w:wrap="around" w:y="211"/>
    </w:pPr>
    <w:rPr>
      <w:rFonts w:ascii="Calibri" w:hAnsi="Calibri"/>
      <w:sz w:val="18"/>
    </w:rPr>
  </w:style>
  <w:style w:customStyle="1" w:styleId="graf" w:type="paragraph">
    <w:name w:val="graf"/>
    <w:basedOn w:val="Normal"/>
    <w:qFormat/>
    <w:rsid w:val="002F1B37"/>
    <w:pPr>
      <w:spacing w:after="0" w:line="240" w:lineRule="auto"/>
      <w:jc w:val="center"/>
    </w:pPr>
    <w:rPr>
      <w:rFonts w:cstheme="minorBidi" w:eastAsiaTheme="minorHAnsi"/>
      <w:noProof/>
      <w:color w:themeColor="text1" w:themeTint="D9" w:val="262626"/>
      <w:lang w:eastAsia="cs-CZ"/>
    </w:rPr>
  </w:style>
  <w:style w:customStyle="1" w:styleId="GRAFNADPIS" w:type="paragraph">
    <w:name w:val="GRAF NADPIS"/>
    <w:basedOn w:val="Caption"/>
    <w:qFormat/>
    <w:rsid w:val="00A35A8B"/>
    <w:pPr>
      <w:keepNext/>
      <w:spacing w:before="120"/>
    </w:pPr>
    <w:rPr>
      <w:color w:themeColor="text2" w:val="1F497D"/>
      <w:sz w:val="24"/>
      <w:szCs w:val="16"/>
      <w:lang w:eastAsia="cs-CZ"/>
    </w:rPr>
  </w:style>
  <w:style w:customStyle="1" w:styleId="zdrojgraf" w:type="paragraph">
    <w:name w:val="zdroj graf"/>
    <w:basedOn w:val="Normal"/>
    <w:qFormat/>
    <w:rsid w:val="00C8516D"/>
    <w:pPr>
      <w:spacing w:line="240" w:lineRule="auto"/>
      <w:ind w:left="1134"/>
      <w:jc w:val="left"/>
    </w:pPr>
    <w:rPr>
      <w:rFonts w:cstheme="minorBidi" w:eastAsiaTheme="minorHAnsi"/>
      <w:color w:themeColor="text1" w:themeTint="D9" w:val="262626"/>
      <w:sz w:val="16"/>
      <w:szCs w:val="18"/>
    </w:rPr>
  </w:style>
  <w:style w:styleId="SubtleEmphasis" w:type="character">
    <w:name w:val="Subtle Emphasis"/>
    <w:basedOn w:val="DefaultParagraphFont"/>
    <w:uiPriority w:val="19"/>
    <w:qFormat/>
    <w:rsid w:val="00BB2DE4"/>
    <w:rPr>
      <w:i/>
      <w:iCs/>
      <w:color w:themeColor="text1" w:themeTint="7F" w:val="808080"/>
    </w:rPr>
  </w:style>
  <w:style w:customStyle="1" w:styleId="paragraph" w:type="paragraph">
    <w:name w:val="paragraph"/>
    <w:basedOn w:val="Normal"/>
    <w:rsid w:val="00FA3453"/>
    <w:pPr>
      <w:spacing w:after="100" w:afterAutospacing="1" w:before="100" w:beforeAutospacing="1" w:line="240" w:lineRule="auto"/>
      <w:jc w:val="left"/>
    </w:pPr>
    <w:rPr>
      <w:rFonts w:ascii="Times New Roman" w:eastAsia="Times New Roman" w:hAnsi="Times New Roman"/>
      <w:color w:val="auto"/>
      <w:sz w:val="24"/>
      <w:szCs w:val="24"/>
      <w:lang w:eastAsia="cs-CZ"/>
    </w:rPr>
  </w:style>
  <w:style w:customStyle="1" w:styleId="normaltextrun" w:type="character">
    <w:name w:val="normaltextrun"/>
    <w:basedOn w:val="DefaultParagraphFont"/>
    <w:rsid w:val="00FA3453"/>
  </w:style>
  <w:style w:customStyle="1" w:styleId="eop" w:type="character">
    <w:name w:val="eop"/>
    <w:basedOn w:val="DefaultParagraphFont"/>
    <w:rsid w:val="00FA3453"/>
  </w:style>
  <w:style w:customStyle="1" w:styleId="spellingerror" w:type="character">
    <w:name w:val="spellingerror"/>
    <w:basedOn w:val="DefaultParagraphFont"/>
    <w:rsid w:val="00FA3453"/>
  </w:style>
  <w:style w:customStyle="1" w:styleId="Mkatabulky1" w:type="table">
    <w:name w:val="Mřížka tabulky1"/>
    <w:basedOn w:val="TableNormal"/>
    <w:next w:val="TableGrid"/>
    <w:uiPriority w:val="59"/>
    <w:rsid w:val="008D0115"/>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ulka" w:type="paragraph">
    <w:name w:val="tabulka"/>
    <w:basedOn w:val="NoSpacing"/>
    <w:qFormat/>
    <w:rsid w:val="00F61A26"/>
    <w:rPr>
      <w:rFonts w:ascii="Calibri Light" w:hAnsi="Calibri Light"/>
      <w:lang w:val="cs"/>
    </w:rPr>
  </w:style>
  <w:style w:styleId="HTMLCode" w:type="character">
    <w:name w:val="HTML Code"/>
    <w:basedOn w:val="DefaultParagraphFont"/>
    <w:uiPriority w:val="99"/>
    <w:semiHidden/>
    <w:unhideWhenUsed/>
    <w:rsid w:val="00726479"/>
    <w:rPr>
      <w:rFonts w:ascii="Courier New" w:cs="Courier New" w:eastAsia="Times New Roman" w:hAnsi="Courier New"/>
      <w:sz w:val="20"/>
      <w:szCs w:val="20"/>
    </w:rPr>
  </w:style>
  <w:style w:styleId="HTMLCite" w:type="character">
    <w:name w:val="HTML Cite"/>
    <w:basedOn w:val="DefaultParagraphFont"/>
    <w:uiPriority w:val="99"/>
    <w:semiHidden/>
    <w:unhideWhenUsed/>
    <w:rsid w:val="005B128E"/>
    <w:rPr>
      <w:i/>
      <w:iCs/>
    </w:rPr>
  </w:style>
  <w:style w:customStyle="1" w:styleId="Default" w:type="paragraph">
    <w:name w:val="Default"/>
    <w:rsid w:val="003D10C2"/>
    <w:pPr>
      <w:autoSpaceDE w:val="0"/>
      <w:autoSpaceDN w:val="0"/>
      <w:adjustRightInd w:val="0"/>
      <w:spacing w:after="0" w:line="240" w:lineRule="auto"/>
    </w:pPr>
    <w:rPr>
      <w:rFonts w:ascii="Cambria" w:cs="Cambria" w:hAnsi="Cambria"/>
      <w:color w:val="000000"/>
      <w:sz w:val="24"/>
      <w:szCs w:val="24"/>
      <w:lang w:val="cs"/>
    </w:rPr>
  </w:style>
  <w:style w:customStyle="1" w:styleId="ImageCaption" w:type="paragraph">
    <w:name w:val="Image Caption"/>
    <w:basedOn w:val="Caption"/>
    <w:qFormat/>
    <w:rsid w:val="008B382F"/>
    <w:pPr>
      <w:keepNext/>
      <w:spacing w:after="40"/>
      <w:jc w:val="center"/>
    </w:pPr>
    <w:rPr>
      <w:b w:val="0"/>
      <w:bCs w:val="0"/>
      <w:vanish w:val="0"/>
    </w:rPr>
  </w:style>
  <w:style w:customStyle="1" w:styleId="Napis1-slovan" w:type="paragraph">
    <w:name w:val="Napis 1 - číslovaný"/>
    <w:basedOn w:val="Heading1"/>
    <w:rsid w:val="005A6449"/>
    <w:pPr>
      <w:numPr>
        <w:numId w:val="9"/>
      </w:numPr>
      <w:ind w:left="360"/>
    </w:pPr>
  </w:style>
  <w:style w:customStyle="1" w:styleId="Nadpis2-11" w:type="paragraph">
    <w:name w:val="Nadpis 2 - 1.1"/>
    <w:basedOn w:val="Heading2"/>
    <w:qFormat/>
    <w:rsid w:val="005A6449"/>
    <w:pPr>
      <w:numPr>
        <w:numId w:val="10"/>
      </w:numPr>
    </w:pPr>
  </w:style>
  <w:style w:customStyle="1" w:styleId="Nadpis2-21" w:type="paragraph">
    <w:name w:val="Nadpis 2 - 2.1"/>
    <w:basedOn w:val="Nadpis2-11"/>
    <w:qFormat/>
    <w:rsid w:val="008A2ECB"/>
    <w:pPr>
      <w:numPr>
        <w:numId w:val="11"/>
      </w:numPr>
    </w:pPr>
  </w:style>
  <w:style w:customStyle="1" w:styleId="Nadpis1slovan" w:type="paragraph">
    <w:name w:val="Nadpis 1 (číslovaný)"/>
    <w:basedOn w:val="Napis1-slovan"/>
    <w:qFormat/>
    <w:rsid w:val="00BE5D77"/>
    <w:pPr>
      <w:numPr>
        <w:numId w:val="14"/>
      </w:numPr>
      <w:ind w:left="360"/>
    </w:pPr>
  </w:style>
  <w:style w:customStyle="1" w:styleId="NapisGRAF" w:type="paragraph">
    <w:name w:val="Napis GRAF"/>
    <w:basedOn w:val="Caption"/>
    <w:qFormat/>
    <w:rsid w:val="005353A7"/>
    <w:pPr>
      <w:keepNext/>
      <w:spacing w:after="60"/>
    </w:pPr>
    <w:rPr>
      <w:b w:val="0"/>
      <w:bCs w:val="0"/>
    </w:rPr>
  </w:style>
  <w:style w:customStyle="1" w:styleId="Nevyeenzmnka1" w:type="character">
    <w:name w:val="Nevyřešená zmínka1"/>
    <w:basedOn w:val="DefaultParagraphFont"/>
    <w:uiPriority w:val="99"/>
    <w:semiHidden/>
    <w:unhideWhenUsed/>
    <w:rsid w:val="009C0781"/>
    <w:rPr>
      <w:color w:val="605E5C"/>
      <w:shd w:color="auto" w:fill="E1DFDD" w:val="clear"/>
    </w:rPr>
  </w:style>
  <w:style w:styleId="PlainText" w:type="paragraph">
    <w:name w:val="Plain Text"/>
    <w:basedOn w:val="Normal"/>
    <w:link w:val="PlainTextChar"/>
    <w:uiPriority w:val="99"/>
    <w:unhideWhenUsed/>
    <w:rsid w:val="009C0781"/>
    <w:pPr>
      <w:spacing w:after="0" w:line="240" w:lineRule="auto"/>
      <w:jc w:val="left"/>
    </w:pPr>
    <w:rPr>
      <w:rFonts w:ascii="Calibri" w:cstheme="minorBidi" w:eastAsiaTheme="minorHAnsi" w:hAnsi="Calibri"/>
      <w:color w:val="auto"/>
      <w:szCs w:val="21"/>
    </w:rPr>
  </w:style>
  <w:style w:customStyle="1" w:styleId="PlainTextChar" w:type="character">
    <w:name w:val="Plain Text Char"/>
    <w:basedOn w:val="DefaultParagraphFont"/>
    <w:link w:val="PlainText"/>
    <w:uiPriority w:val="99"/>
    <w:rsid w:val="009C0781"/>
    <w:rPr>
      <w:rFonts w:ascii="Calibri" w:hAnsi="Calibri"/>
      <w:szCs w:val="21"/>
      <w:lang w:val="cs"/>
    </w:rPr>
  </w:style>
  <w:style w:customStyle="1" w:styleId="UnresolvedMention1" w:type="character">
    <w:name w:val="Unresolved Mention1"/>
    <w:basedOn w:val="DefaultParagraphFont"/>
    <w:uiPriority w:val="99"/>
    <w:semiHidden/>
    <w:unhideWhenUsed/>
    <w:rsid w:val="00C87687"/>
    <w:rPr>
      <w:color w:val="605E5C"/>
      <w:shd w:color="auto" w:fill="E1DFDD" w:val="clear"/>
    </w:rPr>
  </w:style>
  <w:style w:styleId="Date" w:type="paragraph">
    <w:name w:val="Date"/>
    <w:basedOn w:val="Subtitle"/>
    <w:next w:val="Normal"/>
    <w:link w:val="DateChar"/>
    <w:uiPriority w:val="99"/>
    <w:unhideWhenUsed/>
    <w:rsid w:val="008B382F"/>
    <w:pPr>
      <w:spacing w:after="120"/>
      <w:ind w:right="74"/>
    </w:pPr>
  </w:style>
  <w:style w:customStyle="1" w:styleId="DateChar" w:type="character">
    <w:name w:val="Date Char"/>
    <w:basedOn w:val="DefaultParagraphFont"/>
    <w:link w:val="Date"/>
    <w:uiPriority w:val="99"/>
    <w:rsid w:val="008B382F"/>
    <w:rPr>
      <w:rFonts w:ascii="Calibri" w:cstheme="majorBidi" w:eastAsiaTheme="majorEastAsia" w:hAnsi="Calibri"/>
      <w:bCs/>
      <w:color w:val="064094"/>
      <w:kern w:val="32"/>
      <w:sz w:val="24"/>
      <w:szCs w:val="32"/>
      <w:lang w:val="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lada.cz/assets/evropske-zalezitosti/analyzy-EU/210331_Srovnavaci_studie_verze_final.pdf" TargetMode="External"/></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3.xml" Type="http://schemas.openxmlformats.org/officeDocument/2006/relationships/footer" /><Relationship Id="rId12" Target="footer2.xml" Type="http://schemas.openxmlformats.org/officeDocument/2006/relationships/footer" /><Relationship Id="rId13" Target="footer4.xml" Type="http://schemas.openxmlformats.org/officeDocument/2006/relationships/footer"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83" Target="https://CRAN.R-project.org/package=czso" TargetMode="External" /><Relationship Type="http://schemas.openxmlformats.org/officeDocument/2006/relationships/hyperlink" Id="rId113" Target="https://CRAN.R-project.org/package=dplyr" TargetMode="External" /><Relationship Type="http://schemas.openxmlformats.org/officeDocument/2006/relationships/hyperlink" Id="rId107" Target="https://CRAN.R-project.org/package=forcats" TargetMode="External" /><Relationship Type="http://schemas.openxmlformats.org/officeDocument/2006/relationships/hyperlink" Id="rId117" Target="https://CRAN.R-project.org/package=ggplot2" TargetMode="External" /><Relationship Type="http://schemas.openxmlformats.org/officeDocument/2006/relationships/hyperlink" Id="rId90" Target="https://CRAN.R-project.org/package=pointblank" TargetMode="External" /><Relationship Type="http://schemas.openxmlformats.org/officeDocument/2006/relationships/hyperlink" Id="rId115" Target="https://CRAN.R-project.org/package=readr" TargetMode="External" /><Relationship Type="http://schemas.openxmlformats.org/officeDocument/2006/relationships/hyperlink" Id="rId111" Target="https://CRAN.R-project.org/package=readxl" TargetMode="External" /><Relationship Type="http://schemas.openxmlformats.org/officeDocument/2006/relationships/hyperlink" Id="rId105" Target="https://CRAN.R-project.org/package=stringr" TargetMode="External" /><Relationship Type="http://schemas.openxmlformats.org/officeDocument/2006/relationships/hyperlink" Id="rId109" Target="https://CRAN.R-project.org/package=tidyr" TargetMode="External" /><Relationship Type="http://schemas.openxmlformats.org/officeDocument/2006/relationships/hyperlink" Id="rId93" Target="https://doi.org/10.21105/joss.02959" TargetMode="External" /><Relationship Type="http://schemas.openxmlformats.org/officeDocument/2006/relationships/hyperlink" Id="rId95" Target="https://dotaceeu.cz/cs/evropske-fondy-v-cr/narodni-organ-pro-koordinaci/evaluace/knihovna-evaluaci/verejne-vydaje-a-fondy-eu-2007%e2%80%932015" TargetMode="External" /><Relationship Type="http://schemas.openxmlformats.org/officeDocument/2006/relationships/hyperlink" Id="rId103" Target="https://ggplot2.tidyverse.org" TargetMode="External" /><Relationship Type="http://schemas.openxmlformats.org/officeDocument/2006/relationships/hyperlink" Id="rId86" Target="https://github.com/sfirke/janitor" TargetMode="External" /><Relationship Type="http://schemas.openxmlformats.org/officeDocument/2006/relationships/hyperlink" Id="rId97" Target="https://monitor.statnipokladna.cz/" TargetMode="External" /><Relationship Type="http://schemas.openxmlformats.org/officeDocument/2006/relationships/hyperlink" Id="rId99" Target="https://www.R-project.org/" TargetMode="External" /><Relationship Type="http://schemas.openxmlformats.org/officeDocument/2006/relationships/hyperlink" Id="rId88" Target="https://www.jstatsoft.org/v40/i03/" TargetMode="External" /></Relationships>
</file>

<file path=word/_rels/footnotes.xml.rels><?xml version="1.0" encoding="UTF-8"?><Relationships xmlns="http://schemas.openxmlformats.org/package/2006/relationships"><Relationship Type="http://schemas.openxmlformats.org/officeDocument/2006/relationships/hyperlink" Id="rId83" Target="https://CRAN.R-project.org/package=czso" TargetMode="External" /><Relationship Type="http://schemas.openxmlformats.org/officeDocument/2006/relationships/hyperlink" Id="rId113" Target="https://CRAN.R-project.org/package=dplyr" TargetMode="External" /><Relationship Type="http://schemas.openxmlformats.org/officeDocument/2006/relationships/hyperlink" Id="rId107" Target="https://CRAN.R-project.org/package=forcats" TargetMode="External" /><Relationship Type="http://schemas.openxmlformats.org/officeDocument/2006/relationships/hyperlink" Id="rId117" Target="https://CRAN.R-project.org/package=ggplot2" TargetMode="External" /><Relationship Type="http://schemas.openxmlformats.org/officeDocument/2006/relationships/hyperlink" Id="rId90" Target="https://CRAN.R-project.org/package=pointblank" TargetMode="External" /><Relationship Type="http://schemas.openxmlformats.org/officeDocument/2006/relationships/hyperlink" Id="rId115" Target="https://CRAN.R-project.org/package=readr" TargetMode="External" /><Relationship Type="http://schemas.openxmlformats.org/officeDocument/2006/relationships/hyperlink" Id="rId111" Target="https://CRAN.R-project.org/package=readxl" TargetMode="External" /><Relationship Type="http://schemas.openxmlformats.org/officeDocument/2006/relationships/hyperlink" Id="rId105" Target="https://CRAN.R-project.org/package=stringr" TargetMode="External" /><Relationship Type="http://schemas.openxmlformats.org/officeDocument/2006/relationships/hyperlink" Id="rId109" Target="https://CRAN.R-project.org/package=tidyr" TargetMode="External" /><Relationship Type="http://schemas.openxmlformats.org/officeDocument/2006/relationships/hyperlink" Id="rId93" Target="https://doi.org/10.21105/joss.02959" TargetMode="External" /><Relationship Type="http://schemas.openxmlformats.org/officeDocument/2006/relationships/hyperlink" Id="rId95" Target="https://dotaceeu.cz/cs/evropske-fondy-v-cr/narodni-organ-pro-koordinaci/evaluace/knihovna-evaluaci/verejne-vydaje-a-fondy-eu-2007%e2%80%932015" TargetMode="External" /><Relationship Type="http://schemas.openxmlformats.org/officeDocument/2006/relationships/hyperlink" Id="rId103" Target="https://ggplot2.tidyverse.org" TargetMode="External" /><Relationship Type="http://schemas.openxmlformats.org/officeDocument/2006/relationships/hyperlink" Id="rId86" Target="https://github.com/sfirke/janitor" TargetMode="External" /><Relationship Type="http://schemas.openxmlformats.org/officeDocument/2006/relationships/hyperlink" Id="rId97" Target="https://monitor.statnipokladna.cz/" TargetMode="External" /><Relationship Type="http://schemas.openxmlformats.org/officeDocument/2006/relationships/hyperlink" Id="rId99" Target="https://www.R-project.org/" TargetMode="External" /><Relationship Type="http://schemas.openxmlformats.org/officeDocument/2006/relationships/hyperlink" Id="rId88" Target="https://www.jstatsoft.org/v40/i0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19</Pages>
  <Words>3862</Words>
  <Characters>22014</Characters>
  <Application>Microsoft Office Word</Application>
  <DocSecurity>0</DocSecurity>
  <Lines>183</Lines>
  <Paragraphs>51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Úřad vlády ČR</Company>
  <LinksUpToDate>false</LinksUpToDate>
  <CharactersWithSpaces>25825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cs</dc:language>
  <cp:keywords/>
  <dcterms:created xsi:type="dcterms:W3CDTF">2021-12-19T17:17:27Z</dcterms:created>
  <dcterms:modified xsi:type="dcterms:W3CDTF">2021-12-19T17:17:27Z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