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Poklesy</w:t>
      </w:r>
      <w:r>
        <w:t xml:space="preserve"> </w:t>
      </w:r>
      <w:r>
        <w:t xml:space="preserve">mobility</w:t>
      </w:r>
      <w:r>
        <w:t xml:space="preserve"> </w:t>
      </w:r>
      <w:r>
        <w:t xml:space="preserve">podle</w:t>
      </w:r>
      <w:r>
        <w:t xml:space="preserve"> </w:t>
      </w:r>
      <w:r>
        <w:t xml:space="preserve">dat</w:t>
      </w:r>
      <w:r>
        <w:t xml:space="preserve"> </w:t>
      </w:r>
      <w:r>
        <w:t xml:space="preserve">Google</w:t>
      </w:r>
      <w:r>
        <w:t xml:space="preserve"> </w:t>
      </w:r>
      <w:r>
        <w:t xml:space="preserve">Mobility</w:t>
      </w:r>
    </w:p>
    <w:p>
      <w:pPr>
        <w:pStyle w:val="Author"/>
      </w:pPr>
      <w:r>
        <w:t xml:space="preserve">Workshopper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listopadu</w:t>
      </w:r>
      <w:r>
        <w:t xml:space="preserve"> </w:t>
      </w:r>
      <w:r>
        <w:t xml:space="preserve">2020</w:t>
      </w:r>
    </w:p>
    <w:bookmarkStart w:id="21" w:name="průběh-mobility-v-celé-čr"/>
    <w:p>
      <w:pPr>
        <w:pStyle w:val="Heading1"/>
      </w:pPr>
      <w:r>
        <w:t xml:space="preserve">Průběh mobility v celé ČR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report-reseni_files/figure-docx/casova-ra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Celorepublikově ke dni 2020-10-30 nejvíc poklesla mobilita v kategorii lokalit Obchody a rekreace, a to o 59 % oproti normálnímu stavu.</w:t>
      </w:r>
    </w:p>
    <w:p>
      <w:r>
        <w:br w:type="page"/>
      </w:r>
    </w:p>
    <w:bookmarkEnd w:id="21"/>
    <w:bookmarkStart w:id="23" w:name="X63041c5eb12ebdef8d1162620ec81e84b7c3b79"/>
    <w:p>
      <w:pPr>
        <w:pStyle w:val="Heading1"/>
      </w:pPr>
      <w:r>
        <w:t xml:space="preserve">Přehled poklesu mobility: průměr od 01. říj 2020</w:t>
      </w:r>
    </w:p>
    <w:p>
      <w:pPr>
        <w:pStyle w:val="FirstParagraph"/>
      </w:pPr>
      <w:r>
        <w:t xml:space="preserve">Průměrné poklesy podle krajů a typu lokality.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report-reseni_files/figure-docx/prume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pokles-mobility-obchod-a-rekreace"/>
    <w:p>
      <w:pPr>
        <w:pStyle w:val="Heading1"/>
      </w:pPr>
      <w:r>
        <w:t xml:space="preserve">Pokles mobility: obchod a rekreace</w:t>
      </w:r>
    </w:p>
    <w:p>
      <w:pPr>
        <w:pStyle w:val="FirstParagraph"/>
      </w:pPr>
      <w:r>
        <w:t xml:space="preserve">Dny s největším poklesem podle krajů.</w:t>
      </w:r>
    </w:p>
    <w:p>
      <w:pPr>
        <w:pStyle w:val="BodyText"/>
      </w:pPr>
      <w:r>
        <w:t xml:space="preserve">Od 01. říj 2020, svátky vyjmuty.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Kraj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Pokles mobility do obchodů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Zlín Region</w:t>
            </w:r>
          </w:p>
        </w:tc>
        <w:tc>
          <w:p>
            <w:pPr>
              <w:pStyle w:val="Compact"/>
              <w:jc w:val="right"/>
            </w:pPr>
            <w:r>
              <w:t xml:space="preserve">-67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Prague</w:t>
            </w:r>
          </w:p>
        </w:tc>
        <w:tc>
          <w:p>
            <w:pPr>
              <w:pStyle w:val="Compact"/>
              <w:jc w:val="right"/>
            </w:pPr>
            <w:r>
              <w:t xml:space="preserve">-66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Hradec Králové Region</w:t>
            </w:r>
          </w:p>
        </w:tc>
        <w:tc>
          <w:p>
            <w:pPr>
              <w:pStyle w:val="Compact"/>
              <w:jc w:val="right"/>
            </w:pPr>
            <w:r>
              <w:t xml:space="preserve">-64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Moravian-Silesian Region</w:t>
            </w:r>
          </w:p>
        </w:tc>
        <w:tc>
          <w:p>
            <w:pPr>
              <w:pStyle w:val="Compact"/>
              <w:jc w:val="right"/>
            </w:pPr>
            <w:r>
              <w:t xml:space="preserve">-63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Olomouc Region</w:t>
            </w:r>
          </w:p>
        </w:tc>
        <w:tc>
          <w:p>
            <w:pPr>
              <w:pStyle w:val="Compact"/>
              <w:jc w:val="right"/>
            </w:pPr>
            <w:r>
              <w:t xml:space="preserve">-63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South Moravian Region</w:t>
            </w:r>
          </w:p>
        </w:tc>
        <w:tc>
          <w:p>
            <w:pPr>
              <w:pStyle w:val="Compact"/>
              <w:jc w:val="right"/>
            </w:pPr>
            <w:r>
              <w:t xml:space="preserve">-62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Vysočina Region</w:t>
            </w:r>
          </w:p>
        </w:tc>
        <w:tc>
          <w:p>
            <w:pPr>
              <w:pStyle w:val="Compact"/>
              <w:jc w:val="right"/>
            </w:pPr>
            <w:r>
              <w:t xml:space="preserve">-62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Celá ČR</w:t>
            </w:r>
          </w:p>
        </w:tc>
        <w:tc>
          <w:p>
            <w:pPr>
              <w:pStyle w:val="Compact"/>
              <w:jc w:val="right"/>
            </w:pPr>
            <w:r>
              <w:t xml:space="preserve">-61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Plzeň Region</w:t>
            </w:r>
          </w:p>
        </w:tc>
        <w:tc>
          <w:p>
            <w:pPr>
              <w:pStyle w:val="Compact"/>
              <w:jc w:val="right"/>
            </w:pPr>
            <w:r>
              <w:t xml:space="preserve">-61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South Bohemian Region</w:t>
            </w:r>
          </w:p>
        </w:tc>
        <w:tc>
          <w:p>
            <w:pPr>
              <w:pStyle w:val="Compact"/>
              <w:jc w:val="right"/>
            </w:pPr>
            <w:r>
              <w:t xml:space="preserve">-61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Karlovy Vary Region</w:t>
            </w:r>
          </w:p>
        </w:tc>
        <w:tc>
          <w:p>
            <w:pPr>
              <w:pStyle w:val="Compact"/>
              <w:jc w:val="right"/>
            </w:pPr>
            <w:r>
              <w:t xml:space="preserve">-60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2020-10-30</w:t>
            </w:r>
          </w:p>
        </w:tc>
        <w:tc>
          <w:p>
            <w:pPr>
              <w:pStyle w:val="Compact"/>
              <w:jc w:val="left"/>
            </w:pPr>
            <w:r>
              <w:t xml:space="preserve">Pardubice Region</w:t>
            </w:r>
          </w:p>
        </w:tc>
        <w:tc>
          <w:p>
            <w:pPr>
              <w:pStyle w:val="Compact"/>
              <w:jc w:val="right"/>
            </w:pPr>
            <w:r>
              <w:t xml:space="preserve">-60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Liberec Region</w:t>
            </w:r>
          </w:p>
        </w:tc>
        <w:tc>
          <w:p>
            <w:pPr>
              <w:pStyle w:val="Compact"/>
              <w:jc w:val="right"/>
            </w:pPr>
            <w:r>
              <w:t xml:space="preserve">-59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2020-10-24</w:t>
            </w:r>
          </w:p>
        </w:tc>
        <w:tc>
          <w:p>
            <w:pPr>
              <w:pStyle w:val="Compact"/>
              <w:jc w:val="left"/>
            </w:pPr>
            <w:r>
              <w:t xml:space="preserve">Ústí nad Labem Region</w:t>
            </w:r>
          </w:p>
        </w:tc>
        <w:tc>
          <w:p>
            <w:pPr>
              <w:pStyle w:val="Compact"/>
              <w:jc w:val="right"/>
            </w:pPr>
            <w:r>
              <w:t xml:space="preserve">-58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2020-10-30</w:t>
            </w:r>
          </w:p>
        </w:tc>
        <w:tc>
          <w:p>
            <w:pPr>
              <w:pStyle w:val="Compact"/>
              <w:jc w:val="left"/>
            </w:pPr>
            <w:r>
              <w:t xml:space="preserve">Ústí nad Labem Region</w:t>
            </w:r>
          </w:p>
        </w:tc>
        <w:tc>
          <w:p>
            <w:pPr>
              <w:pStyle w:val="Compact"/>
              <w:jc w:val="right"/>
            </w:pPr>
            <w:r>
              <w:t xml:space="preserve">-58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2020-10-30</w:t>
            </w:r>
          </w:p>
        </w:tc>
        <w:tc>
          <w:p>
            <w:pPr>
              <w:pStyle w:val="Compact"/>
              <w:jc w:val="left"/>
            </w:pPr>
            <w:r>
              <w:t xml:space="preserve">Central Bohemian Region</w:t>
            </w:r>
          </w:p>
        </w:tc>
        <w:tc>
          <w:p>
            <w:pPr>
              <w:pStyle w:val="Compact"/>
              <w:jc w:val="right"/>
            </w:pPr>
            <w:r>
              <w:t xml:space="preserve">-48</w:t>
            </w:r>
          </w:p>
        </w:tc>
      </w:tr>
    </w:tbl>
    <w:bookmarkEnd w:id="24"/>
    <w:bookmarkStart w:id="26" w:name="práce-z-domova"/>
    <w:p>
      <w:pPr>
        <w:pStyle w:val="Heading1"/>
      </w:pPr>
      <w:r>
        <w:t xml:space="preserve">Práce z domova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report-reseni_files/figure-docx/map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zdroj-dat"/>
    <w:p>
      <w:pPr>
        <w:pStyle w:val="Heading1"/>
      </w:pPr>
      <w:r>
        <w:t xml:space="preserve">Zdroj dat</w:t>
      </w:r>
    </w:p>
    <w:p>
      <w:pPr>
        <w:pStyle w:val="FirstParagraph"/>
      </w:pPr>
      <w:r>
        <w:t xml:space="preserve">Data pochází ze</w:t>
      </w:r>
      <w:r>
        <w:t xml:space="preserve"> </w:t>
      </w:r>
      <w:hyperlink r:id="rId27">
        <w:r>
          <w:rPr>
            <w:rStyle w:val="Hyperlink"/>
          </w:rPr>
          <w:t xml:space="preserve">sady Google Mobility pro ČR</w:t>
        </w:r>
      </w:hyperlink>
      <w:r>
        <w:t xml:space="preserve"> </w:t>
      </w:r>
      <w:r>
        <w:t xml:space="preserve">a byla stažena 05. lis 2020 10:17.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7" Target="https://www.google.com/covid19/mobil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google.com/covid19/mobil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Poklesy mobility podle dat Google Mobility</dc:title>
  <dc:creator>Workshopper</dc:creator>
  <cp:keywords/>
  <dcterms:created xsi:type="dcterms:W3CDTF">2020-11-05T09:17:28Z</dcterms:created>
  <dcterms:modified xsi:type="dcterms:W3CDTF">2020-11-05T09:17:28Z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11. listopadu 2020</vt:lpwstr>
  </property>
  <property fmtid="{D5CDD505-2E9C-101B-9397-08002B2CF9AE}" pid="3" name="output">
    <vt:lpwstr/>
  </property>
</Properties>
</file>