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FBEE7" w14:textId="77777777" w:rsidR="00C9337E" w:rsidRPr="00B66633" w:rsidRDefault="00C9337E" w:rsidP="00C9337E">
      <w:pPr>
        <w:spacing w:after="120"/>
        <w:jc w:val="center"/>
        <w:rPr>
          <w:noProof/>
          <w:sz w:val="32"/>
          <w:szCs w:val="32"/>
        </w:rPr>
      </w:pPr>
      <w:r w:rsidRPr="00B66633">
        <w:rPr>
          <w:noProof/>
          <w:sz w:val="32"/>
          <w:szCs w:val="32"/>
          <w:lang w:eastAsia="cs-CZ"/>
        </w:rPr>
        <w:drawing>
          <wp:inline distT="0" distB="0" distL="0" distR="0" wp14:anchorId="75857A86" wp14:editId="1CBA5FB1">
            <wp:extent cx="3514725" cy="1409700"/>
            <wp:effectExtent l="0" t="0" r="0" b="0"/>
            <wp:docPr id="2" name="Obrázek 2" descr="Y:\2020 Projects and Events\COVID 19\IDEAantiCOVID19_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Y:\2020 Projects and Events\COVID 19\IDEAantiCOVID19_LOGO-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l="101" t="27991" r="101" b="30811"/>
                    <a:stretch>
                      <a:fillRect/>
                    </a:stretch>
                  </pic:blipFill>
                  <pic:spPr bwMode="auto">
                    <a:xfrm>
                      <a:off x="0" y="0"/>
                      <a:ext cx="3514725" cy="1409700"/>
                    </a:xfrm>
                    <a:prstGeom prst="rect">
                      <a:avLst/>
                    </a:prstGeom>
                    <a:noFill/>
                    <a:ln>
                      <a:noFill/>
                    </a:ln>
                  </pic:spPr>
                </pic:pic>
              </a:graphicData>
            </a:graphic>
          </wp:inline>
        </w:drawing>
      </w:r>
    </w:p>
    <w:p w14:paraId="016AE0AF" w14:textId="06C7CF9E" w:rsidR="009124B3" w:rsidRPr="009A152A" w:rsidRDefault="009124B3" w:rsidP="009A152A">
      <w:pPr>
        <w:pStyle w:val="Subtitle"/>
      </w:pPr>
      <w:r w:rsidRPr="009A152A">
        <w:t xml:space="preserve">IDEA anti COVID-19 # </w:t>
      </w:r>
      <w:r w:rsidR="00B806C1" w:rsidRPr="009A152A">
        <w:t>23</w:t>
      </w:r>
    </w:p>
    <w:p w14:paraId="3628C4A7" w14:textId="4A54B2C2" w:rsidR="00C9337E" w:rsidRPr="00B66633" w:rsidRDefault="00B806C1" w:rsidP="005B3CE7">
      <w:pPr>
        <w:spacing w:after="0" w:line="276" w:lineRule="auto"/>
        <w:jc w:val="center"/>
        <w:rPr>
          <w:sz w:val="56"/>
          <w:szCs w:val="48"/>
        </w:rPr>
      </w:pPr>
      <w:r>
        <w:rPr>
          <w:sz w:val="52"/>
          <w:szCs w:val="52"/>
        </w:rPr>
        <w:t>Kolik nás může pracovat z domova?</w:t>
      </w:r>
    </w:p>
    <w:p w14:paraId="27243B3B" w14:textId="77777777" w:rsidR="009A152A" w:rsidRDefault="009A152A" w:rsidP="005B3CE7">
      <w:pPr>
        <w:spacing w:after="0"/>
        <w:jc w:val="center"/>
        <w:rPr>
          <w:smallCaps/>
        </w:rPr>
      </w:pPr>
    </w:p>
    <w:p w14:paraId="34011363" w14:textId="77777777" w:rsidR="009A152A" w:rsidRPr="009A152A" w:rsidRDefault="009A152A" w:rsidP="009A152A">
      <w:pPr>
        <w:pStyle w:val="Title"/>
      </w:pPr>
      <w:r w:rsidRPr="009A152A">
        <w:t>Kolik nás může pracovat z domova?</w:t>
      </w:r>
    </w:p>
    <w:p w14:paraId="550CFDBA" w14:textId="1F053DE5" w:rsidR="00C9337E" w:rsidRDefault="00B806C1" w:rsidP="005B3CE7">
      <w:pPr>
        <w:spacing w:after="0"/>
        <w:jc w:val="center"/>
        <w:rPr>
          <w:smallCaps/>
        </w:rPr>
      </w:pPr>
      <w:r>
        <w:rPr>
          <w:smallCaps/>
        </w:rPr>
        <w:t>Říjen</w:t>
      </w:r>
      <w:r w:rsidR="00CF17F8" w:rsidRPr="00BB6C0F">
        <w:rPr>
          <w:smallCaps/>
        </w:rPr>
        <w:t xml:space="preserve"> </w:t>
      </w:r>
      <w:r w:rsidR="00C9337E" w:rsidRPr="00BB6C0F">
        <w:rPr>
          <w:smallCaps/>
        </w:rPr>
        <w:t>2020</w:t>
      </w:r>
      <w:r w:rsidR="004350A4" w:rsidRPr="00BB6C0F">
        <w:rPr>
          <w:rStyle w:val="FootnoteReference"/>
          <w:rFonts w:cs="Tahoma"/>
          <w:sz w:val="18"/>
          <w:szCs w:val="18"/>
        </w:rPr>
        <w:footnoteReference w:id="1"/>
      </w:r>
    </w:p>
    <w:p w14:paraId="65E48CCC" w14:textId="39249E5E" w:rsidR="00B806C1" w:rsidRPr="00BB6C0F" w:rsidRDefault="00B806C1" w:rsidP="005B3CE7">
      <w:pPr>
        <w:spacing w:after="0"/>
        <w:jc w:val="center"/>
        <w:rPr>
          <w:smallCaps/>
        </w:rPr>
      </w:pPr>
      <w:r>
        <w:rPr>
          <w:smallCaps/>
        </w:rPr>
        <w:t>Matěj Bajgar, Petr Janský, Marek Šedivý</w:t>
      </w:r>
    </w:p>
    <w:p w14:paraId="289DE22F" w14:textId="77777777" w:rsidR="00C9337E" w:rsidRPr="00BB6C0F" w:rsidRDefault="00C9337E" w:rsidP="005B3CE7">
      <w:pPr>
        <w:pBdr>
          <w:bottom w:val="single" w:sz="4" w:space="1" w:color="auto"/>
        </w:pBdr>
        <w:spacing w:after="0" w:line="240" w:lineRule="auto"/>
        <w:jc w:val="center"/>
        <w:rPr>
          <w:b/>
          <w:sz w:val="16"/>
          <w:szCs w:val="16"/>
        </w:rPr>
      </w:pPr>
    </w:p>
    <w:p w14:paraId="5EB6B01A" w14:textId="665D3BF9" w:rsidR="00D47753" w:rsidRPr="00BB6C0F" w:rsidRDefault="00BC5061" w:rsidP="00F97A38">
      <w:pPr>
        <w:pStyle w:val="Heading1"/>
      </w:pPr>
      <w:bookmarkStart w:id="0" w:name="introductory-remarks"/>
      <w:bookmarkEnd w:id="0"/>
      <w:r w:rsidRPr="00E345C9">
        <w:t>Shrnutí</w:t>
      </w:r>
    </w:p>
    <w:p w14:paraId="261C77B0" w14:textId="27D31D44" w:rsidR="00B806C1" w:rsidRPr="003A6288" w:rsidRDefault="00B806C1" w:rsidP="005B3CE7">
      <w:pPr>
        <w:pStyle w:val="ListParagraph"/>
        <w:spacing w:after="100"/>
        <w:ind w:left="453"/>
      </w:pPr>
      <w:r>
        <w:t xml:space="preserve">Jak dobře může </w:t>
      </w:r>
      <w:r w:rsidRPr="00F04B5D">
        <w:t>společnost a ekonomik</w:t>
      </w:r>
      <w:r>
        <w:t>a</w:t>
      </w:r>
      <w:r w:rsidRPr="00F04B5D">
        <w:t xml:space="preserve"> čelit epidemii </w:t>
      </w:r>
      <w:r>
        <w:t>covid</w:t>
      </w:r>
      <w:r w:rsidRPr="00F04B5D">
        <w:t>-19</w:t>
      </w:r>
      <w:r>
        <w:t xml:space="preserve"> závisí kromě mnoha dalšího na tom</w:t>
      </w:r>
      <w:r w:rsidRPr="00F04B5D">
        <w:t>, jaký podíl pr</w:t>
      </w:r>
      <w:r>
        <w:t>áce</w:t>
      </w:r>
      <w:r w:rsidRPr="00F04B5D">
        <w:t xml:space="preserve"> lze vykonávat </w:t>
      </w:r>
      <w:r>
        <w:t xml:space="preserve">distančně, tedy </w:t>
      </w:r>
      <w:r w:rsidRPr="00F04B5D">
        <w:t>z domova.</w:t>
      </w:r>
      <w:r>
        <w:t xml:space="preserve"> Práce z domova má také potenciál zvýšit produktivitu podniků a kvalitu života pracovníků bez ohledu na covid-19, ale na druhé straně přináší i fenomény nežádoucí.</w:t>
      </w:r>
    </w:p>
    <w:p w14:paraId="2D28692A" w14:textId="1DAC20C5" w:rsidR="00B806C1" w:rsidRDefault="00B806C1" w:rsidP="005B3CE7">
      <w:pPr>
        <w:pStyle w:val="ListParagraph"/>
        <w:spacing w:after="100"/>
        <w:ind w:left="453"/>
      </w:pPr>
      <w:r>
        <w:t>Tato studie prezentuje odhady podílu českých pracovníků, kteří by mohli pracovat z domova</w:t>
      </w:r>
      <w:r w:rsidRPr="00F04B5D">
        <w:t>, na základě detailních dat pomocí mezinárodně uznávané metodologie</w:t>
      </w:r>
      <w:r>
        <w:t xml:space="preserve"> klasifikace profesí na</w:t>
      </w:r>
      <w:r w:rsidR="00F20A94">
        <w:t> </w:t>
      </w:r>
      <w:r>
        <w:t>základě českých dat</w:t>
      </w:r>
      <w:r w:rsidRPr="00F04B5D">
        <w:t xml:space="preserve">. </w:t>
      </w:r>
    </w:p>
    <w:p w14:paraId="02573C04" w14:textId="77777777" w:rsidR="00B806C1" w:rsidRPr="00F04B5D" w:rsidRDefault="00B806C1" w:rsidP="005B3CE7">
      <w:pPr>
        <w:pStyle w:val="ListParagraph"/>
        <w:spacing w:after="100"/>
        <w:ind w:left="453"/>
      </w:pPr>
      <w:r>
        <w:t xml:space="preserve">Naše odhady ukazují, že zhruba </w:t>
      </w:r>
      <w:r w:rsidRPr="005F2145">
        <w:t>třetina prac</w:t>
      </w:r>
      <w:r>
        <w:t xml:space="preserve">ovníků </w:t>
      </w:r>
      <w:r w:rsidRPr="005F2145">
        <w:t>v</w:t>
      </w:r>
      <w:r>
        <w:t xml:space="preserve"> Česku je </w:t>
      </w:r>
      <w:r w:rsidRPr="005F2145">
        <w:t>schopna vykonávat svou práci z</w:t>
      </w:r>
      <w:r>
        <w:t> </w:t>
      </w:r>
      <w:r w:rsidRPr="005F2145">
        <w:t>domova</w:t>
      </w:r>
      <w:r>
        <w:t>.</w:t>
      </w:r>
      <w:r w:rsidRPr="00F15C0D">
        <w:t xml:space="preserve"> </w:t>
      </w:r>
      <w:r w:rsidRPr="00F04B5D">
        <w:t>Tento podíl je srovnatelný s ekonomicky podobně rozvinutými zeměmi</w:t>
      </w:r>
      <w:r>
        <w:t xml:space="preserve"> a řádově odpovídá podílu pracovníků pracujících z domova ve vrcholu první vlny covid-19 na jaře 2020. </w:t>
      </w:r>
    </w:p>
    <w:p w14:paraId="67A60B11" w14:textId="17D57E6E" w:rsidR="00B806C1" w:rsidRDefault="00B806C1" w:rsidP="005B3CE7">
      <w:pPr>
        <w:pStyle w:val="ListParagraph"/>
        <w:spacing w:after="100"/>
        <w:ind w:left="453"/>
      </w:pPr>
      <w:r>
        <w:t>S</w:t>
      </w:r>
      <w:r w:rsidRPr="00F04B5D">
        <w:t xml:space="preserve">chopnost pracovat z domova je rozdělena značně nerovnoměrně mezi různými odvětvími, částmi země a </w:t>
      </w:r>
      <w:r>
        <w:t>pracovníky s rozdílnou úrovní</w:t>
      </w:r>
      <w:r w:rsidRPr="00F04B5D">
        <w:t xml:space="preserve"> vzdělání. Zatímco ve finančním sektoru a</w:t>
      </w:r>
      <w:r w:rsidR="00F20A94">
        <w:t> </w:t>
      </w:r>
      <w:r w:rsidRPr="00F04B5D">
        <w:t>v</w:t>
      </w:r>
      <w:r w:rsidR="00F20A94">
        <w:t> </w:t>
      </w:r>
      <w:r w:rsidRPr="00F04B5D">
        <w:t xml:space="preserve">sektoru informačních a komunikačních činností </w:t>
      </w:r>
      <w:r>
        <w:t>mohou</w:t>
      </w:r>
      <w:r w:rsidRPr="00F04B5D">
        <w:t xml:space="preserve"> z domova pracovat</w:t>
      </w:r>
      <w:r>
        <w:t xml:space="preserve"> čtyři z pěti </w:t>
      </w:r>
      <w:r w:rsidRPr="00F04B5D">
        <w:t xml:space="preserve">zaměstnanců, v zemědělství ale také v oblasti kultury a volného času je to méně než </w:t>
      </w:r>
      <w:r>
        <w:t>jeden z</w:t>
      </w:r>
      <w:r w:rsidR="00F20A94">
        <w:t> </w:t>
      </w:r>
      <w:r>
        <w:t>pěti</w:t>
      </w:r>
      <w:r w:rsidRPr="00F04B5D">
        <w:t>. Většina vysokoškolsky vzdělaných pracovníků může pracovat z dom</w:t>
      </w:r>
      <w:r>
        <w:t>ova</w:t>
      </w:r>
      <w:r w:rsidRPr="00F04B5D">
        <w:t>, to samé ovšem platí jen pro jednoho z deseti pracovníků bez maturity.</w:t>
      </w:r>
      <w:r>
        <w:t xml:space="preserve"> </w:t>
      </w:r>
      <w:r w:rsidRPr="00F04B5D">
        <w:t xml:space="preserve">V Praze může pracovat z domova </w:t>
      </w:r>
      <w:r>
        <w:t>zhruba polovina</w:t>
      </w:r>
      <w:r w:rsidRPr="00F04B5D">
        <w:t xml:space="preserve"> pracovníků, </w:t>
      </w:r>
      <w:r>
        <w:t xml:space="preserve">přitom </w:t>
      </w:r>
      <w:r w:rsidRPr="00F04B5D">
        <w:t xml:space="preserve">ve většině </w:t>
      </w:r>
      <w:r>
        <w:t xml:space="preserve">ostatních </w:t>
      </w:r>
      <w:r w:rsidRPr="00F04B5D">
        <w:t xml:space="preserve">krajů je to jen </w:t>
      </w:r>
      <w:r>
        <w:t>zhruba čtvrtina.</w:t>
      </w:r>
      <w:r w:rsidRPr="00F04B5D">
        <w:t xml:space="preserve"> </w:t>
      </w:r>
    </w:p>
    <w:p w14:paraId="5B02FD8D" w14:textId="11915013" w:rsidR="0051260A" w:rsidRPr="007D2710" w:rsidRDefault="00B806C1" w:rsidP="005B3CE7">
      <w:pPr>
        <w:pStyle w:val="ListParagraph"/>
        <w:ind w:left="453"/>
      </w:pPr>
      <w:r>
        <w:t xml:space="preserve">Veřejné politiky, legislativní a další regulatorní opatření by měly více reagovat na možnosti, specifika a potřeby efektivního využívání práce z domova ve veřejném i soukromém sektoru. Lze očekávat, že pod tlakem okolností éry covid-19 navíc dojde k rychlejšímu rozvoji </w:t>
      </w:r>
      <w:r>
        <w:lastRenderedPageBreak/>
        <w:t>technologií, které práci z domova umožňují a usnadňují. Zároveň lze čekat další vývoj ve</w:t>
      </w:r>
      <w:r w:rsidR="005B3CE7">
        <w:t> </w:t>
      </w:r>
      <w:r>
        <w:t>struktuře české ekonomiky, odvětvové i profesní, který bude k práci z domova ještě vstřícnější.</w:t>
      </w:r>
      <w:r w:rsidR="0051260A">
        <w:br w:type="page"/>
      </w:r>
    </w:p>
    <w:p w14:paraId="6565B676" w14:textId="2882AAF3" w:rsidR="00631363" w:rsidRPr="00F97A38" w:rsidRDefault="00631363" w:rsidP="00F97A38">
      <w:pPr>
        <w:pStyle w:val="Heading1"/>
      </w:pPr>
      <w:r w:rsidRPr="00F97A38">
        <w:lastRenderedPageBreak/>
        <w:t>Úvod</w:t>
      </w:r>
    </w:p>
    <w:p w14:paraId="63BC75B1" w14:textId="719504A7" w:rsidR="001F36C6" w:rsidRDefault="001F36C6" w:rsidP="007D2710">
      <w:pPr>
        <w:jc w:val="both"/>
      </w:pPr>
      <w:r>
        <w:t xml:space="preserve">Epidemie covid-19 způsobila v řádu týdnů v české ekonomice a společnosti změny, které by ještě nedávno byly těžko představitelné i v horizontu mnoha let. Jednou z nich je prudký nárůst v podílu lidí pracujících z domova. Omezení šíření nákazy vyžaduje, aby se lidé </w:t>
      </w:r>
      <w:r w:rsidR="00D75D24">
        <w:t>c</w:t>
      </w:r>
      <w:r>
        <w:t>o nejméně stýkal</w:t>
      </w:r>
      <w:r w:rsidR="00D75D24">
        <w:t>i</w:t>
      </w:r>
      <w:r>
        <w:t xml:space="preserve"> a práce z domova tuto možnost nabízí. Předejdou tak nákaze od</w:t>
      </w:r>
      <w:r w:rsidR="00D75D24">
        <w:t> </w:t>
      </w:r>
      <w:r>
        <w:t>kolegů na pracovišti nebo v hromadné dopravě cestou do práce. Podle dokončo</w:t>
      </w:r>
      <w:r w:rsidRPr="00633666">
        <w:t xml:space="preserve">vané analýzy IDEA </w:t>
      </w:r>
      <w:r w:rsidRPr="00D60A55">
        <w:t xml:space="preserve">&amp; PAQ </w:t>
      </w:r>
      <w:proofErr w:type="spellStart"/>
      <w:r>
        <w:t>R</w:t>
      </w:r>
      <w:r w:rsidRPr="00D60A55">
        <w:t>esearch</w:t>
      </w:r>
      <w:proofErr w:type="spellEnd"/>
      <w:r>
        <w:t xml:space="preserve"> (2020)</w:t>
      </w:r>
      <w:r w:rsidRPr="00D60A55">
        <w:rPr>
          <w:rStyle w:val="FootnoteReference"/>
        </w:rPr>
        <w:footnoteReference w:id="2"/>
      </w:r>
      <w:r w:rsidRPr="00D60A55">
        <w:t xml:space="preserve"> využilo možnost práce z domova během první vlny nákazy v dubnu až květn</w:t>
      </w:r>
      <w:r w:rsidR="00D75D24">
        <w:t>u</w:t>
      </w:r>
      <w:r w:rsidRPr="00D60A55">
        <w:t xml:space="preserve"> 2020 alespo</w:t>
      </w:r>
      <w:r w:rsidRPr="00633666">
        <w:t xml:space="preserve">ň částečně </w:t>
      </w:r>
      <w:r w:rsidRPr="00D60A55">
        <w:t>zhruba přes 30</w:t>
      </w:r>
      <w:r w:rsidR="00D75D24">
        <w:t> </w:t>
      </w:r>
      <w:r w:rsidRPr="00D60A55">
        <w:t>% osob a zcela z domova v</w:t>
      </w:r>
      <w:r w:rsidR="00D75D24">
        <w:t>í</w:t>
      </w:r>
      <w:r w:rsidRPr="00D60A55">
        <w:t>ce než 20</w:t>
      </w:r>
      <w:r w:rsidR="00D75D24">
        <w:t> </w:t>
      </w:r>
      <w:r w:rsidRPr="00D60A55">
        <w:t>%. Podobn</w:t>
      </w:r>
      <w:r w:rsidRPr="00633666">
        <w:t>ě</w:t>
      </w:r>
      <w:r w:rsidRPr="00D60A55">
        <w:t xml:space="preserve"> dle </w:t>
      </w:r>
      <w:r w:rsidRPr="00633666">
        <w:t xml:space="preserve">průzkumu agentury IPSOS pro T-Mobile </w:t>
      </w:r>
      <w:r w:rsidRPr="000908BE">
        <w:t xml:space="preserve">v dubnu 2020 </w:t>
      </w:r>
      <w:r>
        <w:t>pracovala z domova</w:t>
      </w:r>
      <w:r w:rsidRPr="00633666">
        <w:t xml:space="preserve"> třetina Čechů v produkti</w:t>
      </w:r>
      <w:r>
        <w:t>vním věku.</w:t>
      </w:r>
      <w:r>
        <w:rPr>
          <w:rStyle w:val="FootnoteReference"/>
        </w:rPr>
        <w:footnoteReference w:id="3"/>
      </w:r>
      <w:r>
        <w:t xml:space="preserve"> Například v USA v březnu 2020 pracovala z domova dokonce zhruba polovina pracovníků (</w:t>
      </w:r>
      <w:proofErr w:type="spellStart"/>
      <w:r>
        <w:t>Reeves</w:t>
      </w:r>
      <w:proofErr w:type="spellEnd"/>
      <w:r>
        <w:t xml:space="preserve"> a </w:t>
      </w:r>
      <w:proofErr w:type="spellStart"/>
      <w:r>
        <w:t>Rothwell</w:t>
      </w:r>
      <w:proofErr w:type="spellEnd"/>
      <w:r>
        <w:t>, 2020). Možnosti a výhodnost práce z domova se jistě liší podle podmínek různých zemí, daných odvětvovou a profesní strukturou ekonomik a řadou dalších faktorů.</w:t>
      </w:r>
    </w:p>
    <w:p w14:paraId="4FFBF6A5" w14:textId="506D92B7" w:rsidR="001F36C6" w:rsidRDefault="001F36C6" w:rsidP="0009642F">
      <w:pPr>
        <w:jc w:val="both"/>
      </w:pPr>
      <w:bookmarkStart w:id="1" w:name="_Hlk45274916"/>
      <w:r>
        <w:t>Ačkoli byla nová zkušenost s prací z domova vynucená pandemií, řada pracovníků i firem ji zpětně hodnotí kladně. Ve výše zmíněném průzkumu IPSOS dvě třetiny dotázaných českých pracovníků uvedly, že jsou spokojeny s prací z domova. Jako největší výhody lidé zmínili klid na práci a větší množství volného času, zatímco jako největší nevýhodu vnímali odloučení od kolegů. V mezinárodním průzkumu zase téměř polovina lidí uvedla, že by byli ochotni přijmout snížení platu, pokud by jim to umožnilo pracovat z domova i</w:t>
      </w:r>
      <w:r w:rsidR="00CA0687">
        <w:t> </w:t>
      </w:r>
      <w:r>
        <w:t>po</w:t>
      </w:r>
      <w:r w:rsidR="00CA0687">
        <w:t> </w:t>
      </w:r>
      <w:r>
        <w:t>skončení pandemie.</w:t>
      </w:r>
      <w:r>
        <w:rPr>
          <w:rStyle w:val="FootnoteReference"/>
        </w:rPr>
        <w:footnoteReference w:id="4"/>
      </w:r>
      <w:r>
        <w:t xml:space="preserve"> Mnohé firmy zase zjistily, že jejich zaměstnanci z domova pracují stejně efektivně jako v kanceláři, a že by díky práci z domova mohly do budoucna výrazně ušetřit na kancelářských prostorech. Například předseda asociace ABSL v rozhovoru uvedl, že „se do budoucna </w:t>
      </w:r>
      <w:r w:rsidRPr="004A26F1">
        <w:t>dá očekávat, že firmy začnou více uvažovat o</w:t>
      </w:r>
      <w:r w:rsidR="00CA0687">
        <w:t> </w:t>
      </w:r>
      <w:r w:rsidRPr="004A26F1">
        <w:t xml:space="preserve">flexibilním uspořádání kanceláří, například o sdílení pracovních míst s tím, že vždy část pracovníků bude v </w:t>
      </w:r>
      <w:r>
        <w:t>kanceláři a část pracovat z domova“.</w:t>
      </w:r>
      <w:r>
        <w:rPr>
          <w:rStyle w:val="FootnoteReference"/>
        </w:rPr>
        <w:footnoteReference w:id="5"/>
      </w:r>
      <w:r>
        <w:t xml:space="preserve"> Je tedy pravděpodobné, že zkušenost z doby covid-19 trvale změní kulturu v mnoha firmách a zvýšená míra</w:t>
      </w:r>
      <w:bookmarkEnd w:id="1"/>
      <w:r>
        <w:t xml:space="preserve"> práce z domova přetrvá i po skončení krize spojené s covid-19, byť v omezené podobě.</w:t>
      </w:r>
    </w:p>
    <w:p w14:paraId="5EF49944" w14:textId="20BB87BC" w:rsidR="001F36C6" w:rsidRDefault="001F36C6" w:rsidP="00646746">
      <w:pPr>
        <w:jc w:val="both"/>
      </w:pPr>
      <w:r>
        <w:lastRenderedPageBreak/>
        <w:t>Jaký podíl pracovních míst v Česku ale lze plnohodnotně vykonávat z domova? Dokud trvá epidemie covid-19, je tato otázka důležitá pro porozuměním dopadům epidemie a</w:t>
      </w:r>
      <w:r w:rsidR="00646746">
        <w:t> </w:t>
      </w:r>
      <w:r>
        <w:t>sociálního distancování na ekonomiku. Dlouhodobé rozšíření práce z domova by také zajisté ovlivnilo českou ekonomiku, společnost i životní prostředí. Porozumění míře, v</w:t>
      </w:r>
      <w:r w:rsidR="00646746">
        <w:t> </w:t>
      </w:r>
      <w:r>
        <w:t>jaké je možné různé profese provozovat na dálku, je důležité, abychom mohli informovaněji přemýšlet o možných důsledcích této změny.</w:t>
      </w:r>
    </w:p>
    <w:p w14:paraId="14D91DA4" w14:textId="5C9C7D5A" w:rsidR="00631363" w:rsidRDefault="009E3A6B" w:rsidP="008223EA">
      <w:pPr>
        <w:pStyle w:val="Heading2"/>
        <w:spacing w:after="240" w:line="276" w:lineRule="auto"/>
      </w:pPr>
      <w:r>
        <w:t xml:space="preserve">Obrázek </w:t>
      </w:r>
      <w:r w:rsidR="00631363">
        <w:t>1</w:t>
      </w:r>
      <w:r w:rsidR="00631363" w:rsidRPr="004350A4">
        <w:t xml:space="preserve">: </w:t>
      </w:r>
      <w:r>
        <w:t>Podíl pracovníků schopných pracovat z</w:t>
      </w:r>
      <w:r w:rsidR="008223EA">
        <w:t> </w:t>
      </w:r>
      <w:r>
        <w:t>domova</w:t>
      </w:r>
      <w:r w:rsidR="008223EA">
        <w:t>,</w:t>
      </w:r>
      <w:r w:rsidR="008223EA">
        <w:br/>
      </w:r>
      <w:r>
        <w:t xml:space="preserve"> podle zemí</w:t>
      </w:r>
    </w:p>
    <w:p w14:paraId="39D2B648" w14:textId="22F295FC" w:rsidR="009E3A6B" w:rsidRPr="009E3A6B" w:rsidRDefault="009E3A6B" w:rsidP="009E3A6B">
      <w:pPr>
        <w:jc w:val="both"/>
      </w:pPr>
      <w:r>
        <w:rPr>
          <w:noProof/>
          <w:lang w:eastAsia="cs-CZ"/>
        </w:rPr>
        <w:drawing>
          <wp:inline distT="0" distB="0" distL="0" distR="0" wp14:anchorId="4E980994" wp14:editId="3F3924E7">
            <wp:extent cx="3611375" cy="4783792"/>
            <wp:effectExtent l="0" t="0" r="825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cs-CZ"/>
        </w:rPr>
        <w:drawing>
          <wp:inline distT="0" distB="0" distL="0" distR="0" wp14:anchorId="4F709EC4" wp14:editId="2E87A437">
            <wp:extent cx="1838325" cy="4773706"/>
            <wp:effectExtent l="0" t="0" r="0" b="825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EFB120" w14:textId="3BF06531" w:rsidR="00BC5061" w:rsidRPr="009E3A6B" w:rsidRDefault="009E3A6B" w:rsidP="009E3A6B">
      <w:pPr>
        <w:pStyle w:val="FirstParagraph"/>
        <w:spacing w:before="0" w:after="0" w:line="360" w:lineRule="auto"/>
        <w:ind w:left="624"/>
        <w:jc w:val="both"/>
        <w:rPr>
          <w:rFonts w:ascii="Georgia" w:hAnsi="Georgia"/>
          <w:i/>
          <w:sz w:val="20"/>
          <w:szCs w:val="20"/>
          <w:lang w:val="cs-CZ"/>
        </w:rPr>
      </w:pPr>
      <w:r w:rsidRPr="009E3A6B">
        <w:rPr>
          <w:rFonts w:ascii="Georgia" w:hAnsi="Georgia"/>
          <w:i/>
          <w:sz w:val="20"/>
          <w:szCs w:val="20"/>
          <w:lang w:val="cs-CZ"/>
        </w:rPr>
        <w:t xml:space="preserve">Zdroj: </w:t>
      </w:r>
      <w:proofErr w:type="spellStart"/>
      <w:r w:rsidRPr="009E3A6B">
        <w:rPr>
          <w:rFonts w:ascii="Georgia" w:hAnsi="Georgia"/>
          <w:i/>
          <w:sz w:val="20"/>
          <w:szCs w:val="20"/>
          <w:lang w:val="cs-CZ"/>
        </w:rPr>
        <w:t>Dingel</w:t>
      </w:r>
      <w:proofErr w:type="spellEnd"/>
      <w:r w:rsidRPr="009E3A6B">
        <w:rPr>
          <w:rFonts w:ascii="Georgia" w:hAnsi="Georgia"/>
          <w:i/>
          <w:sz w:val="20"/>
          <w:szCs w:val="20"/>
          <w:lang w:val="cs-CZ"/>
        </w:rPr>
        <w:t xml:space="preserve"> a </w:t>
      </w:r>
      <w:proofErr w:type="spellStart"/>
      <w:r w:rsidRPr="009E3A6B">
        <w:rPr>
          <w:rFonts w:ascii="Georgia" w:hAnsi="Georgia"/>
          <w:i/>
          <w:sz w:val="20"/>
          <w:szCs w:val="20"/>
          <w:lang w:val="cs-CZ"/>
        </w:rPr>
        <w:t>Neiman</w:t>
      </w:r>
      <w:proofErr w:type="spellEnd"/>
      <w:r w:rsidRPr="009E3A6B">
        <w:rPr>
          <w:rFonts w:ascii="Georgia" w:hAnsi="Georgia"/>
          <w:i/>
          <w:sz w:val="20"/>
          <w:szCs w:val="20"/>
          <w:lang w:val="cs-CZ"/>
        </w:rPr>
        <w:t xml:space="preserve"> (2020)</w:t>
      </w:r>
    </w:p>
    <w:p w14:paraId="5A65F4D1" w14:textId="7FD12197" w:rsidR="00BC5061" w:rsidRDefault="00BC5061" w:rsidP="00BC5061">
      <w:pPr>
        <w:pStyle w:val="FirstParagraph"/>
        <w:spacing w:before="0" w:after="0" w:line="360" w:lineRule="auto"/>
        <w:jc w:val="both"/>
        <w:rPr>
          <w:rFonts w:ascii="Georgia" w:hAnsi="Georgia"/>
          <w:sz w:val="20"/>
          <w:szCs w:val="20"/>
          <w:lang w:val="cs-CZ"/>
        </w:rPr>
      </w:pPr>
    </w:p>
    <w:p w14:paraId="4D7195B6" w14:textId="74E29C67" w:rsidR="009E3A6B" w:rsidRDefault="009E3A6B" w:rsidP="008223EA">
      <w:pPr>
        <w:jc w:val="both"/>
      </w:pPr>
      <w:r>
        <w:t xml:space="preserve">Nová studie </w:t>
      </w:r>
      <w:proofErr w:type="spellStart"/>
      <w:r>
        <w:t>Dingela</w:t>
      </w:r>
      <w:proofErr w:type="spellEnd"/>
      <w:r>
        <w:t xml:space="preserve"> a </w:t>
      </w:r>
      <w:proofErr w:type="spellStart"/>
      <w:r>
        <w:t>Neimana</w:t>
      </w:r>
      <w:proofErr w:type="spellEnd"/>
      <w:r>
        <w:t xml:space="preserve"> (2020), nedávno přijatá k publikování v prestižním akademickém časopise </w:t>
      </w:r>
      <w:proofErr w:type="spellStart"/>
      <w:r>
        <w:t>Journal</w:t>
      </w:r>
      <w:proofErr w:type="spellEnd"/>
      <w:r>
        <w:t xml:space="preserve"> </w:t>
      </w:r>
      <w:proofErr w:type="spellStart"/>
      <w:r>
        <w:t>of</w:t>
      </w:r>
      <w:proofErr w:type="spellEnd"/>
      <w:r>
        <w:t xml:space="preserve"> Public </w:t>
      </w:r>
      <w:proofErr w:type="spellStart"/>
      <w:r>
        <w:t>Economics</w:t>
      </w:r>
      <w:proofErr w:type="spellEnd"/>
      <w:r>
        <w:t xml:space="preserve">, pro mnoho zemí odhaduje podíl pracovníků, kteří mohou svou profesi plně vykonávat z domova. Pro Česko odhaduje, že tento podíl představuje zhruba třetinu všech pracovníků. To je mimochodem údaj podobný situaci českého trhu v době vrcholící první vlny nákazy a výrazných plošných </w:t>
      </w:r>
      <w:r>
        <w:lastRenderedPageBreak/>
        <w:t>restrikcí společenského a ekonomického života země. Ještě větší podíl pracovníků může podle jejich odhadů pracovat z domova například v Německu (37</w:t>
      </w:r>
      <w:r w:rsidR="00083AD2">
        <w:t> </w:t>
      </w:r>
      <w:r>
        <w:t>%), USA (42</w:t>
      </w:r>
      <w:r w:rsidR="00083AD2">
        <w:t> </w:t>
      </w:r>
      <w:r>
        <w:t>%) a</w:t>
      </w:r>
      <w:r w:rsidR="00083AD2">
        <w:t> </w:t>
      </w:r>
      <w:r>
        <w:t>Švýcarsku (45</w:t>
      </w:r>
      <w:r w:rsidR="00083AD2">
        <w:t> </w:t>
      </w:r>
      <w:r>
        <w:t>%). Naopak nižší je tento podíl například na Slovensku (29</w:t>
      </w:r>
      <w:r w:rsidR="00083AD2">
        <w:t> </w:t>
      </w:r>
      <w:r>
        <w:t>%) nebo v Rumunsku (22</w:t>
      </w:r>
      <w:r w:rsidR="00083AD2">
        <w:t> </w:t>
      </w:r>
      <w:r>
        <w:t>%). Obecně zhruba platí, že ekonomicky vyspělejší země mají podmínky umožňující práci z domova ve výrazně větší míře.</w:t>
      </w:r>
    </w:p>
    <w:p w14:paraId="1989538B" w14:textId="77777777" w:rsidR="009E3A6B" w:rsidRDefault="009E3A6B" w:rsidP="008223EA">
      <w:pPr>
        <w:jc w:val="both"/>
      </w:pPr>
      <w:r>
        <w:t xml:space="preserve">Důležitý zde není jen celkový počet pracovních míst vykonavatelných z domova, ale také jejich rozložení napříč odvětvími, profesemi a regiony. Možnost pracovat z domova se rovněž může lišit mezi lidmi s různou úrovní dosaženého vzdělání či zprostředkovaně podle výše výdělku. Protože je snadnější vykonávat z domova kvalifikovanější práce, </w:t>
      </w:r>
      <w:proofErr w:type="spellStart"/>
      <w:r>
        <w:t>koronavirová</w:t>
      </w:r>
      <w:proofErr w:type="spellEnd"/>
      <w:r>
        <w:t xml:space="preserve"> krize dopadá více na méně a středně vzdělané pracovníky s nižšími výdělky.</w:t>
      </w:r>
      <w:r>
        <w:rPr>
          <w:rStyle w:val="FootnoteReference"/>
        </w:rPr>
        <w:footnoteReference w:id="6"/>
      </w:r>
      <w:r>
        <w:t xml:space="preserve"> Dlouhodobější rozšíření práce z domova má tedy potenciál i prohlubovat sociální rozdíly.</w:t>
      </w:r>
    </w:p>
    <w:p w14:paraId="717602E8" w14:textId="37902634" w:rsidR="009E3A6B" w:rsidRDefault="009E3A6B" w:rsidP="00083AD2">
      <w:pPr>
        <w:jc w:val="both"/>
      </w:pPr>
      <w:r>
        <w:t>Navzdory důležitosti těchto otázek pro Česko dosud neexistují detailní odhady podílu pracovních míst, která umožňují práci z domova. Tato studie má za cíl zaplnit tuto mezeru. V první kroku dělíme povolání na ta, která se dají vykonávat na dálku</w:t>
      </w:r>
      <w:r w:rsidR="00083AD2">
        <w:t>,</w:t>
      </w:r>
      <w:r>
        <w:t xml:space="preserve"> </w:t>
      </w:r>
      <w:r w:rsidRPr="00083AD2">
        <w:t>a ta, u</w:t>
      </w:r>
      <w:r w:rsidR="00083AD2" w:rsidRPr="00083AD2">
        <w:t> </w:t>
      </w:r>
      <w:r w:rsidRPr="00083AD2">
        <w:t xml:space="preserve">kterých to není možné. Vycházíme přitom ze studie </w:t>
      </w:r>
      <w:r w:rsidRPr="00083AD2">
        <w:fldChar w:fldCharType="begin"/>
      </w:r>
      <w:r w:rsidRPr="00083AD2">
        <w:instrText xml:space="preserve"> ADDIN ZOTERO_ITEM CSL_CITATION {"citationID":"3iLTbJiD","properties":{"formattedCitation":"(Dingel and Neiman 2020)","plainCitation":"(Dingel and Neiman 2020)","noteIndex":0},"citationItems":[{"id":410,"uris":["http://zotero.org/users/local/uSRAUdnz/items/7IZ423ML"],"uri":["http://zotero.org/users/local/uSRAUdnz/items/7IZ423ML"],"itemData":{"id":410,"type":"report","title":"How many jobs can be done at home?","publisher":"National Bureau of Economic Research","source":"Google Scholar","author":[{"family":"Dingel","given":"Jonathan I."},{"family":"Neiman","given":"Brent"}],"issued":{"date-parts":[["2020"]]}}}],"schema":"https://github.com/citation-style-language/schema/raw/master/csl-citation.json"} </w:instrText>
      </w:r>
      <w:r w:rsidRPr="00083AD2">
        <w:fldChar w:fldCharType="separate"/>
      </w:r>
      <w:r w:rsidRPr="00083AD2">
        <w:rPr>
          <w:rFonts w:cs="Calibri"/>
        </w:rPr>
        <w:t>Dingela and Neimana (2020)</w:t>
      </w:r>
      <w:r w:rsidRPr="00083AD2">
        <w:fldChar w:fldCharType="end"/>
      </w:r>
      <w:r>
        <w:t xml:space="preserve">. </w:t>
      </w:r>
      <w:r w:rsidR="00083AD2">
        <w:t xml:space="preserve">Jelikož se tato studie </w:t>
      </w:r>
      <w:r>
        <w:t>zaměřuje především na USA, provedli jsme potřebné metodologické úpravy.</w:t>
      </w:r>
      <w:r>
        <w:rPr>
          <w:rStyle w:val="FootnoteReference"/>
        </w:rPr>
        <w:footnoteReference w:id="7"/>
      </w:r>
      <w:r>
        <w:t xml:space="preserve"> V druhém kroku údaje z USA od </w:t>
      </w:r>
      <w:proofErr w:type="spellStart"/>
      <w:r>
        <w:t>Dingela</w:t>
      </w:r>
      <w:proofErr w:type="spellEnd"/>
      <w:r>
        <w:t xml:space="preserve"> a </w:t>
      </w:r>
      <w:proofErr w:type="spellStart"/>
      <w:r>
        <w:t>Neimana</w:t>
      </w:r>
      <w:proofErr w:type="spellEnd"/>
      <w:r>
        <w:t xml:space="preserve"> kombinujeme s daty </w:t>
      </w:r>
      <w:bookmarkStart w:id="2" w:name="_Hlk45275189"/>
      <w:r>
        <w:t>českého Výběrového šetření pracovních sil</w:t>
      </w:r>
      <w:bookmarkEnd w:id="2"/>
      <w:r>
        <w:t xml:space="preserve"> (VŠPS), které zohledňuje strukturu pracovních sil v České republice. Ve výsledku představuje odhady podílu českých pracovníků, kteří mohou pracovat z domova. Nabízí jak celkový odhad, tak odhady podle skupin povolání, odvětví, regionu a nejvyššího dosaženého vzdělání.</w:t>
      </w:r>
    </w:p>
    <w:p w14:paraId="575A647B" w14:textId="672B2DE4" w:rsidR="009E3A6B" w:rsidRDefault="009E3A6B" w:rsidP="00083AD2">
      <w:pPr>
        <w:jc w:val="both"/>
      </w:pPr>
      <w:r>
        <w:t>Následující část studie krátce diskutuje možné důsledky trvalého rozšíření práce z domova. Třetí část</w:t>
      </w:r>
      <w:r w:rsidRPr="00F04B5D">
        <w:t xml:space="preserve"> představuje metodologii a</w:t>
      </w:r>
      <w:r>
        <w:t xml:space="preserve"> data použitá pro naši analýzu a čtvrtá část představuje výsledky. V závěrečné části pak diskutujeme implikace našich odhadů pro</w:t>
      </w:r>
      <w:r w:rsidR="00083AD2">
        <w:t> </w:t>
      </w:r>
      <w:r>
        <w:t>veřejné politiky.</w:t>
      </w:r>
      <w:r>
        <w:rPr>
          <w:sz w:val="20"/>
          <w:szCs w:val="20"/>
        </w:rPr>
        <w:t xml:space="preserve"> </w:t>
      </w:r>
    </w:p>
    <w:p w14:paraId="150296B8" w14:textId="0C5F402C" w:rsidR="009E3A6B" w:rsidRDefault="009E3A6B" w:rsidP="009E3A6B">
      <w:pPr>
        <w:pStyle w:val="BodyText"/>
        <w:rPr>
          <w:lang w:eastAsia="en-US" w:bidi="ar-SA"/>
        </w:rPr>
      </w:pPr>
    </w:p>
    <w:p w14:paraId="646C7F5A" w14:textId="00C1ED44" w:rsidR="009E3A6B" w:rsidRPr="00BB6C0F" w:rsidRDefault="009E3A6B" w:rsidP="00F97A38">
      <w:pPr>
        <w:pStyle w:val="Heading1"/>
      </w:pPr>
      <w:r>
        <w:lastRenderedPageBreak/>
        <w:t>Důsledky práce z domova</w:t>
      </w:r>
    </w:p>
    <w:p w14:paraId="7B00FF50" w14:textId="6E8FDCAB" w:rsidR="009E3A6B" w:rsidRDefault="009E3A6B" w:rsidP="00AF641B">
      <w:pPr>
        <w:jc w:val="both"/>
      </w:pPr>
      <w:r>
        <w:t>Rozšíření práce z domova může ovlivnit řadu aspektů jako je produktivita, kvalit</w:t>
      </w:r>
      <w:r w:rsidR="00083AD2">
        <w:t>a</w:t>
      </w:r>
      <w:r>
        <w:t xml:space="preserve"> života pracovníků, životní prostředí, realitní trh a sociální nerovnosti. </w:t>
      </w:r>
    </w:p>
    <w:p w14:paraId="704FAB94" w14:textId="58A2CA09" w:rsidR="009E3A6B" w:rsidRDefault="009E3A6B" w:rsidP="00AF641B">
      <w:pPr>
        <w:jc w:val="both"/>
      </w:pPr>
      <w:r>
        <w:t>Možnost částečně pracovat z domova by mohla zvýšit produktivitu pracovníků díky silnější motivaci, lepšímu soustředění a času ušetřenému na dojíždění (OECD, 2020). Německé firmy, které dávají pracovníkům větší volnost ve způsobu práce, včetně práce z</w:t>
      </w:r>
      <w:r w:rsidR="00083AD2">
        <w:t> </w:t>
      </w:r>
      <w:r>
        <w:t>domova, jsou zároveň ty inovativnější, produktivnější a mají motivovanější zaměstnance (</w:t>
      </w:r>
      <w:proofErr w:type="spellStart"/>
      <w:r w:rsidRPr="008D2A75">
        <w:t>Godart</w:t>
      </w:r>
      <w:proofErr w:type="spellEnd"/>
      <w:r w:rsidRPr="008D2A75">
        <w:t xml:space="preserve">, </w:t>
      </w:r>
      <w:proofErr w:type="spellStart"/>
      <w:r w:rsidRPr="008D2A75">
        <w:t>Görg</w:t>
      </w:r>
      <w:proofErr w:type="spellEnd"/>
      <w:r w:rsidRPr="008D2A75">
        <w:t xml:space="preserve"> and </w:t>
      </w:r>
      <w:proofErr w:type="spellStart"/>
      <w:r w:rsidRPr="008D2A75">
        <w:t>Hanley</w:t>
      </w:r>
      <w:proofErr w:type="spellEnd"/>
      <w:r w:rsidRPr="008D2A75">
        <w:t>, 2017</w:t>
      </w:r>
      <w:r>
        <w:t xml:space="preserve">; </w:t>
      </w:r>
      <w:proofErr w:type="spellStart"/>
      <w:r>
        <w:t>Beckmann</w:t>
      </w:r>
      <w:proofErr w:type="spellEnd"/>
      <w:r>
        <w:t xml:space="preserve">, 2016; </w:t>
      </w:r>
      <w:proofErr w:type="spellStart"/>
      <w:r>
        <w:t>Beckmann</w:t>
      </w:r>
      <w:proofErr w:type="spellEnd"/>
      <w:r>
        <w:t xml:space="preserve"> a kol., 2017). Podobné korelace ovšem mohou být způsobené například obecně kvalitnějším řízením v takových firmách. Známá studie </w:t>
      </w:r>
      <w:proofErr w:type="spellStart"/>
      <w:r>
        <w:t>Bloom</w:t>
      </w:r>
      <w:proofErr w:type="spellEnd"/>
      <w:r>
        <w:t xml:space="preserve"> a kol. (2015) proto vyšla z experimentu, kde náhodně vybr</w:t>
      </w:r>
      <w:r w:rsidR="00083AD2">
        <w:t>a</w:t>
      </w:r>
      <w:r>
        <w:t>ní pracovníci call</w:t>
      </w:r>
      <w:r w:rsidR="00AF641B">
        <w:t xml:space="preserve"> </w:t>
      </w:r>
      <w:r>
        <w:t>centra začali pracovat z domova. Ve srovnání s kolegy, kteří nadále docházeli do práce, byli vybraní pracovníci s prací nejen spokojenější, ale také se u nich o 13</w:t>
      </w:r>
      <w:r w:rsidR="00AF641B">
        <w:t> </w:t>
      </w:r>
      <w:r>
        <w:t>% zvýšila produktivita. Nárůst v produktivitě byl přitom ještě vyšší, když si následně mohli pracovníci sami vybrat</w:t>
      </w:r>
      <w:r w:rsidR="00AF641B">
        <w:t>,</w:t>
      </w:r>
      <w:r>
        <w:t xml:space="preserve"> zda chtějí pracovat z domova nebo kanceláře. Vedle vyšší výkonosti pracovníků by práce z domova mohla zvýšit produktivitu i jinými způsoby. Firmy by například mohly ušetřit na kancelářských prostorech a díky spokojenějším zaměstnancům také na menším počtu odchodů. Možnost najmout zaměstnance z větší vzdálenosti by také mohla přispět k efektivnějšímu párování firem a zaměstnanců (</w:t>
      </w:r>
      <w:proofErr w:type="spellStart"/>
      <w:r>
        <w:t>Clancy</w:t>
      </w:r>
      <w:proofErr w:type="spellEnd"/>
      <w:r>
        <w:t xml:space="preserve">, 2020). </w:t>
      </w:r>
    </w:p>
    <w:p w14:paraId="3B762EFF" w14:textId="67DE2C4D" w:rsidR="009E3A6B" w:rsidRDefault="009E3A6B" w:rsidP="00AB458B">
      <w:pPr>
        <w:jc w:val="both"/>
      </w:pPr>
      <w:r>
        <w:t>Na druhou stranu, pokud je příliš velká část práce vykonáv</w:t>
      </w:r>
      <w:r w:rsidR="00AB458B">
        <w:t>á</w:t>
      </w:r>
      <w:r>
        <w:t>n</w:t>
      </w:r>
      <w:r w:rsidR="00AB458B">
        <w:t>a</w:t>
      </w:r>
      <w:r>
        <w:t xml:space="preserve"> z domova, může to zhoršit komunikaci uvnitř firem a snížit motivaci. Například Nick </w:t>
      </w:r>
      <w:proofErr w:type="spellStart"/>
      <w:r>
        <w:t>Bloom</w:t>
      </w:r>
      <w:proofErr w:type="spellEnd"/>
      <w:r w:rsidR="00AB458B">
        <w:t xml:space="preserve"> –</w:t>
      </w:r>
      <w:r>
        <w:t xml:space="preserve"> jeden z autorů zmíněné studie o výhodách práce z</w:t>
      </w:r>
      <w:r w:rsidR="00AB458B">
        <w:t> </w:t>
      </w:r>
      <w:r>
        <w:t>domova</w:t>
      </w:r>
      <w:r w:rsidR="00AB458B">
        <w:t xml:space="preserve"> –</w:t>
      </w:r>
      <w:r>
        <w:t xml:space="preserve"> se obává, že práce z domova v kontextu covid-19 sníží schopnost firem inovovat a v důsledku také růst produktivity.</w:t>
      </w:r>
      <w:r>
        <w:rPr>
          <w:rStyle w:val="FootnoteReference"/>
        </w:rPr>
        <w:footnoteReference w:id="8"/>
      </w:r>
      <w:r>
        <w:t xml:space="preserve"> Negativní dopad na produktivitu hrozí zvláště v případě, kdy firmy nejsou na práci z domova připravené a na práci z domova přesouvají i týmy, jejichž činnost není pro práci z domova vhodná, což v době covid-19 platí pro řadu českých firem.</w:t>
      </w:r>
      <w:r>
        <w:rPr>
          <w:rStyle w:val="FootnoteReference"/>
        </w:rPr>
        <w:footnoteReference w:id="9"/>
      </w:r>
    </w:p>
    <w:p w14:paraId="3D2D92E1" w14:textId="7C8E9D28" w:rsidR="009E3A6B" w:rsidRDefault="009E3A6B" w:rsidP="009E3A6B">
      <w:pPr>
        <w:pStyle w:val="BodyText"/>
        <w:rPr>
          <w:lang w:eastAsia="en-US" w:bidi="ar-SA"/>
        </w:rPr>
      </w:pPr>
    </w:p>
    <w:p w14:paraId="06300531" w14:textId="2E8FECCD" w:rsidR="001B71FB" w:rsidRDefault="001B71FB" w:rsidP="009E3A6B">
      <w:pPr>
        <w:pStyle w:val="BodyText"/>
        <w:rPr>
          <w:lang w:eastAsia="en-US" w:bidi="ar-SA"/>
        </w:rPr>
      </w:pPr>
    </w:p>
    <w:p w14:paraId="627C40D3" w14:textId="0F28D133" w:rsidR="001B71FB" w:rsidRDefault="001B71FB" w:rsidP="009E3A6B">
      <w:pPr>
        <w:pStyle w:val="BodyText"/>
        <w:rPr>
          <w:lang w:eastAsia="en-US" w:bidi="ar-SA"/>
        </w:rPr>
      </w:pPr>
    </w:p>
    <w:p w14:paraId="2BEE52A4" w14:textId="5DFEA56D" w:rsidR="001B71FB" w:rsidRDefault="001B71FB" w:rsidP="008008AD">
      <w:pPr>
        <w:pStyle w:val="Heading2"/>
        <w:spacing w:after="240" w:line="276" w:lineRule="auto"/>
      </w:pPr>
      <w:r>
        <w:lastRenderedPageBreak/>
        <w:t>Tabulka 1: Pro a proti intenzivnější práci z domova</w:t>
      </w:r>
    </w:p>
    <w:tbl>
      <w:tblPr>
        <w:tblStyle w:val="TableGrid"/>
        <w:tblW w:w="9067" w:type="dxa"/>
        <w:jc w:val="center"/>
        <w:tblLook w:val="04A0" w:firstRow="1" w:lastRow="0" w:firstColumn="1" w:lastColumn="0" w:noHBand="0" w:noVBand="1"/>
      </w:tblPr>
      <w:tblGrid>
        <w:gridCol w:w="1980"/>
        <w:gridCol w:w="3685"/>
        <w:gridCol w:w="3402"/>
      </w:tblGrid>
      <w:tr w:rsidR="001B71FB" w14:paraId="1FDAE09B" w14:textId="77777777" w:rsidTr="001B71FB">
        <w:trPr>
          <w:jc w:val="center"/>
        </w:trPr>
        <w:tc>
          <w:tcPr>
            <w:tcW w:w="1980" w:type="dxa"/>
          </w:tcPr>
          <w:p w14:paraId="3B7CB0FE" w14:textId="77777777" w:rsidR="001B71FB" w:rsidRPr="00150B8A" w:rsidRDefault="001B71FB" w:rsidP="008223EA">
            <w:pPr>
              <w:jc w:val="center"/>
              <w:rPr>
                <w:b/>
                <w:sz w:val="20"/>
              </w:rPr>
            </w:pPr>
          </w:p>
        </w:tc>
        <w:tc>
          <w:tcPr>
            <w:tcW w:w="3685" w:type="dxa"/>
          </w:tcPr>
          <w:p w14:paraId="399EC595" w14:textId="77777777" w:rsidR="001B71FB" w:rsidRPr="00150B8A" w:rsidRDefault="001B71FB" w:rsidP="008008AD">
            <w:pPr>
              <w:spacing w:before="120" w:after="120"/>
              <w:jc w:val="center"/>
              <w:rPr>
                <w:b/>
                <w:sz w:val="20"/>
              </w:rPr>
            </w:pPr>
            <w:r w:rsidRPr="00150B8A">
              <w:rPr>
                <w:b/>
                <w:sz w:val="20"/>
              </w:rPr>
              <w:t>PRO</w:t>
            </w:r>
          </w:p>
        </w:tc>
        <w:tc>
          <w:tcPr>
            <w:tcW w:w="3402" w:type="dxa"/>
          </w:tcPr>
          <w:p w14:paraId="1B0EBFA5" w14:textId="77777777" w:rsidR="001B71FB" w:rsidRPr="00150B8A" w:rsidRDefault="001B71FB" w:rsidP="008008AD">
            <w:pPr>
              <w:spacing w:before="120" w:after="120"/>
              <w:jc w:val="center"/>
              <w:rPr>
                <w:b/>
                <w:sz w:val="20"/>
              </w:rPr>
            </w:pPr>
            <w:r w:rsidRPr="00150B8A">
              <w:rPr>
                <w:b/>
                <w:sz w:val="20"/>
              </w:rPr>
              <w:t>PROTI</w:t>
            </w:r>
          </w:p>
        </w:tc>
      </w:tr>
      <w:tr w:rsidR="001B71FB" w14:paraId="6433B2A1" w14:textId="77777777" w:rsidTr="001B71FB">
        <w:trPr>
          <w:jc w:val="center"/>
        </w:trPr>
        <w:tc>
          <w:tcPr>
            <w:tcW w:w="1980" w:type="dxa"/>
          </w:tcPr>
          <w:p w14:paraId="2AE74E9C" w14:textId="77777777" w:rsidR="001B71FB" w:rsidRPr="00150B8A" w:rsidRDefault="001B71FB" w:rsidP="008008AD">
            <w:pPr>
              <w:spacing w:before="240" w:after="120"/>
              <w:rPr>
                <w:b/>
                <w:sz w:val="20"/>
              </w:rPr>
            </w:pPr>
            <w:r>
              <w:rPr>
                <w:b/>
                <w:sz w:val="20"/>
              </w:rPr>
              <w:t>FIRMY</w:t>
            </w:r>
          </w:p>
        </w:tc>
        <w:tc>
          <w:tcPr>
            <w:tcW w:w="3685" w:type="dxa"/>
          </w:tcPr>
          <w:p w14:paraId="06BF8846" w14:textId="77777777" w:rsidR="001B71FB" w:rsidRPr="001B71FB" w:rsidRDefault="001B71FB" w:rsidP="00245726">
            <w:pPr>
              <w:pStyle w:val="ListParagraph"/>
              <w:numPr>
                <w:ilvl w:val="0"/>
                <w:numId w:val="20"/>
              </w:numPr>
              <w:spacing w:before="80" w:after="80" w:line="240" w:lineRule="auto"/>
              <w:ind w:left="340" w:hanging="357"/>
              <w:jc w:val="left"/>
              <w:rPr>
                <w:sz w:val="20"/>
                <w:szCs w:val="20"/>
              </w:rPr>
            </w:pPr>
            <w:r w:rsidRPr="001B71FB">
              <w:rPr>
                <w:sz w:val="20"/>
                <w:szCs w:val="20"/>
              </w:rPr>
              <w:t>Vyšší motivace zaměstnanců</w:t>
            </w:r>
          </w:p>
          <w:p w14:paraId="7CDB917C" w14:textId="77777777" w:rsidR="001B71FB" w:rsidRPr="001B71FB" w:rsidRDefault="001B71FB" w:rsidP="00245726">
            <w:pPr>
              <w:pStyle w:val="ListParagraph"/>
              <w:numPr>
                <w:ilvl w:val="0"/>
                <w:numId w:val="20"/>
              </w:numPr>
              <w:spacing w:before="80" w:after="80" w:line="240" w:lineRule="auto"/>
              <w:ind w:left="340" w:hanging="357"/>
              <w:jc w:val="left"/>
              <w:rPr>
                <w:sz w:val="20"/>
                <w:szCs w:val="20"/>
              </w:rPr>
            </w:pPr>
            <w:r w:rsidRPr="001B71FB">
              <w:rPr>
                <w:sz w:val="20"/>
                <w:szCs w:val="20"/>
              </w:rPr>
              <w:t>Lepší soustředění</w:t>
            </w:r>
          </w:p>
          <w:p w14:paraId="0E693AC2" w14:textId="77777777" w:rsidR="001B71FB" w:rsidRPr="001B71FB" w:rsidRDefault="001B71FB" w:rsidP="00245726">
            <w:pPr>
              <w:pStyle w:val="ListParagraph"/>
              <w:numPr>
                <w:ilvl w:val="0"/>
                <w:numId w:val="20"/>
              </w:numPr>
              <w:spacing w:before="80" w:after="80" w:line="240" w:lineRule="auto"/>
              <w:ind w:left="340" w:hanging="357"/>
              <w:jc w:val="left"/>
              <w:rPr>
                <w:sz w:val="20"/>
                <w:szCs w:val="20"/>
              </w:rPr>
            </w:pPr>
            <w:r w:rsidRPr="001B71FB">
              <w:rPr>
                <w:sz w:val="20"/>
                <w:szCs w:val="20"/>
              </w:rPr>
              <w:t>Nižší náklady na kanceláře</w:t>
            </w:r>
          </w:p>
          <w:p w14:paraId="75FFEFED"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Najímání zaměstnanců z větší vzdálenosti</w:t>
            </w:r>
          </w:p>
        </w:tc>
        <w:tc>
          <w:tcPr>
            <w:tcW w:w="3402" w:type="dxa"/>
          </w:tcPr>
          <w:p w14:paraId="76A453ED" w14:textId="77777777" w:rsidR="001B71FB" w:rsidRPr="001B71FB" w:rsidRDefault="001B71FB" w:rsidP="00245726">
            <w:pPr>
              <w:pStyle w:val="ListParagraph"/>
              <w:numPr>
                <w:ilvl w:val="0"/>
                <w:numId w:val="20"/>
              </w:numPr>
              <w:spacing w:before="80" w:after="80" w:line="240" w:lineRule="auto"/>
              <w:ind w:left="340" w:hanging="357"/>
              <w:jc w:val="left"/>
              <w:rPr>
                <w:sz w:val="20"/>
                <w:szCs w:val="20"/>
              </w:rPr>
            </w:pPr>
            <w:r w:rsidRPr="001B71FB">
              <w:rPr>
                <w:sz w:val="20"/>
                <w:szCs w:val="20"/>
              </w:rPr>
              <w:t xml:space="preserve">Nižší motivace zaměstnanců </w:t>
            </w:r>
          </w:p>
          <w:p w14:paraId="19349C9E" w14:textId="77777777" w:rsidR="001B71FB" w:rsidRPr="001B71FB" w:rsidRDefault="001B71FB" w:rsidP="00245726">
            <w:pPr>
              <w:pStyle w:val="ListParagraph"/>
              <w:numPr>
                <w:ilvl w:val="0"/>
                <w:numId w:val="20"/>
              </w:numPr>
              <w:spacing w:before="80" w:after="80" w:line="240" w:lineRule="auto"/>
              <w:ind w:left="340" w:hanging="357"/>
              <w:jc w:val="left"/>
              <w:rPr>
                <w:sz w:val="20"/>
                <w:szCs w:val="20"/>
              </w:rPr>
            </w:pPr>
            <w:r w:rsidRPr="001B71FB">
              <w:rPr>
                <w:sz w:val="20"/>
                <w:szCs w:val="20"/>
              </w:rPr>
              <w:t>Horší komunikace</w:t>
            </w:r>
          </w:p>
          <w:p w14:paraId="12691412"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Méně inovací</w:t>
            </w:r>
          </w:p>
        </w:tc>
      </w:tr>
      <w:tr w:rsidR="001B71FB" w14:paraId="19B3EC19" w14:textId="77777777" w:rsidTr="001B71FB">
        <w:trPr>
          <w:jc w:val="center"/>
        </w:trPr>
        <w:tc>
          <w:tcPr>
            <w:tcW w:w="1980" w:type="dxa"/>
          </w:tcPr>
          <w:p w14:paraId="2E58BE41" w14:textId="77777777" w:rsidR="001B71FB" w:rsidRPr="00150B8A" w:rsidRDefault="001B71FB" w:rsidP="008008AD">
            <w:pPr>
              <w:spacing w:before="240" w:after="120"/>
              <w:rPr>
                <w:b/>
                <w:sz w:val="20"/>
              </w:rPr>
            </w:pPr>
            <w:r>
              <w:rPr>
                <w:b/>
                <w:sz w:val="20"/>
              </w:rPr>
              <w:t>ZAMĚSTNANCI</w:t>
            </w:r>
          </w:p>
        </w:tc>
        <w:tc>
          <w:tcPr>
            <w:tcW w:w="3685" w:type="dxa"/>
          </w:tcPr>
          <w:p w14:paraId="1D878F71"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Úspora času</w:t>
            </w:r>
          </w:p>
          <w:p w14:paraId="7496B4FE"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Úspora financí</w:t>
            </w:r>
          </w:p>
          <w:p w14:paraId="54AA7766"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Lepší soustředění</w:t>
            </w:r>
          </w:p>
        </w:tc>
        <w:tc>
          <w:tcPr>
            <w:tcW w:w="3402" w:type="dxa"/>
          </w:tcPr>
          <w:p w14:paraId="2AB3591A"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Splývání práce a soukromí</w:t>
            </w:r>
          </w:p>
          <w:p w14:paraId="3D6DF424"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Izolace</w:t>
            </w:r>
          </w:p>
          <w:p w14:paraId="3E3BDDAC"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Růst nestandardních úvazků</w:t>
            </w:r>
          </w:p>
        </w:tc>
      </w:tr>
      <w:tr w:rsidR="001B71FB" w14:paraId="68787640" w14:textId="77777777" w:rsidTr="001B71FB">
        <w:trPr>
          <w:jc w:val="center"/>
        </w:trPr>
        <w:tc>
          <w:tcPr>
            <w:tcW w:w="1980" w:type="dxa"/>
          </w:tcPr>
          <w:p w14:paraId="2675420A" w14:textId="77777777" w:rsidR="001B71FB" w:rsidRPr="00150B8A" w:rsidRDefault="001B71FB" w:rsidP="008008AD">
            <w:pPr>
              <w:spacing w:before="240" w:after="120"/>
              <w:rPr>
                <w:b/>
                <w:sz w:val="20"/>
              </w:rPr>
            </w:pPr>
            <w:r w:rsidRPr="00150B8A">
              <w:rPr>
                <w:b/>
                <w:sz w:val="20"/>
              </w:rPr>
              <w:t>ŽIVOTNÍ PROSTŘEDÍ</w:t>
            </w:r>
          </w:p>
        </w:tc>
        <w:tc>
          <w:tcPr>
            <w:tcW w:w="3685" w:type="dxa"/>
          </w:tcPr>
          <w:p w14:paraId="7B7353FE" w14:textId="77777777" w:rsidR="001B71FB" w:rsidRPr="001B71FB" w:rsidRDefault="001B71FB" w:rsidP="00245726">
            <w:pPr>
              <w:pStyle w:val="ListParagraph"/>
              <w:numPr>
                <w:ilvl w:val="0"/>
                <w:numId w:val="20"/>
              </w:numPr>
              <w:spacing w:before="80" w:after="80" w:line="240" w:lineRule="auto"/>
              <w:ind w:left="340"/>
              <w:contextualSpacing/>
              <w:jc w:val="left"/>
              <w:rPr>
                <w:sz w:val="20"/>
                <w:szCs w:val="20"/>
              </w:rPr>
            </w:pPr>
            <w:r w:rsidRPr="001B71FB">
              <w:rPr>
                <w:sz w:val="20"/>
                <w:szCs w:val="20"/>
              </w:rPr>
              <w:t>Méně cestování do práce</w:t>
            </w:r>
          </w:p>
        </w:tc>
        <w:tc>
          <w:tcPr>
            <w:tcW w:w="3402" w:type="dxa"/>
          </w:tcPr>
          <w:p w14:paraId="126A39BA"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Vytápění obydlí</w:t>
            </w:r>
          </w:p>
          <w:p w14:paraId="10355131" w14:textId="77777777" w:rsidR="001B71FB" w:rsidRPr="001B71FB" w:rsidRDefault="001B71FB" w:rsidP="00F23C28">
            <w:pPr>
              <w:pStyle w:val="ListParagraph"/>
              <w:numPr>
                <w:ilvl w:val="0"/>
                <w:numId w:val="20"/>
              </w:numPr>
              <w:spacing w:before="80" w:after="0" w:line="240" w:lineRule="auto"/>
              <w:ind w:left="334" w:hanging="357"/>
              <w:jc w:val="left"/>
              <w:rPr>
                <w:sz w:val="20"/>
                <w:szCs w:val="20"/>
              </w:rPr>
            </w:pPr>
            <w:r w:rsidRPr="001B71FB">
              <w:rPr>
                <w:sz w:val="20"/>
                <w:szCs w:val="20"/>
              </w:rPr>
              <w:t>Jiné cesty</w:t>
            </w:r>
          </w:p>
        </w:tc>
      </w:tr>
      <w:tr w:rsidR="001B71FB" w14:paraId="0E3D380C" w14:textId="77777777" w:rsidTr="001B71FB">
        <w:trPr>
          <w:jc w:val="center"/>
        </w:trPr>
        <w:tc>
          <w:tcPr>
            <w:tcW w:w="1980" w:type="dxa"/>
          </w:tcPr>
          <w:p w14:paraId="705D70F4" w14:textId="5E5AA919" w:rsidR="001B71FB" w:rsidRPr="00150B8A" w:rsidRDefault="001B71FB" w:rsidP="008008AD">
            <w:pPr>
              <w:spacing w:before="240" w:after="120"/>
              <w:rPr>
                <w:b/>
                <w:sz w:val="20"/>
              </w:rPr>
            </w:pPr>
            <w:r w:rsidRPr="00150B8A">
              <w:rPr>
                <w:b/>
                <w:sz w:val="20"/>
              </w:rPr>
              <w:t>TRH S BYDLEN</w:t>
            </w:r>
            <w:r w:rsidR="008008AD">
              <w:rPr>
                <w:b/>
                <w:sz w:val="20"/>
              </w:rPr>
              <w:t>Í</w:t>
            </w:r>
            <w:r w:rsidRPr="00150B8A">
              <w:rPr>
                <w:b/>
                <w:sz w:val="20"/>
              </w:rPr>
              <w:t>M</w:t>
            </w:r>
          </w:p>
        </w:tc>
        <w:tc>
          <w:tcPr>
            <w:tcW w:w="3685" w:type="dxa"/>
          </w:tcPr>
          <w:p w14:paraId="4BC33C92"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Zmírnění nárůstu cen ve velkých městech</w:t>
            </w:r>
          </w:p>
          <w:p w14:paraId="1BF797AA" w14:textId="2FF4564F" w:rsidR="001B71FB" w:rsidRPr="001B71FB" w:rsidRDefault="001B71FB" w:rsidP="00245726">
            <w:pPr>
              <w:pStyle w:val="ListParagraph"/>
              <w:numPr>
                <w:ilvl w:val="0"/>
                <w:numId w:val="20"/>
              </w:numPr>
              <w:spacing w:before="80" w:after="80" w:line="240" w:lineRule="auto"/>
              <w:ind w:left="340"/>
              <w:contextualSpacing/>
              <w:jc w:val="left"/>
              <w:rPr>
                <w:sz w:val="20"/>
                <w:szCs w:val="20"/>
              </w:rPr>
            </w:pPr>
            <w:r w:rsidRPr="001B71FB">
              <w:rPr>
                <w:sz w:val="20"/>
                <w:szCs w:val="20"/>
              </w:rPr>
              <w:t>Příliv lidí s vyššími příjmy na</w:t>
            </w:r>
            <w:r w:rsidR="00AB458B">
              <w:rPr>
                <w:sz w:val="20"/>
                <w:szCs w:val="20"/>
              </w:rPr>
              <w:t> </w:t>
            </w:r>
            <w:r w:rsidRPr="001B71FB">
              <w:rPr>
                <w:sz w:val="20"/>
                <w:szCs w:val="20"/>
              </w:rPr>
              <w:t>venkov</w:t>
            </w:r>
          </w:p>
        </w:tc>
        <w:tc>
          <w:tcPr>
            <w:tcW w:w="3402" w:type="dxa"/>
          </w:tcPr>
          <w:p w14:paraId="04821A72" w14:textId="77777777" w:rsidR="001B71FB" w:rsidRPr="008008AD" w:rsidRDefault="001B71FB" w:rsidP="00245726">
            <w:pPr>
              <w:spacing w:before="80" w:after="80" w:line="240" w:lineRule="auto"/>
              <w:ind w:left="340"/>
              <w:jc w:val="left"/>
              <w:rPr>
                <w:sz w:val="20"/>
                <w:szCs w:val="20"/>
              </w:rPr>
            </w:pPr>
          </w:p>
        </w:tc>
      </w:tr>
      <w:tr w:rsidR="001B71FB" w14:paraId="15A326D2" w14:textId="77777777" w:rsidTr="001B71FB">
        <w:trPr>
          <w:jc w:val="center"/>
        </w:trPr>
        <w:tc>
          <w:tcPr>
            <w:tcW w:w="1980" w:type="dxa"/>
          </w:tcPr>
          <w:p w14:paraId="5D9BD36A" w14:textId="77777777" w:rsidR="001B71FB" w:rsidRPr="00150B8A" w:rsidRDefault="001B71FB" w:rsidP="008008AD">
            <w:pPr>
              <w:spacing w:before="240" w:after="120"/>
              <w:rPr>
                <w:b/>
                <w:sz w:val="20"/>
              </w:rPr>
            </w:pPr>
            <w:r>
              <w:rPr>
                <w:b/>
                <w:sz w:val="20"/>
              </w:rPr>
              <w:t>NEROVNOSTI</w:t>
            </w:r>
          </w:p>
        </w:tc>
        <w:tc>
          <w:tcPr>
            <w:tcW w:w="3685" w:type="dxa"/>
          </w:tcPr>
          <w:p w14:paraId="3E0A660B" w14:textId="77777777" w:rsidR="001B71FB" w:rsidRPr="001B71FB" w:rsidRDefault="001B71FB" w:rsidP="00245726">
            <w:pPr>
              <w:pStyle w:val="ListParagraph"/>
              <w:numPr>
                <w:ilvl w:val="0"/>
                <w:numId w:val="20"/>
              </w:numPr>
              <w:spacing w:before="80" w:after="80" w:line="240" w:lineRule="auto"/>
              <w:ind w:left="340"/>
              <w:jc w:val="left"/>
              <w:rPr>
                <w:sz w:val="20"/>
                <w:szCs w:val="20"/>
              </w:rPr>
            </w:pPr>
            <w:r w:rsidRPr="001B71FB">
              <w:rPr>
                <w:sz w:val="20"/>
                <w:szCs w:val="20"/>
              </w:rPr>
              <w:t>Lepší spojení rodičovství se zaměstnáním</w:t>
            </w:r>
          </w:p>
        </w:tc>
        <w:tc>
          <w:tcPr>
            <w:tcW w:w="3402" w:type="dxa"/>
          </w:tcPr>
          <w:p w14:paraId="2FF99A59" w14:textId="77777777" w:rsidR="001B71FB" w:rsidRPr="001B71FB" w:rsidRDefault="001B71FB" w:rsidP="00245726">
            <w:pPr>
              <w:pStyle w:val="ListParagraph"/>
              <w:numPr>
                <w:ilvl w:val="0"/>
                <w:numId w:val="20"/>
              </w:numPr>
              <w:spacing w:before="80" w:after="80" w:line="240" w:lineRule="auto"/>
              <w:ind w:left="340"/>
              <w:jc w:val="left"/>
              <w:rPr>
                <w:b/>
                <w:sz w:val="20"/>
                <w:szCs w:val="20"/>
              </w:rPr>
            </w:pPr>
            <w:r w:rsidRPr="001B71FB">
              <w:rPr>
                <w:sz w:val="20"/>
                <w:szCs w:val="20"/>
              </w:rPr>
              <w:t>Prohloubení nerovností daných vzděláním</w:t>
            </w:r>
          </w:p>
        </w:tc>
      </w:tr>
    </w:tbl>
    <w:p w14:paraId="21A1FA38" w14:textId="77777777" w:rsidR="001B71FB" w:rsidRDefault="001B71FB" w:rsidP="009E3A6B">
      <w:pPr>
        <w:pStyle w:val="BodyText"/>
        <w:rPr>
          <w:lang w:eastAsia="en-US" w:bidi="ar-SA"/>
        </w:rPr>
      </w:pPr>
    </w:p>
    <w:p w14:paraId="6A00C973" w14:textId="0DD6F3AB" w:rsidR="001B71FB" w:rsidRDefault="001B71FB" w:rsidP="00AB458B">
      <w:pPr>
        <w:jc w:val="both"/>
      </w:pPr>
      <w:r>
        <w:t>Pracovníkům může práce z domova přinést řadu výhod. Každý den práce z domova řadě lidí ušetří hodinu či dvě cesty do práce a zpět, což není vůbec zanedbatelné. Zároveň přináší i finanční úspory na cestovních nákladech, oblečení a jídle. Kanadská studie odhadla, že dva dny práce z domova týdně odpovídají úsporám mezi 600 a 3</w:t>
      </w:r>
      <w:r w:rsidR="00AB458B">
        <w:t> </w:t>
      </w:r>
      <w:r>
        <w:t>500 kanadskými dolary ročně (</w:t>
      </w:r>
      <w:proofErr w:type="spellStart"/>
      <w:r>
        <w:t>Lister</w:t>
      </w:r>
      <w:proofErr w:type="spellEnd"/>
      <w:r>
        <w:t xml:space="preserve"> a </w:t>
      </w:r>
      <w:proofErr w:type="spellStart"/>
      <w:r>
        <w:t>Harnish</w:t>
      </w:r>
      <w:proofErr w:type="spellEnd"/>
      <w:r>
        <w:t>, 2011). Práce z domova dává pracovníkům větší uspokojení z</w:t>
      </w:r>
      <w:r w:rsidR="00AB458B">
        <w:t> </w:t>
      </w:r>
      <w:r>
        <w:t>práce</w:t>
      </w:r>
      <w:r w:rsidR="00AB458B">
        <w:t>,</w:t>
      </w:r>
      <w:r>
        <w:t xml:space="preserve"> a také umožňuje vyšší pracovní úvazek pro matky dětí (</w:t>
      </w:r>
      <w:proofErr w:type="spellStart"/>
      <w:r>
        <w:t>Arntz</w:t>
      </w:r>
      <w:proofErr w:type="spellEnd"/>
      <w:r>
        <w:t xml:space="preserve"> a</w:t>
      </w:r>
      <w:r w:rsidR="00AB458B">
        <w:t> </w:t>
      </w:r>
      <w:r>
        <w:t>kol., 2019). Na druhou stranu, práce z domova může vést k pocitu osamělosti, nárůstu přesčasů, ke stresu plynoucímu z nedostatečného oddělení práce a soukromého života a</w:t>
      </w:r>
      <w:r w:rsidR="00AB458B">
        <w:t> </w:t>
      </w:r>
      <w:r>
        <w:t>k</w:t>
      </w:r>
      <w:r w:rsidR="008008AD">
        <w:t> </w:t>
      </w:r>
      <w:r>
        <w:t>rozšíření nestandardních pracovních úvazků. Například ve Francii proto od června 2020 odbory jednají s představiteli zaměstnavatelů o tom, jak by měla být práce z domova do budoucna regulována.</w:t>
      </w:r>
    </w:p>
    <w:p w14:paraId="3B3D378A" w14:textId="77777777" w:rsidR="001B71FB" w:rsidRDefault="001B71FB" w:rsidP="00AB458B">
      <w:pPr>
        <w:jc w:val="both"/>
      </w:pPr>
      <w:r>
        <w:t>Práce z domova by také mohla ulehčit životnímu prostředí a mnoho pracovníků tento důvod uvádí jako důležitou motivaci pro práci z domova.</w:t>
      </w:r>
      <w:r>
        <w:rPr>
          <w:rStyle w:val="FootnoteReference"/>
        </w:rPr>
        <w:footnoteReference w:id="10"/>
      </w:r>
      <w:r>
        <w:t xml:space="preserve"> Méně dojíždění do práce je </w:t>
      </w:r>
      <w:r>
        <w:lastRenderedPageBreak/>
        <w:t>skutečně environmentálně prospěšné. Práce z domova ale zároveň znamená nutnost vytápět během dne soukromá obydlí a může také vést k nárůstu jiných cest než těch spojených s prací. Systematický přehled existujících studií ukázal, že celkový vliv práce z domova na životní prostředí je nejspíše malý a může někdy být i negativní (</w:t>
      </w:r>
      <w:proofErr w:type="spellStart"/>
      <w:r>
        <w:t>Hook</w:t>
      </w:r>
      <w:proofErr w:type="spellEnd"/>
      <w:r>
        <w:t xml:space="preserve"> a kol., 2020). </w:t>
      </w:r>
    </w:p>
    <w:p w14:paraId="36887F27" w14:textId="2D8B935A" w:rsidR="001B71FB" w:rsidRDefault="001B71FB" w:rsidP="00873114">
      <w:pPr>
        <w:jc w:val="both"/>
      </w:pPr>
      <w:r>
        <w:t>Trvalé rozšíření práce z domova může ulehčit poptávce po bydlení ve velkých městech</w:t>
      </w:r>
      <w:r w:rsidR="00F23C28">
        <w:t>,</w:t>
      </w:r>
      <w:r>
        <w:t xml:space="preserve"> a</w:t>
      </w:r>
      <w:r w:rsidR="00873114">
        <w:t> </w:t>
      </w:r>
      <w:r>
        <w:t xml:space="preserve">dokonce vést k odlivu vzdělaných lidí do menších sídel. </w:t>
      </w:r>
    </w:p>
    <w:p w14:paraId="2D82C2BA" w14:textId="5035DD7A" w:rsidR="001B71FB" w:rsidRDefault="001B71FB" w:rsidP="00873114">
      <w:pPr>
        <w:jc w:val="both"/>
      </w:pPr>
      <w:r>
        <w:t>V neposlední řadě</w:t>
      </w:r>
      <w:r w:rsidR="00873114">
        <w:t xml:space="preserve"> má</w:t>
      </w:r>
      <w:r>
        <w:t xml:space="preserve"> rozšíření práce z domova potenciál prohlubovat existující ekonomické a sociální nerovnosti mezi pracovníky. Intuitivně, řada kvalifikovanějších a</w:t>
      </w:r>
      <w:r w:rsidR="00873114">
        <w:t> </w:t>
      </w:r>
      <w:r>
        <w:t>lépe placených povolání obnáší především duševní činnosti u počítače, které lze mnohem snadněji vykonávat z domova. Naopak mnoho hůře placených povolání vyžaduje fyzickou aktivitu (např. prodavač, řidič autobusu) a práce z domova tak u nich není možná. Například v USA nejlépe placená pětina zaměstnanců byla v březnu schopná pracovat z domova dvakrát častěji než nejhůře placené dvě pětiny (</w:t>
      </w:r>
      <w:proofErr w:type="spellStart"/>
      <w:r>
        <w:t>Reeves</w:t>
      </w:r>
      <w:proofErr w:type="spellEnd"/>
      <w:r>
        <w:t xml:space="preserve"> a </w:t>
      </w:r>
      <w:proofErr w:type="spellStart"/>
      <w:r>
        <w:t>Rothwell</w:t>
      </w:r>
      <w:proofErr w:type="spellEnd"/>
      <w:r>
        <w:t>, 2020). Obecněji platí, že hůře kvalifikované práce s sebou nesou nižší míru flexibility (</w:t>
      </w:r>
      <w:proofErr w:type="spellStart"/>
      <w:r>
        <w:t>Kossek</w:t>
      </w:r>
      <w:proofErr w:type="spellEnd"/>
      <w:r>
        <w:t xml:space="preserve"> a </w:t>
      </w:r>
      <w:proofErr w:type="spellStart"/>
      <w:r>
        <w:t>Lautsch</w:t>
      </w:r>
      <w:proofErr w:type="spellEnd"/>
      <w:r>
        <w:t>, 2017). Je tedy pravděpodobné, že z výhod spojených s možností pracovat z domova budou těžit především pracovníci, kteří na tom už tak jsou výdělkově lépe.</w:t>
      </w:r>
    </w:p>
    <w:p w14:paraId="0C751EF5" w14:textId="77777777" w:rsidR="001B71FB" w:rsidRDefault="001B71FB" w:rsidP="007C6457">
      <w:pPr>
        <w:jc w:val="both"/>
      </w:pPr>
      <w:r>
        <w:t>Diskuse výše ilustruje, že práce z domova může ovlivnit mnoho aspektů života. Pro lepší porozumění změnám, které by mohla práce z domova přinést v Česku, je ale užitečné porozumět tomu, kolik a kterých pracovníků by v Česku mohlo potenciálně pracovat z domova. K této otázce se nyní obracíme.</w:t>
      </w:r>
    </w:p>
    <w:p w14:paraId="08F0F4EA" w14:textId="322160DF" w:rsidR="001B71FB" w:rsidRDefault="001B71FB" w:rsidP="00F23C28">
      <w:pPr>
        <w:pStyle w:val="BodyText"/>
        <w:spacing w:after="0"/>
        <w:rPr>
          <w:lang w:eastAsia="en-US" w:bidi="ar-SA"/>
        </w:rPr>
      </w:pPr>
    </w:p>
    <w:p w14:paraId="458E2AFF" w14:textId="3F1E95D4" w:rsidR="001B71FB" w:rsidRDefault="00EF3AB0" w:rsidP="00F97A38">
      <w:pPr>
        <w:pStyle w:val="Heading1"/>
      </w:pPr>
      <w:r>
        <w:t>Data a metodologie</w:t>
      </w:r>
    </w:p>
    <w:p w14:paraId="2A6155FA" w14:textId="77777777" w:rsidR="00EF3AB0" w:rsidRDefault="00EF3AB0" w:rsidP="007C6457">
      <w:pPr>
        <w:jc w:val="both"/>
      </w:pPr>
      <w:r>
        <w:t>Při odhadování podílu českých pracovníků, kteří mohou pracovat z domova, postupujeme ve dvou krocích. Nejprve na základě klasifikace studie z USA určíme, která česká povolání vykonávat z domova lze. Následně za využití vzorku dat VŠPS počítáme, jaký podíl českých pracovníků vykonává tato povolání.</w:t>
      </w:r>
      <w:r>
        <w:rPr>
          <w:rStyle w:val="FootnoteReference"/>
        </w:rPr>
        <w:footnoteReference w:id="11"/>
      </w:r>
    </w:p>
    <w:p w14:paraId="732C2C43" w14:textId="4CFBBB5B" w:rsidR="00EF3AB0" w:rsidRDefault="00EF3AB0" w:rsidP="002645A1">
      <w:pPr>
        <w:spacing w:after="240"/>
        <w:jc w:val="both"/>
      </w:pPr>
      <w:r>
        <w:t xml:space="preserve">Klasifikace povolání, která se dají vykonávat z domova, pochází ze studie </w:t>
      </w:r>
      <w:hyperlink r:id="rId11" w:history="1">
        <w:r w:rsidRPr="007C6457">
          <w:rPr>
            <w:rStyle w:val="Hyperlink"/>
          </w:rPr>
          <w:fldChar w:fldCharType="begin"/>
        </w:r>
        <w:r w:rsidRPr="007C6457">
          <w:rPr>
            <w:rStyle w:val="Hyperlink"/>
          </w:rPr>
          <w:instrText xml:space="preserve"> ADDIN ZOTERO_ITEM CSL_CITATION {"citationID":"3iLTbJiD","properties":{"formattedCitation":"(Dingel and Neiman 2020)","plainCitation":"(Dingel and Neiman 2020)","noteIndex":0},"citationItems":[{"id":410,"uris":["http://zotero.org/users/local/uSRAUdnz/items/7IZ423ML"],"uri":["http://zotero.org/users/local/uSRAUdnz/items/7IZ423ML"],"itemData":{"id":410,"type":"report","title":"How many jobs can be done at home?","publisher":"National Bureau of Economic Research","source":"Google Scholar","author":[{"family":"Dingel","given":"Jonathan I."},{"family":"Neiman","given":"Brent"}],"issued":{"date-parts":[["2020"]]}}}],"schema":"https://github.com/citation-style-language/schema/raw/master/csl-citation.json"} </w:instrText>
        </w:r>
        <w:r w:rsidRPr="007C6457">
          <w:rPr>
            <w:rStyle w:val="Hyperlink"/>
          </w:rPr>
          <w:fldChar w:fldCharType="separate"/>
        </w:r>
        <w:r w:rsidRPr="007C6457">
          <w:rPr>
            <w:rStyle w:val="Hyperlink"/>
            <w:rFonts w:cs="Calibri"/>
          </w:rPr>
          <w:t>Dingel and Neiman (2020)</w:t>
        </w:r>
        <w:r w:rsidRPr="007C6457">
          <w:rPr>
            <w:rStyle w:val="Hyperlink"/>
          </w:rPr>
          <w:fldChar w:fldCharType="end"/>
        </w:r>
      </w:hyperlink>
      <w:r>
        <w:t>. Její autoři rozlišují mezi povoláními vykonavatelnými na dálku a</w:t>
      </w:r>
      <w:r w:rsidR="007C6457">
        <w:t> </w:t>
      </w:r>
      <w:r>
        <w:t xml:space="preserve">povoláními, kde práce na dálku možná není. Vychází z dat </w:t>
      </w:r>
      <w:hyperlink r:id="rId12" w:history="1">
        <w:proofErr w:type="spellStart"/>
        <w:r w:rsidRPr="004B63C0">
          <w:rPr>
            <w:rStyle w:val="Hyperlink"/>
          </w:rPr>
          <w:t>Occupational</w:t>
        </w:r>
        <w:proofErr w:type="spellEnd"/>
        <w:r w:rsidRPr="004B63C0">
          <w:rPr>
            <w:rStyle w:val="Hyperlink"/>
          </w:rPr>
          <w:t xml:space="preserve"> </w:t>
        </w:r>
        <w:proofErr w:type="spellStart"/>
        <w:r w:rsidRPr="004B63C0">
          <w:rPr>
            <w:rStyle w:val="Hyperlink"/>
          </w:rPr>
          <w:t>Information</w:t>
        </w:r>
        <w:proofErr w:type="spellEnd"/>
        <w:r w:rsidRPr="004B63C0">
          <w:rPr>
            <w:rStyle w:val="Hyperlink"/>
          </w:rPr>
          <w:t xml:space="preserve"> </w:t>
        </w:r>
        <w:r w:rsidRPr="004B63C0">
          <w:rPr>
            <w:rStyle w:val="Hyperlink"/>
          </w:rPr>
          <w:lastRenderedPageBreak/>
          <w:t>Network (O*NET)</w:t>
        </w:r>
      </w:hyperlink>
      <w:r>
        <w:t xml:space="preserve">, která na základě šetření mezi pracovníky pro úzce definovaná povolání popisují kontext, v kterém se každé povolání odehrává a činnosti, které vyžaduje. Konkrétně klasifikace označuje povolání, která </w:t>
      </w:r>
      <w:r w:rsidRPr="00D60A55">
        <w:rPr>
          <w:b/>
        </w:rPr>
        <w:t>nelze vykonávat na dálku</w:t>
      </w:r>
      <w:r>
        <w:t xml:space="preserve">, pokud mají </w:t>
      </w:r>
      <w:r w:rsidRPr="00D60A55">
        <w:rPr>
          <w:b/>
        </w:rPr>
        <w:t>alespoň jednu</w:t>
      </w:r>
      <w:r>
        <w:t xml:space="preserve"> z následujících charakteristik:</w:t>
      </w:r>
    </w:p>
    <w:p w14:paraId="7B1E3C93" w14:textId="77777777" w:rsidR="00EF3AB0" w:rsidRPr="00EF3AB0" w:rsidRDefault="00EF3AB0" w:rsidP="002645A1">
      <w:pPr>
        <w:pStyle w:val="ListParagraph"/>
        <w:numPr>
          <w:ilvl w:val="0"/>
          <w:numId w:val="16"/>
        </w:numPr>
        <w:ind w:left="924" w:right="567" w:hanging="357"/>
        <w:rPr>
          <w:sz w:val="24"/>
        </w:rPr>
      </w:pPr>
      <w:r w:rsidRPr="00EF3AB0">
        <w:rPr>
          <w:sz w:val="24"/>
        </w:rPr>
        <w:t>Při jejich výkonu je e-mail využíván méně než jednou týdně.</w:t>
      </w:r>
    </w:p>
    <w:p w14:paraId="5206C96A" w14:textId="77777777" w:rsidR="00EF3AB0" w:rsidRPr="00EF3AB0" w:rsidRDefault="00EF3AB0" w:rsidP="002645A1">
      <w:pPr>
        <w:pStyle w:val="ListParagraph"/>
        <w:numPr>
          <w:ilvl w:val="0"/>
          <w:numId w:val="16"/>
        </w:numPr>
        <w:ind w:left="924" w:right="567" w:hanging="357"/>
        <w:rPr>
          <w:sz w:val="24"/>
        </w:rPr>
      </w:pPr>
      <w:r w:rsidRPr="00EF3AB0">
        <w:rPr>
          <w:sz w:val="24"/>
        </w:rPr>
        <w:t>Při jejich výkonu je třeba pracovat venku každý den.</w:t>
      </w:r>
    </w:p>
    <w:p w14:paraId="6969C4A4" w14:textId="77777777" w:rsidR="00EF3AB0" w:rsidRPr="00EF3AB0" w:rsidRDefault="00EF3AB0" w:rsidP="002645A1">
      <w:pPr>
        <w:pStyle w:val="ListParagraph"/>
        <w:numPr>
          <w:ilvl w:val="0"/>
          <w:numId w:val="16"/>
        </w:numPr>
        <w:ind w:left="924" w:right="567" w:hanging="357"/>
        <w:rPr>
          <w:sz w:val="24"/>
        </w:rPr>
      </w:pPr>
      <w:r w:rsidRPr="00EF3AB0">
        <w:rPr>
          <w:sz w:val="24"/>
        </w:rPr>
        <w:t>Minimálně jednou týdně obnáší styk s agresivními lidmi.</w:t>
      </w:r>
    </w:p>
    <w:p w14:paraId="19A9BF51" w14:textId="77777777" w:rsidR="00EF3AB0" w:rsidRPr="00EF3AB0" w:rsidRDefault="00EF3AB0" w:rsidP="002645A1">
      <w:pPr>
        <w:pStyle w:val="ListParagraph"/>
        <w:numPr>
          <w:ilvl w:val="0"/>
          <w:numId w:val="16"/>
        </w:numPr>
        <w:ind w:left="924" w:right="567" w:hanging="357"/>
        <w:rPr>
          <w:sz w:val="24"/>
        </w:rPr>
      </w:pPr>
      <w:r w:rsidRPr="00EF3AB0">
        <w:rPr>
          <w:sz w:val="24"/>
        </w:rPr>
        <w:t>Většinu času v práci je třeba trávit ve standardních či specializovaných ochranných pomůckách.</w:t>
      </w:r>
    </w:p>
    <w:p w14:paraId="201D43F2" w14:textId="77777777" w:rsidR="00EF3AB0" w:rsidRPr="00EF3AB0" w:rsidRDefault="00EF3AB0" w:rsidP="002645A1">
      <w:pPr>
        <w:pStyle w:val="ListParagraph"/>
        <w:numPr>
          <w:ilvl w:val="0"/>
          <w:numId w:val="16"/>
        </w:numPr>
        <w:ind w:left="924" w:right="567" w:hanging="357"/>
        <w:rPr>
          <w:sz w:val="24"/>
        </w:rPr>
      </w:pPr>
      <w:r w:rsidRPr="00EF3AB0">
        <w:rPr>
          <w:sz w:val="24"/>
        </w:rPr>
        <w:t>Při jejich výkonu stráví průměrný pracující většinu času chůzí, či během.</w:t>
      </w:r>
    </w:p>
    <w:p w14:paraId="1DC45343" w14:textId="77777777" w:rsidR="00EF3AB0" w:rsidRPr="00EF3AB0" w:rsidRDefault="00EF3AB0" w:rsidP="002645A1">
      <w:pPr>
        <w:pStyle w:val="ListParagraph"/>
        <w:numPr>
          <w:ilvl w:val="0"/>
          <w:numId w:val="16"/>
        </w:numPr>
        <w:ind w:left="924" w:right="567" w:hanging="357"/>
        <w:rPr>
          <w:sz w:val="24"/>
        </w:rPr>
      </w:pPr>
      <w:r w:rsidRPr="00EF3AB0">
        <w:rPr>
          <w:sz w:val="24"/>
        </w:rPr>
        <w:t>Při jejich výkonu je pracující minimálně jednou týdně vystaven lehkým spáleninám, pořezání, kousancům či žihadlům.</w:t>
      </w:r>
    </w:p>
    <w:p w14:paraId="0FBAFB99" w14:textId="77777777" w:rsidR="00EF3AB0" w:rsidRPr="00EF3AB0" w:rsidRDefault="00EF3AB0" w:rsidP="002645A1">
      <w:pPr>
        <w:pStyle w:val="ListParagraph"/>
        <w:numPr>
          <w:ilvl w:val="0"/>
          <w:numId w:val="16"/>
        </w:numPr>
        <w:ind w:left="924" w:right="567" w:hanging="357"/>
        <w:rPr>
          <w:sz w:val="24"/>
        </w:rPr>
      </w:pPr>
      <w:r w:rsidRPr="00EF3AB0">
        <w:rPr>
          <w:sz w:val="24"/>
        </w:rPr>
        <w:t>Při jejich výkonu přijde pracující minimálně jednou týdně do styku s nemocí či nákazou.</w:t>
      </w:r>
    </w:p>
    <w:p w14:paraId="1366ABB4" w14:textId="77777777" w:rsidR="00EF3AB0" w:rsidRDefault="00EF3AB0" w:rsidP="009E3A6B">
      <w:pPr>
        <w:pStyle w:val="BodyText"/>
        <w:rPr>
          <w:lang w:eastAsia="en-US" w:bidi="ar-SA"/>
        </w:rPr>
      </w:pPr>
    </w:p>
    <w:p w14:paraId="67181EC6" w14:textId="77777777" w:rsidR="00EF3AB0" w:rsidRDefault="00EF3AB0" w:rsidP="002645A1">
      <w:pPr>
        <w:spacing w:after="240"/>
        <w:jc w:val="both"/>
      </w:pPr>
      <w:r>
        <w:t xml:space="preserve">Povolání dále podle klasifikace </w:t>
      </w:r>
      <w:r w:rsidRPr="00D60A55">
        <w:rPr>
          <w:b/>
        </w:rPr>
        <w:t>nelze vykonávat na dálku</w:t>
      </w:r>
      <w:r>
        <w:t xml:space="preserve">, pokud vyžaduje </w:t>
      </w:r>
      <w:r w:rsidRPr="00D60A55">
        <w:rPr>
          <w:b/>
        </w:rPr>
        <w:t xml:space="preserve">alespoň jednu </w:t>
      </w:r>
      <w:r>
        <w:t xml:space="preserve">z následujících činností: </w:t>
      </w:r>
    </w:p>
    <w:p w14:paraId="001472E1" w14:textId="77777777" w:rsidR="00EF3AB0" w:rsidRPr="00EF3AB0" w:rsidRDefault="00EF3AB0" w:rsidP="002645A1">
      <w:pPr>
        <w:pStyle w:val="ListParagraph"/>
        <w:numPr>
          <w:ilvl w:val="0"/>
          <w:numId w:val="18"/>
        </w:numPr>
        <w:ind w:left="1077" w:hanging="357"/>
        <w:rPr>
          <w:sz w:val="24"/>
        </w:rPr>
      </w:pPr>
      <w:r w:rsidRPr="00EF3AB0">
        <w:rPr>
          <w:sz w:val="24"/>
        </w:rPr>
        <w:t>Pravidelné vykonávání fyzické aktivity.</w:t>
      </w:r>
    </w:p>
    <w:p w14:paraId="2B87CDA6" w14:textId="77777777" w:rsidR="00EF3AB0" w:rsidRPr="00EF3AB0" w:rsidRDefault="00EF3AB0" w:rsidP="002645A1">
      <w:pPr>
        <w:pStyle w:val="ListParagraph"/>
        <w:numPr>
          <w:ilvl w:val="0"/>
          <w:numId w:val="18"/>
        </w:numPr>
        <w:ind w:left="1077" w:hanging="357"/>
        <w:rPr>
          <w:sz w:val="24"/>
        </w:rPr>
      </w:pPr>
      <w:r w:rsidRPr="00EF3AB0">
        <w:rPr>
          <w:sz w:val="24"/>
        </w:rPr>
        <w:t>Manipulaci a přesun předmětů.</w:t>
      </w:r>
    </w:p>
    <w:p w14:paraId="13E91DB8" w14:textId="77777777" w:rsidR="00EF3AB0" w:rsidRPr="00EF3AB0" w:rsidRDefault="00EF3AB0" w:rsidP="002645A1">
      <w:pPr>
        <w:pStyle w:val="ListParagraph"/>
        <w:numPr>
          <w:ilvl w:val="0"/>
          <w:numId w:val="18"/>
        </w:numPr>
        <w:ind w:left="1077" w:hanging="357"/>
        <w:rPr>
          <w:sz w:val="24"/>
        </w:rPr>
      </w:pPr>
      <w:r w:rsidRPr="00EF3AB0">
        <w:rPr>
          <w:sz w:val="24"/>
        </w:rPr>
        <w:t>Ovládání přístrojů a procesů (vyjma počítačů a vozidel).</w:t>
      </w:r>
    </w:p>
    <w:p w14:paraId="7125D6BC" w14:textId="77777777" w:rsidR="00EF3AB0" w:rsidRPr="00EF3AB0" w:rsidRDefault="00EF3AB0" w:rsidP="002645A1">
      <w:pPr>
        <w:pStyle w:val="ListParagraph"/>
        <w:numPr>
          <w:ilvl w:val="0"/>
          <w:numId w:val="18"/>
        </w:numPr>
        <w:ind w:left="1077" w:hanging="357"/>
        <w:rPr>
          <w:sz w:val="24"/>
        </w:rPr>
      </w:pPr>
      <w:r w:rsidRPr="00EF3AB0">
        <w:rPr>
          <w:sz w:val="24"/>
        </w:rPr>
        <w:t>Obsluhu vozidel nebo mechanizovaných zařízení.</w:t>
      </w:r>
    </w:p>
    <w:p w14:paraId="53ABE1A8" w14:textId="77777777" w:rsidR="00EF3AB0" w:rsidRPr="00EF3AB0" w:rsidRDefault="00EF3AB0" w:rsidP="002645A1">
      <w:pPr>
        <w:pStyle w:val="ListParagraph"/>
        <w:numPr>
          <w:ilvl w:val="0"/>
          <w:numId w:val="18"/>
        </w:numPr>
        <w:ind w:left="1077" w:hanging="357"/>
        <w:rPr>
          <w:sz w:val="24"/>
        </w:rPr>
      </w:pPr>
      <w:r w:rsidRPr="00EF3AB0">
        <w:rPr>
          <w:sz w:val="24"/>
        </w:rPr>
        <w:t>Vystupování před lidmi či práci s lidmi.</w:t>
      </w:r>
    </w:p>
    <w:p w14:paraId="03FCD183" w14:textId="77777777" w:rsidR="00EF3AB0" w:rsidRPr="00EF3AB0" w:rsidRDefault="00EF3AB0" w:rsidP="002645A1">
      <w:pPr>
        <w:pStyle w:val="ListParagraph"/>
        <w:numPr>
          <w:ilvl w:val="0"/>
          <w:numId w:val="18"/>
        </w:numPr>
        <w:ind w:left="1077" w:hanging="357"/>
        <w:rPr>
          <w:sz w:val="24"/>
        </w:rPr>
      </w:pPr>
      <w:r w:rsidRPr="00EF3AB0">
        <w:rPr>
          <w:sz w:val="24"/>
        </w:rPr>
        <w:t>Opravy a údržbu mechanické výbavy.</w:t>
      </w:r>
    </w:p>
    <w:p w14:paraId="14FE3C26" w14:textId="77777777" w:rsidR="00EF3AB0" w:rsidRPr="00EF3AB0" w:rsidRDefault="00EF3AB0" w:rsidP="002645A1">
      <w:pPr>
        <w:pStyle w:val="ListParagraph"/>
        <w:numPr>
          <w:ilvl w:val="0"/>
          <w:numId w:val="18"/>
        </w:numPr>
        <w:ind w:left="1077" w:hanging="357"/>
        <w:rPr>
          <w:sz w:val="24"/>
        </w:rPr>
      </w:pPr>
      <w:r w:rsidRPr="00EF3AB0">
        <w:rPr>
          <w:sz w:val="24"/>
        </w:rPr>
        <w:t>Opravy a údržbu elektronické výbavy.</w:t>
      </w:r>
    </w:p>
    <w:p w14:paraId="78564210" w14:textId="77777777" w:rsidR="00EF3AB0" w:rsidRPr="00EF3AB0" w:rsidRDefault="00EF3AB0" w:rsidP="002645A1">
      <w:pPr>
        <w:pStyle w:val="ListParagraph"/>
        <w:numPr>
          <w:ilvl w:val="0"/>
          <w:numId w:val="18"/>
        </w:numPr>
        <w:ind w:left="1077" w:hanging="357"/>
        <w:rPr>
          <w:sz w:val="24"/>
        </w:rPr>
      </w:pPr>
      <w:r w:rsidRPr="00EF3AB0">
        <w:rPr>
          <w:sz w:val="24"/>
        </w:rPr>
        <w:t>Kontrolování vybavení, staveb nebo materiálů.</w:t>
      </w:r>
    </w:p>
    <w:p w14:paraId="6E1A9739" w14:textId="77777777" w:rsidR="001B71FB" w:rsidRDefault="001B71FB" w:rsidP="009E3A6B">
      <w:pPr>
        <w:pStyle w:val="BodyText"/>
        <w:rPr>
          <w:lang w:eastAsia="en-US" w:bidi="ar-SA"/>
        </w:rPr>
      </w:pPr>
    </w:p>
    <w:p w14:paraId="56F702A9" w14:textId="12E40BAD" w:rsidR="00EF3AB0" w:rsidRPr="00725EA2" w:rsidRDefault="00EF3AB0" w:rsidP="00725EA2">
      <w:pPr>
        <w:jc w:val="both"/>
        <w:rPr>
          <w:szCs w:val="24"/>
        </w:rPr>
      </w:pPr>
      <w:r w:rsidRPr="00725EA2">
        <w:rPr>
          <w:szCs w:val="24"/>
        </w:rPr>
        <w:lastRenderedPageBreak/>
        <w:t>Tuto klasifikaci povolání jsme propojili s daty VŠPS za rok 2015.</w:t>
      </w:r>
      <w:r w:rsidRPr="00725EA2">
        <w:rPr>
          <w:rStyle w:val="FootnoteReference"/>
          <w:szCs w:val="24"/>
        </w:rPr>
        <w:footnoteReference w:id="12"/>
      </w:r>
      <w:r w:rsidRPr="00725EA2">
        <w:rPr>
          <w:szCs w:val="24"/>
        </w:rPr>
        <w:t xml:space="preserve"> Po aplikaci příslušných vah umožňuje získání reprezentativních výsledků na národní i regionální úrovni. Zatímco data VŠPS používají ke klasifikaci profesí</w:t>
      </w:r>
      <w:r w:rsidR="00725EA2" w:rsidRPr="00725EA2">
        <w:rPr>
          <w:szCs w:val="24"/>
        </w:rPr>
        <w:t xml:space="preserve"> 5-</w:t>
      </w:r>
      <w:r w:rsidRPr="00725EA2">
        <w:rPr>
          <w:szCs w:val="24"/>
        </w:rPr>
        <w:t xml:space="preserve">místný kód CZ-ISCO, klasifikace použitá </w:t>
      </w:r>
      <w:r w:rsidRPr="00725EA2">
        <w:rPr>
          <w:szCs w:val="24"/>
        </w:rPr>
        <w:fldChar w:fldCharType="begin"/>
      </w:r>
      <w:r w:rsidRPr="00725EA2">
        <w:rPr>
          <w:szCs w:val="24"/>
        </w:rPr>
        <w:instrText xml:space="preserve"> ADDIN ZOTERO_ITEM CSL_CITATION {"citationID":"3iLTbJiD","properties":{"formattedCitation":"(Dingel and Neiman 2020)","plainCitation":"(Dingel and Neiman 2020)","noteIndex":0},"citationItems":[{"id":410,"uris":["http://zotero.org/users/local/uSRAUdnz/items/7IZ423ML"],"uri":["http://zotero.org/users/local/uSRAUdnz/items/7IZ423ML"],"itemData":{"id":410,"type":"report","title":"How many jobs can be done at home?","publisher":"National Bureau of Economic Research","source":"Google Scholar","author":[{"family":"Dingel","given":"Jonathan I."},{"family":"Neiman","given":"Brent"}],"issued":{"date-parts":[["2020"]]}}}],"schema":"https://github.com/citation-style-language/schema/raw/master/csl-citation.json"} </w:instrText>
      </w:r>
      <w:r w:rsidRPr="00725EA2">
        <w:rPr>
          <w:szCs w:val="24"/>
        </w:rPr>
        <w:fldChar w:fldCharType="separate"/>
      </w:r>
      <w:r w:rsidRPr="00725EA2">
        <w:rPr>
          <w:rFonts w:cs="Calibri"/>
          <w:szCs w:val="24"/>
        </w:rPr>
        <w:t>Dingelem and Neimanem (2020)</w:t>
      </w:r>
      <w:r w:rsidRPr="00725EA2">
        <w:rPr>
          <w:szCs w:val="24"/>
        </w:rPr>
        <w:fldChar w:fldCharType="end"/>
      </w:r>
      <w:r w:rsidRPr="00725EA2">
        <w:rPr>
          <w:szCs w:val="24"/>
        </w:rPr>
        <w:t xml:space="preserve"> kóduje práce pomocí 8-místné klasifikace O*NET-SOC. O*NET-SOC je detailnější klasifikací povolání, která vychází z</w:t>
      </w:r>
      <w:r w:rsidR="00725EA2" w:rsidRPr="00725EA2">
        <w:rPr>
          <w:szCs w:val="24"/>
        </w:rPr>
        <w:t> </w:t>
      </w:r>
      <w:r w:rsidRPr="00725EA2">
        <w:rPr>
          <w:szCs w:val="24"/>
        </w:rPr>
        <w:t xml:space="preserve">americké vládní standardní klasifikace povolání (z anglického standard </w:t>
      </w:r>
      <w:proofErr w:type="spellStart"/>
      <w:r w:rsidRPr="00725EA2">
        <w:rPr>
          <w:szCs w:val="24"/>
        </w:rPr>
        <w:t>occupational</w:t>
      </w:r>
      <w:proofErr w:type="spellEnd"/>
      <w:r w:rsidRPr="00725EA2">
        <w:rPr>
          <w:szCs w:val="24"/>
        </w:rPr>
        <w:t xml:space="preserve"> </w:t>
      </w:r>
      <w:proofErr w:type="spellStart"/>
      <w:r w:rsidRPr="00725EA2">
        <w:rPr>
          <w:szCs w:val="24"/>
        </w:rPr>
        <w:t>classification</w:t>
      </w:r>
      <w:proofErr w:type="spellEnd"/>
      <w:r w:rsidRPr="00725EA2">
        <w:rPr>
          <w:szCs w:val="24"/>
        </w:rPr>
        <w:t>; SOC). Oba zdroje - O*NET-SOC a VŠPS – proto propojujeme ve dvou krocích. V prvním kroku využíváme korespondenční tabulku mezi CZ-ISCO a SOC.</w:t>
      </w:r>
      <w:r w:rsidRPr="00725EA2">
        <w:rPr>
          <w:rStyle w:val="FootnoteReference"/>
          <w:szCs w:val="24"/>
        </w:rPr>
        <w:footnoteReference w:id="13"/>
      </w:r>
      <w:r w:rsidRPr="00725EA2">
        <w:rPr>
          <w:szCs w:val="24"/>
        </w:rPr>
        <w:t xml:space="preserve"> Korespondenční tabulka je k dispozici pro 4</w:t>
      </w:r>
      <w:r w:rsidR="00725EA2" w:rsidRPr="00725EA2">
        <w:rPr>
          <w:szCs w:val="24"/>
        </w:rPr>
        <w:t>-</w:t>
      </w:r>
      <w:r w:rsidRPr="00725EA2">
        <w:rPr>
          <w:szCs w:val="24"/>
        </w:rPr>
        <w:t>místné CZ-ISCO kódy, používáme tedy tuto úroveň namísto detailnější 5</w:t>
      </w:r>
      <w:r w:rsidR="00725EA2" w:rsidRPr="00725EA2">
        <w:rPr>
          <w:szCs w:val="24"/>
        </w:rPr>
        <w:t>-</w:t>
      </w:r>
      <w:r w:rsidRPr="00725EA2">
        <w:rPr>
          <w:szCs w:val="24"/>
        </w:rPr>
        <w:t>místné klasifikace, která je k dispozici v datech VŠPS. V případě, že příslušný CZ-ISCO kód není k dispozici v korespondenci O*NET-SOC, přecházíme na méně detailní úrovně klasifikace, dokud není možné kód propojit. V druhém kroku pro přechod ze SOC kódů na O*NET-SOC kódy využíváme veřejně dostupnou korespondenci mezi těmito kódy.</w:t>
      </w:r>
      <w:r w:rsidRPr="00725EA2">
        <w:rPr>
          <w:rStyle w:val="FootnoteReference"/>
          <w:szCs w:val="24"/>
        </w:rPr>
        <w:footnoteReference w:id="14"/>
      </w:r>
      <w:r w:rsidRPr="00725EA2">
        <w:rPr>
          <w:szCs w:val="24"/>
        </w:rPr>
        <w:t xml:space="preserve"> V případě kódů, které na detailnější úrovni nemají spárování, postupujeme obdobně jako při přechodu z CZ-ISCO na SOC. V případě nejednoznačné korespondence mezi kódy vypočítáme vykonavatelnost z domova pro daný ISCO kód jako vážený průměr vykonavatelnosti z domova všech korespondujících O*NET-SOC kódů.</w:t>
      </w:r>
      <w:r w:rsidRPr="00725EA2">
        <w:rPr>
          <w:rStyle w:val="FootnoteReference"/>
          <w:szCs w:val="24"/>
        </w:rPr>
        <w:footnoteReference w:id="15"/>
      </w:r>
    </w:p>
    <w:p w14:paraId="50AD2841" w14:textId="71C0AB22" w:rsidR="001B71FB" w:rsidRDefault="001B71FB" w:rsidP="009E3A6B">
      <w:pPr>
        <w:pStyle w:val="BodyText"/>
        <w:rPr>
          <w:lang w:eastAsia="en-US" w:bidi="ar-SA"/>
        </w:rPr>
      </w:pPr>
    </w:p>
    <w:p w14:paraId="07721F48" w14:textId="5749D52F" w:rsidR="00EF3AB0" w:rsidRDefault="00843B35" w:rsidP="00F97A38">
      <w:pPr>
        <w:pStyle w:val="Heading1"/>
      </w:pPr>
      <w:r>
        <w:t>Zjištění</w:t>
      </w:r>
    </w:p>
    <w:p w14:paraId="7CD4425C" w14:textId="39C7D450" w:rsidR="00843B35" w:rsidRPr="00A36CC8" w:rsidRDefault="00843B35" w:rsidP="005A4A4A">
      <w:pPr>
        <w:jc w:val="both"/>
      </w:pPr>
      <w:r>
        <w:t xml:space="preserve">Dle </w:t>
      </w:r>
      <w:r w:rsidRPr="00A36CC8">
        <w:t>našich zjištění je 34</w:t>
      </w:r>
      <w:r w:rsidR="005A4A4A" w:rsidRPr="00A36CC8">
        <w:t> </w:t>
      </w:r>
      <w:r w:rsidRPr="00A36CC8">
        <w:t>% pracujících v Č</w:t>
      </w:r>
      <w:r w:rsidR="00EE5509" w:rsidRPr="00A36CC8">
        <w:t>esku</w:t>
      </w:r>
      <w:r w:rsidRPr="00A36CC8">
        <w:t xml:space="preserve"> schopno vykonávat svou práci z domova. Tento podíl je velmi podobný odhadu pro Č</w:t>
      </w:r>
      <w:r w:rsidR="00EE5509" w:rsidRPr="00A36CC8">
        <w:t>esko</w:t>
      </w:r>
      <w:r w:rsidRPr="00A36CC8">
        <w:t xml:space="preserve"> z původní studie </w:t>
      </w:r>
      <w:proofErr w:type="spellStart"/>
      <w:r w:rsidRPr="00A36CC8">
        <w:t>Dingela</w:t>
      </w:r>
      <w:proofErr w:type="spellEnd"/>
      <w:r w:rsidRPr="00A36CC8">
        <w:t xml:space="preserve"> a </w:t>
      </w:r>
      <w:proofErr w:type="spellStart"/>
      <w:r w:rsidRPr="00A36CC8">
        <w:t>Neimana</w:t>
      </w:r>
      <w:proofErr w:type="spellEnd"/>
      <w:r w:rsidRPr="00A36CC8">
        <w:t xml:space="preserve"> (2020) a dle výsledků jejich studie je tento podíl srovnatelný s ekonomicky podobně rozvinutými zeměmi (například Polskem nebo Portugalskem).</w:t>
      </w:r>
    </w:p>
    <w:p w14:paraId="7602B2C3" w14:textId="3E4A2CB1" w:rsidR="00843B35" w:rsidRDefault="00843B35" w:rsidP="005A4A4A">
      <w:pPr>
        <w:jc w:val="both"/>
      </w:pPr>
      <w:r w:rsidRPr="00A36CC8">
        <w:t>Zmíněných 3</w:t>
      </w:r>
      <w:r w:rsidR="00A36CC8" w:rsidRPr="00A36CC8">
        <w:t>4</w:t>
      </w:r>
      <w:r w:rsidR="005A4A4A" w:rsidRPr="00A36CC8">
        <w:t> </w:t>
      </w:r>
      <w:r w:rsidRPr="00A36CC8">
        <w:t xml:space="preserve">% přitom je dobré interpretovat jako podíl pracovníků, jejichž povolání lze </w:t>
      </w:r>
      <w:r w:rsidRPr="00A36CC8">
        <w:rPr>
          <w:i/>
        </w:rPr>
        <w:t>plně</w:t>
      </w:r>
      <w:r w:rsidRPr="00A36CC8">
        <w:t xml:space="preserve"> vykonávat</w:t>
      </w:r>
      <w:r>
        <w:t xml:space="preserve"> z domova. U řady dalších povolání lze z domova vykonávat přinejmenším </w:t>
      </w:r>
      <w:r w:rsidRPr="00F04B5D">
        <w:rPr>
          <w:i/>
        </w:rPr>
        <w:t>část</w:t>
      </w:r>
      <w:r>
        <w:t xml:space="preserve"> činností, které povolání obnáší. Například průzkum společnosti Gallup provedený v březnu 2020 v USA ukázal, že zhruba polovina pracovníků pracovala z domova (</w:t>
      </w:r>
      <w:proofErr w:type="spellStart"/>
      <w:r>
        <w:t>Reeves</w:t>
      </w:r>
      <w:proofErr w:type="spellEnd"/>
      <w:r>
        <w:t xml:space="preserve"> </w:t>
      </w:r>
      <w:r>
        <w:lastRenderedPageBreak/>
        <w:t xml:space="preserve">a </w:t>
      </w:r>
      <w:proofErr w:type="spellStart"/>
      <w:r>
        <w:t>Rothwell</w:t>
      </w:r>
      <w:proofErr w:type="spellEnd"/>
      <w:r>
        <w:t xml:space="preserve">, 2020), </w:t>
      </w:r>
      <w:proofErr w:type="spellStart"/>
      <w:r>
        <w:t>Dingel</w:t>
      </w:r>
      <w:proofErr w:type="spellEnd"/>
      <w:r>
        <w:t xml:space="preserve"> a </w:t>
      </w:r>
      <w:proofErr w:type="spellStart"/>
      <w:r>
        <w:t>Neiman</w:t>
      </w:r>
      <w:proofErr w:type="spellEnd"/>
      <w:r>
        <w:t xml:space="preserve"> (2020) přitom odhadli, že pouze 37</w:t>
      </w:r>
      <w:r w:rsidR="005A4A4A">
        <w:t> </w:t>
      </w:r>
      <w:r>
        <w:t>% amerických pracovníků měla povolání, které lze plně vykonávat z domova. Epidemie covid-19 pravděpodobně přinutila pracovat z domova i lidi, kteří tak své povolání nemohou vykonávat naplno.</w:t>
      </w:r>
    </w:p>
    <w:p w14:paraId="6090E00B" w14:textId="77777777" w:rsidR="00843B35" w:rsidRDefault="00843B35" w:rsidP="00884710">
      <w:pPr>
        <w:jc w:val="both"/>
      </w:pPr>
      <w:r>
        <w:t xml:space="preserve">Využití českých dat nám umožňuje nezůstat u agregátního odhadu a prozkoumat, jak se možnost pracovat z domova liší napříč různými skupinami pracujících. Výsledky ukazují, že možnost vykonávat práci z domova výrazně závisí na charakteristikách jednotlivých pracovních pozic i pracujících. </w:t>
      </w:r>
    </w:p>
    <w:p w14:paraId="30EFF3EB" w14:textId="01BA29E2" w:rsidR="00843B35" w:rsidRDefault="00843B35" w:rsidP="00884710">
      <w:pPr>
        <w:jc w:val="both"/>
      </w:pPr>
      <w:r>
        <w:t>Nejvyšší podíl pracovníků s možností plně pracovat z domova (přes 70</w:t>
      </w:r>
      <w:r w:rsidR="00884710">
        <w:t> </w:t>
      </w:r>
      <w:r>
        <w:t xml:space="preserve">%) je mezi „specialisty“ v oborech jako věda či informační technologie a také „svobodná povolání“, jako jsou právníci, lékaři a učitelé (viz </w:t>
      </w:r>
      <w:r w:rsidRPr="00884710">
        <w:rPr>
          <w:b/>
          <w:bCs/>
        </w:rPr>
        <w:fldChar w:fldCharType="begin"/>
      </w:r>
      <w:r w:rsidRPr="00884710">
        <w:rPr>
          <w:b/>
          <w:bCs/>
        </w:rPr>
        <w:instrText xml:space="preserve"> REF _Ref46938998 \h </w:instrText>
      </w:r>
      <w:r w:rsidR="00884710">
        <w:rPr>
          <w:b/>
          <w:bCs/>
        </w:rPr>
        <w:instrText xml:space="preserve"> \* MERGEFORMAT </w:instrText>
      </w:r>
      <w:r w:rsidRPr="00884710">
        <w:rPr>
          <w:b/>
          <w:bCs/>
        </w:rPr>
      </w:r>
      <w:r w:rsidRPr="00884710">
        <w:rPr>
          <w:b/>
          <w:bCs/>
        </w:rPr>
        <w:fldChar w:fldCharType="separate"/>
      </w:r>
      <w:r w:rsidRPr="00884710">
        <w:rPr>
          <w:b/>
          <w:bCs/>
        </w:rPr>
        <w:t xml:space="preserve">Obrázek </w:t>
      </w:r>
      <w:r w:rsidRPr="00884710">
        <w:rPr>
          <w:b/>
          <w:bCs/>
          <w:noProof/>
        </w:rPr>
        <w:t>2</w:t>
      </w:r>
      <w:r w:rsidRPr="00884710">
        <w:rPr>
          <w:b/>
          <w:bCs/>
        </w:rPr>
        <w:fldChar w:fldCharType="end"/>
      </w:r>
      <w:r>
        <w:t>). Dvě posledně jmenované profese práci z domova umožňují méně, o to větší je však podíl povolání provozovatelných z domova mezi jinými „specialisty“. Práce z domova je možná také u zhruba dvou třetin řídících pracovníků a lidí v administrativních rolích. Necelou polovinu představují u</w:t>
      </w:r>
      <w:r w:rsidR="00884710">
        <w:t> </w:t>
      </w:r>
      <w:r>
        <w:t>technických a odborných pracovníků (kteří působí v podobných oborech jako „specialisté“, ale mají obecně nižší úroveň odbornosti).</w:t>
      </w:r>
    </w:p>
    <w:p w14:paraId="006D43C2" w14:textId="49364417" w:rsidR="00843B35" w:rsidRDefault="00843B35" w:rsidP="00884710">
      <w:pPr>
        <w:jc w:val="both"/>
      </w:pPr>
      <w:r>
        <w:t>U ostatních širokých kategorií může proti tomu pracovat z domova jen malý podíl pracovníků – méně než 20</w:t>
      </w:r>
      <w:r w:rsidR="00884710">
        <w:t> </w:t>
      </w:r>
      <w:r>
        <w:t>%. Tyto kategorie zahrnují například obsluhu strojů, zemědělce, pracovníky ve službách, řemeslníky a různé nekvalifikované profese.</w:t>
      </w:r>
    </w:p>
    <w:p w14:paraId="496A38FE" w14:textId="41DF14A6" w:rsidR="00884710" w:rsidRDefault="00884710">
      <w:pPr>
        <w:spacing w:after="160" w:line="259" w:lineRule="auto"/>
        <w:rPr>
          <w:rFonts w:eastAsia="SimSun" w:cs="Times New Roman"/>
          <w:szCs w:val="24"/>
        </w:rPr>
      </w:pPr>
      <w:r>
        <w:br w:type="page"/>
      </w:r>
    </w:p>
    <w:p w14:paraId="21A47E1E" w14:textId="44980F52" w:rsidR="00843B35" w:rsidRPr="00843B35" w:rsidRDefault="00843B35" w:rsidP="008223EA">
      <w:pPr>
        <w:pStyle w:val="Heading2"/>
        <w:spacing w:after="240" w:line="276" w:lineRule="auto"/>
      </w:pPr>
      <w:bookmarkStart w:id="3" w:name="_Ref46938998"/>
      <w:r w:rsidRPr="00843B35">
        <w:lastRenderedPageBreak/>
        <w:t xml:space="preserve">Obrázek </w:t>
      </w:r>
      <w:r w:rsidRPr="00843B35">
        <w:fldChar w:fldCharType="begin"/>
      </w:r>
      <w:r w:rsidRPr="00843B35">
        <w:instrText xml:space="preserve"> SEQ Obrázek \* ARABIC </w:instrText>
      </w:r>
      <w:r w:rsidRPr="00843B35">
        <w:fldChar w:fldCharType="separate"/>
      </w:r>
      <w:r w:rsidRPr="00843B35">
        <w:rPr>
          <w:noProof/>
        </w:rPr>
        <w:t>2</w:t>
      </w:r>
      <w:r w:rsidRPr="00843B35">
        <w:rPr>
          <w:noProof/>
        </w:rPr>
        <w:fldChar w:fldCharType="end"/>
      </w:r>
      <w:bookmarkEnd w:id="3"/>
      <w:r w:rsidRPr="00843B35">
        <w:t>. Podíl pracovníků schopných pracovat z</w:t>
      </w:r>
      <w:r w:rsidR="008223EA">
        <w:t> </w:t>
      </w:r>
      <w:r w:rsidRPr="00843B35">
        <w:t>domova</w:t>
      </w:r>
      <w:r w:rsidR="008223EA">
        <w:t>,</w:t>
      </w:r>
      <w:r w:rsidR="008223EA">
        <w:br/>
      </w:r>
      <w:r w:rsidRPr="00843B35">
        <w:t xml:space="preserve"> podle profese</w:t>
      </w:r>
    </w:p>
    <w:p w14:paraId="056F2EC4" w14:textId="768717CA" w:rsidR="00843B35" w:rsidRDefault="00843B35" w:rsidP="00843B35">
      <w:pPr>
        <w:pStyle w:val="BodyText"/>
        <w:jc w:val="left"/>
        <w:rPr>
          <w:lang w:eastAsia="en-US" w:bidi="ar-SA"/>
        </w:rPr>
      </w:pPr>
      <w:r>
        <w:rPr>
          <w:noProof/>
          <w:lang w:eastAsia="cs-CZ"/>
        </w:rPr>
        <w:drawing>
          <wp:inline distT="0" distB="0" distL="0" distR="0" wp14:anchorId="7E8C1A4F" wp14:editId="5FDA57BC">
            <wp:extent cx="3507439" cy="305808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cs-CZ"/>
        </w:rPr>
        <w:drawing>
          <wp:inline distT="0" distB="0" distL="0" distR="0" wp14:anchorId="154CC7FE" wp14:editId="3DA12454">
            <wp:extent cx="2196351" cy="3059205"/>
            <wp:effectExtent l="0" t="0" r="0" b="8255"/>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2C3FA5" w14:textId="77777777" w:rsidR="00843B35" w:rsidRPr="00884710" w:rsidRDefault="00843B35" w:rsidP="00843B35">
      <w:pPr>
        <w:pStyle w:val="FootnoteText"/>
        <w:ind w:left="227"/>
        <w:rPr>
          <w:rStyle w:val="Hyperlink"/>
          <w:i/>
          <w:iCs/>
          <w:color w:val="auto"/>
          <w:sz w:val="20"/>
          <w:u w:val="none"/>
        </w:rPr>
      </w:pPr>
      <w:r w:rsidRPr="00884710">
        <w:rPr>
          <w:rStyle w:val="Hyperlink"/>
          <w:i/>
          <w:iCs/>
          <w:color w:val="auto"/>
          <w:sz w:val="20"/>
          <w:u w:val="none"/>
        </w:rPr>
        <w:t xml:space="preserve">Zdroj: Vlastní výpočty na základě </w:t>
      </w:r>
      <w:proofErr w:type="spellStart"/>
      <w:r w:rsidRPr="00884710">
        <w:rPr>
          <w:rStyle w:val="Hyperlink"/>
          <w:i/>
          <w:iCs/>
          <w:color w:val="auto"/>
          <w:sz w:val="20"/>
          <w:u w:val="none"/>
        </w:rPr>
        <w:t>Dingla</w:t>
      </w:r>
      <w:proofErr w:type="spellEnd"/>
      <w:r w:rsidRPr="00884710">
        <w:rPr>
          <w:rStyle w:val="Hyperlink"/>
          <w:i/>
          <w:iCs/>
          <w:color w:val="auto"/>
          <w:sz w:val="20"/>
          <w:u w:val="none"/>
        </w:rPr>
        <w:t xml:space="preserve"> a </w:t>
      </w:r>
      <w:proofErr w:type="spellStart"/>
      <w:r w:rsidRPr="00884710">
        <w:rPr>
          <w:rStyle w:val="Hyperlink"/>
          <w:i/>
          <w:iCs/>
          <w:color w:val="auto"/>
          <w:sz w:val="20"/>
          <w:u w:val="none"/>
        </w:rPr>
        <w:t>Neimana</w:t>
      </w:r>
      <w:proofErr w:type="spellEnd"/>
      <w:r w:rsidRPr="00884710">
        <w:rPr>
          <w:rStyle w:val="Hyperlink"/>
          <w:i/>
          <w:iCs/>
          <w:color w:val="auto"/>
          <w:sz w:val="20"/>
          <w:u w:val="none"/>
        </w:rPr>
        <w:t xml:space="preserve"> (2020) a dat z VŠPS 2015. </w:t>
      </w:r>
    </w:p>
    <w:p w14:paraId="37A88CA8" w14:textId="5080C84E" w:rsidR="00843B35" w:rsidRDefault="00843B35" w:rsidP="00884710">
      <w:pPr>
        <w:pStyle w:val="BodyText"/>
        <w:rPr>
          <w:lang w:eastAsia="en-US" w:bidi="ar-SA"/>
        </w:rPr>
      </w:pPr>
    </w:p>
    <w:p w14:paraId="583A9E48" w14:textId="77777777" w:rsidR="00CF0920" w:rsidRDefault="00CF0920" w:rsidP="00884710">
      <w:pPr>
        <w:jc w:val="both"/>
      </w:pPr>
    </w:p>
    <w:p w14:paraId="7B9274F9" w14:textId="44750481" w:rsidR="00843B35" w:rsidRDefault="00843B35" w:rsidP="00884710">
      <w:pPr>
        <w:jc w:val="both"/>
      </w:pPr>
      <w:r>
        <w:t xml:space="preserve">Možnost pracovat z domova se výrazně liší také napříč různými odvětvími hospodářství (viz </w:t>
      </w:r>
      <w:r w:rsidRPr="00884710">
        <w:rPr>
          <w:b/>
          <w:bCs/>
        </w:rPr>
        <w:fldChar w:fldCharType="begin"/>
      </w:r>
      <w:r w:rsidRPr="00884710">
        <w:rPr>
          <w:b/>
          <w:bCs/>
        </w:rPr>
        <w:instrText xml:space="preserve"> REF _Ref46938998 \h </w:instrText>
      </w:r>
      <w:r w:rsidR="00884710">
        <w:rPr>
          <w:b/>
          <w:bCs/>
        </w:rPr>
        <w:instrText xml:space="preserve"> \* MERGEFORMAT </w:instrText>
      </w:r>
      <w:r w:rsidRPr="00884710">
        <w:rPr>
          <w:b/>
          <w:bCs/>
        </w:rPr>
      </w:r>
      <w:r w:rsidRPr="00884710">
        <w:rPr>
          <w:b/>
          <w:bCs/>
        </w:rPr>
        <w:fldChar w:fldCharType="separate"/>
      </w:r>
      <w:r w:rsidRPr="00884710">
        <w:rPr>
          <w:b/>
          <w:bCs/>
        </w:rPr>
        <w:t xml:space="preserve">Obrázek </w:t>
      </w:r>
      <w:r w:rsidRPr="00884710">
        <w:rPr>
          <w:b/>
          <w:bCs/>
          <w:noProof/>
        </w:rPr>
        <w:t>2</w:t>
      </w:r>
      <w:r w:rsidRPr="00884710">
        <w:rPr>
          <w:b/>
          <w:bCs/>
        </w:rPr>
        <w:fldChar w:fldCharType="end"/>
      </w:r>
      <w:r>
        <w:t>, pravý panel). Velká většina pracovníků v sektorech financí, informačních technologiích, ve vědě a překvapivě také ve vzdělávání může podle našich odhadů pracovat z domova. Zatímco ve finančním sektoru a v sektoru informačních a</w:t>
      </w:r>
      <w:r w:rsidR="00884710">
        <w:t> </w:t>
      </w:r>
      <w:r>
        <w:t>komunikačních činností může z domova pracovat přes 80</w:t>
      </w:r>
      <w:r w:rsidR="00884710">
        <w:t> </w:t>
      </w:r>
      <w:r>
        <w:t>% zaměstnanců (a ve vědě a</w:t>
      </w:r>
      <w:r w:rsidR="00884710">
        <w:t> </w:t>
      </w:r>
      <w:r>
        <w:t>překvapivě také ve vzdělávání přes 70</w:t>
      </w:r>
      <w:r w:rsidR="00884710">
        <w:t> </w:t>
      </w:r>
      <w:r>
        <w:t>%), v zemědělství a oblasti kultury a volného času je to výrazně méně než 20</w:t>
      </w:r>
      <w:r w:rsidR="00884710">
        <w:t> </w:t>
      </w:r>
      <w:r>
        <w:t>%.</w:t>
      </w:r>
    </w:p>
    <w:p w14:paraId="3C9E7A48" w14:textId="351B04FF" w:rsidR="00884710" w:rsidRDefault="00843B35" w:rsidP="00884710">
      <w:pPr>
        <w:jc w:val="both"/>
      </w:pPr>
      <w:r>
        <w:t>Důležitým zjištěním je, že ve zpracovatelském průmyslu může pracovat z domova méně než 20</w:t>
      </w:r>
      <w:r w:rsidR="00884710">
        <w:t> </w:t>
      </w:r>
      <w:r>
        <w:t>% zaměstnanců. Toto odvětví přitom v Č</w:t>
      </w:r>
      <w:r w:rsidR="00EE5509">
        <w:t>esku</w:t>
      </w:r>
      <w:r>
        <w:t xml:space="preserve"> zaměstnává téměř 30</w:t>
      </w:r>
      <w:r w:rsidR="00884710">
        <w:t> </w:t>
      </w:r>
      <w:r>
        <w:t>% všech pracovníků. Velký podíl zpracovatelského průmyslu v českém hospodářství je hlavní</w:t>
      </w:r>
      <w:r w:rsidR="00884710">
        <w:t>m</w:t>
      </w:r>
      <w:r>
        <w:t xml:space="preserve"> důvod</w:t>
      </w:r>
      <w:r w:rsidR="00884710">
        <w:t>em</w:t>
      </w:r>
      <w:r>
        <w:t>, proč pro Č</w:t>
      </w:r>
      <w:r w:rsidR="00EE5509">
        <w:t>esko</w:t>
      </w:r>
      <w:r>
        <w:t xml:space="preserve"> vychází potenciál práce z domova nižší než ve většině západoevropských zemí.</w:t>
      </w:r>
    </w:p>
    <w:p w14:paraId="0EB38A85" w14:textId="77777777" w:rsidR="00884710" w:rsidRDefault="00884710">
      <w:pPr>
        <w:spacing w:after="160" w:line="259" w:lineRule="auto"/>
      </w:pPr>
      <w:r>
        <w:br w:type="page"/>
      </w:r>
    </w:p>
    <w:p w14:paraId="2DB89303" w14:textId="4B095951" w:rsidR="00843B35" w:rsidRPr="00843B35" w:rsidRDefault="00843B35" w:rsidP="008223EA">
      <w:pPr>
        <w:pStyle w:val="Heading2"/>
        <w:spacing w:after="240" w:line="276" w:lineRule="auto"/>
      </w:pPr>
      <w:r w:rsidRPr="00843B35">
        <w:lastRenderedPageBreak/>
        <w:t xml:space="preserve">Obrázek </w:t>
      </w:r>
      <w:r w:rsidRPr="00843B35">
        <w:fldChar w:fldCharType="begin"/>
      </w:r>
      <w:r w:rsidRPr="00843B35">
        <w:instrText xml:space="preserve"> SEQ Obrázek \* ARABIC </w:instrText>
      </w:r>
      <w:r w:rsidRPr="00843B35">
        <w:fldChar w:fldCharType="separate"/>
      </w:r>
      <w:r w:rsidRPr="00843B35">
        <w:rPr>
          <w:noProof/>
        </w:rPr>
        <w:t>3</w:t>
      </w:r>
      <w:r w:rsidRPr="00843B35">
        <w:rPr>
          <w:noProof/>
        </w:rPr>
        <w:fldChar w:fldCharType="end"/>
      </w:r>
      <w:r w:rsidRPr="00843B35">
        <w:t>. Podíl pracovníků schopných pracovat z</w:t>
      </w:r>
      <w:r w:rsidR="008223EA">
        <w:t> </w:t>
      </w:r>
      <w:r w:rsidRPr="00843B35">
        <w:t>domova</w:t>
      </w:r>
      <w:r w:rsidR="008223EA">
        <w:t>,</w:t>
      </w:r>
      <w:r w:rsidR="008223EA">
        <w:br/>
      </w:r>
      <w:r w:rsidRPr="00843B35">
        <w:t xml:space="preserve"> podle odvětví</w:t>
      </w:r>
    </w:p>
    <w:p w14:paraId="65A46F07" w14:textId="759B72E5" w:rsidR="00843B35" w:rsidRDefault="00905ABA" w:rsidP="00843B35">
      <w:pPr>
        <w:pStyle w:val="BodyText"/>
        <w:jc w:val="left"/>
        <w:rPr>
          <w:lang w:eastAsia="en-US" w:bidi="ar-SA"/>
        </w:rPr>
      </w:pPr>
      <w:r>
        <w:rPr>
          <w:noProof/>
          <w:lang w:eastAsia="cs-CZ"/>
        </w:rPr>
        <w:drawing>
          <wp:inline distT="0" distB="0" distL="0" distR="0" wp14:anchorId="7B8BE785" wp14:editId="413DC4D7">
            <wp:extent cx="3611375" cy="4783792"/>
            <wp:effectExtent l="0" t="0" r="825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cs-CZ"/>
        </w:rPr>
        <w:drawing>
          <wp:inline distT="0" distB="0" distL="0" distR="0" wp14:anchorId="6793A570" wp14:editId="263EA968">
            <wp:extent cx="1838325" cy="4773706"/>
            <wp:effectExtent l="0" t="0" r="0" b="825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1B4E37" w14:textId="77777777" w:rsidR="00905ABA" w:rsidRPr="00587391" w:rsidRDefault="00905ABA" w:rsidP="00905ABA">
      <w:pPr>
        <w:pStyle w:val="FootnoteText"/>
        <w:ind w:left="227"/>
        <w:rPr>
          <w:rStyle w:val="Hyperlink"/>
          <w:i/>
          <w:iCs/>
          <w:color w:val="auto"/>
          <w:sz w:val="20"/>
          <w:u w:val="none"/>
        </w:rPr>
      </w:pPr>
      <w:r w:rsidRPr="00587391">
        <w:rPr>
          <w:rStyle w:val="Hyperlink"/>
          <w:i/>
          <w:iCs/>
          <w:color w:val="auto"/>
          <w:sz w:val="20"/>
          <w:u w:val="none"/>
        </w:rPr>
        <w:t xml:space="preserve">Zdroj: Vlastní výpočty na základě </w:t>
      </w:r>
      <w:proofErr w:type="spellStart"/>
      <w:r w:rsidRPr="00587391">
        <w:rPr>
          <w:rStyle w:val="Hyperlink"/>
          <w:i/>
          <w:iCs/>
          <w:color w:val="auto"/>
          <w:sz w:val="20"/>
          <w:u w:val="none"/>
        </w:rPr>
        <w:t>Dingla</w:t>
      </w:r>
      <w:proofErr w:type="spellEnd"/>
      <w:r w:rsidRPr="00587391">
        <w:rPr>
          <w:rStyle w:val="Hyperlink"/>
          <w:i/>
          <w:iCs/>
          <w:color w:val="auto"/>
          <w:sz w:val="20"/>
          <w:u w:val="none"/>
        </w:rPr>
        <w:t xml:space="preserve"> a </w:t>
      </w:r>
      <w:proofErr w:type="spellStart"/>
      <w:r w:rsidRPr="00587391">
        <w:rPr>
          <w:rStyle w:val="Hyperlink"/>
          <w:i/>
          <w:iCs/>
          <w:color w:val="auto"/>
          <w:sz w:val="20"/>
          <w:u w:val="none"/>
        </w:rPr>
        <w:t>Neimana</w:t>
      </w:r>
      <w:proofErr w:type="spellEnd"/>
      <w:r w:rsidRPr="00587391">
        <w:rPr>
          <w:rStyle w:val="Hyperlink"/>
          <w:i/>
          <w:iCs/>
          <w:color w:val="auto"/>
          <w:sz w:val="20"/>
          <w:u w:val="none"/>
        </w:rPr>
        <w:t xml:space="preserve"> (2020) a dat z VŠPS 2015. </w:t>
      </w:r>
    </w:p>
    <w:p w14:paraId="705F5B16" w14:textId="098B8ECE" w:rsidR="00EF3AB0" w:rsidRDefault="00EF3AB0" w:rsidP="009E3A6B">
      <w:pPr>
        <w:pStyle w:val="BodyText"/>
        <w:rPr>
          <w:lang w:eastAsia="en-US" w:bidi="ar-SA"/>
        </w:rPr>
      </w:pPr>
    </w:p>
    <w:p w14:paraId="640EC8A7" w14:textId="77777777" w:rsidR="00CF0920" w:rsidRDefault="00CF0920" w:rsidP="00587391">
      <w:pPr>
        <w:jc w:val="both"/>
      </w:pPr>
    </w:p>
    <w:p w14:paraId="06362455" w14:textId="4C92F085" w:rsidR="00905ABA" w:rsidRDefault="00905ABA" w:rsidP="00587391">
      <w:pPr>
        <w:jc w:val="both"/>
      </w:pPr>
      <w:r>
        <w:t>Struktura hospodářství se v Č</w:t>
      </w:r>
      <w:r w:rsidR="00EE5509">
        <w:t>esku</w:t>
      </w:r>
      <w:r>
        <w:t xml:space="preserve"> regionálně liší, zvláště mezi Prahou a zbytkem republiky. Tyto rozdíly se projevují i v podílu pracovníků v různých krajích, kteří mohou pracovat z domova</w:t>
      </w:r>
      <w:r w:rsidRPr="001B70EE">
        <w:t xml:space="preserve"> </w:t>
      </w:r>
      <w:r>
        <w:t xml:space="preserve">(viz </w:t>
      </w:r>
      <w:r w:rsidRPr="00587391">
        <w:rPr>
          <w:b/>
          <w:bCs/>
        </w:rPr>
        <w:fldChar w:fldCharType="begin"/>
      </w:r>
      <w:r w:rsidRPr="00587391">
        <w:rPr>
          <w:b/>
          <w:bCs/>
        </w:rPr>
        <w:instrText xml:space="preserve"> REF _Ref46942072 \h </w:instrText>
      </w:r>
      <w:r w:rsidR="00587391">
        <w:rPr>
          <w:b/>
          <w:bCs/>
        </w:rPr>
        <w:instrText xml:space="preserve"> \* MERGEFORMAT </w:instrText>
      </w:r>
      <w:r w:rsidRPr="00587391">
        <w:rPr>
          <w:b/>
          <w:bCs/>
        </w:rPr>
      </w:r>
      <w:r w:rsidRPr="00587391">
        <w:rPr>
          <w:b/>
          <w:bCs/>
        </w:rPr>
        <w:fldChar w:fldCharType="separate"/>
      </w:r>
      <w:r w:rsidRPr="00587391">
        <w:rPr>
          <w:b/>
          <w:bCs/>
        </w:rPr>
        <w:t xml:space="preserve">Obrázek </w:t>
      </w:r>
      <w:r w:rsidRPr="00587391">
        <w:rPr>
          <w:b/>
          <w:bCs/>
          <w:noProof/>
        </w:rPr>
        <w:t>4</w:t>
      </w:r>
      <w:r w:rsidRPr="00587391">
        <w:rPr>
          <w:b/>
          <w:bCs/>
        </w:rPr>
        <w:fldChar w:fldCharType="end"/>
      </w:r>
      <w:r>
        <w:t>, levý panel). V Praze je to více než polovina, ve Středočeském a Jihomoravském kraji lehce přes třetinu, zatímco v ostatních krajích jen 30</w:t>
      </w:r>
      <w:r w:rsidR="00587391">
        <w:t> </w:t>
      </w:r>
      <w:r>
        <w:t>% a méně. Poslední skupina krajů je přitom největší co do celkového počtu pracovníků a táhnou proto nahoru celostátní podíl pracovníků, kteří mohou pracovat z domova.</w:t>
      </w:r>
    </w:p>
    <w:p w14:paraId="6E0DC699" w14:textId="634ABE05" w:rsidR="00587391" w:rsidRDefault="00587391">
      <w:pPr>
        <w:spacing w:after="160" w:line="259" w:lineRule="auto"/>
      </w:pPr>
      <w:r>
        <w:br w:type="page"/>
      </w:r>
    </w:p>
    <w:p w14:paraId="2995E4A4" w14:textId="3DCFE6AB" w:rsidR="00905ABA" w:rsidRPr="00905ABA" w:rsidRDefault="00905ABA" w:rsidP="00CF0920">
      <w:pPr>
        <w:pStyle w:val="Heading2"/>
        <w:spacing w:after="240" w:line="276" w:lineRule="auto"/>
      </w:pPr>
      <w:bookmarkStart w:id="4" w:name="_Ref46942072"/>
      <w:r w:rsidRPr="00905ABA">
        <w:lastRenderedPageBreak/>
        <w:t xml:space="preserve">Obrázek </w:t>
      </w:r>
      <w:r w:rsidRPr="00905ABA">
        <w:fldChar w:fldCharType="begin"/>
      </w:r>
      <w:r w:rsidRPr="00905ABA">
        <w:instrText xml:space="preserve"> SEQ Obrázek \* ARABIC </w:instrText>
      </w:r>
      <w:r w:rsidRPr="00905ABA">
        <w:fldChar w:fldCharType="separate"/>
      </w:r>
      <w:r w:rsidRPr="00905ABA">
        <w:rPr>
          <w:noProof/>
        </w:rPr>
        <w:t>4</w:t>
      </w:r>
      <w:r w:rsidRPr="00905ABA">
        <w:rPr>
          <w:noProof/>
        </w:rPr>
        <w:fldChar w:fldCharType="end"/>
      </w:r>
      <w:bookmarkEnd w:id="4"/>
      <w:r w:rsidRPr="00905ABA">
        <w:t>. Podíl pracovníků schopných pracovat z</w:t>
      </w:r>
      <w:r w:rsidR="00D65AA0">
        <w:t> </w:t>
      </w:r>
      <w:r w:rsidRPr="00905ABA">
        <w:t>domova</w:t>
      </w:r>
      <w:r w:rsidR="00D65AA0">
        <w:t>,</w:t>
      </w:r>
      <w:r w:rsidR="00D65AA0">
        <w:br/>
      </w:r>
      <w:r w:rsidRPr="00905ABA">
        <w:t>podle kraje</w:t>
      </w:r>
    </w:p>
    <w:p w14:paraId="672B8291" w14:textId="51AD87BE" w:rsidR="00905ABA" w:rsidRDefault="00905ABA" w:rsidP="009E3A6B">
      <w:pPr>
        <w:pStyle w:val="BodyText"/>
        <w:rPr>
          <w:lang w:eastAsia="en-US" w:bidi="ar-SA"/>
        </w:rPr>
      </w:pPr>
      <w:r>
        <w:rPr>
          <w:noProof/>
          <w:lang w:eastAsia="cs-CZ"/>
        </w:rPr>
        <w:drawing>
          <wp:inline distT="0" distB="0" distL="0" distR="0" wp14:anchorId="297B5563" wp14:editId="7B8785DC">
            <wp:extent cx="3507439" cy="305808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cs-CZ"/>
        </w:rPr>
        <w:drawing>
          <wp:inline distT="0" distB="0" distL="0" distR="0" wp14:anchorId="093D637D" wp14:editId="131E5ABA">
            <wp:extent cx="2196351" cy="3059205"/>
            <wp:effectExtent l="0" t="0" r="0" b="825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528FDC" w14:textId="77777777" w:rsidR="00905ABA" w:rsidRPr="00905ABA" w:rsidRDefault="00905ABA" w:rsidP="00905ABA">
      <w:pPr>
        <w:pStyle w:val="FootnoteText"/>
        <w:ind w:left="227"/>
        <w:rPr>
          <w:rStyle w:val="Hyperlink"/>
          <w:i/>
          <w:color w:val="auto"/>
          <w:sz w:val="20"/>
          <w:u w:val="none"/>
        </w:rPr>
      </w:pPr>
      <w:r w:rsidRPr="00905ABA">
        <w:rPr>
          <w:rStyle w:val="Hyperlink"/>
          <w:i/>
          <w:color w:val="auto"/>
          <w:sz w:val="20"/>
          <w:u w:val="none"/>
        </w:rPr>
        <w:t xml:space="preserve">Zdroj: Vlastní výpočty na základě </w:t>
      </w:r>
      <w:proofErr w:type="spellStart"/>
      <w:r w:rsidRPr="00905ABA">
        <w:rPr>
          <w:rStyle w:val="Hyperlink"/>
          <w:i/>
          <w:color w:val="auto"/>
          <w:sz w:val="20"/>
          <w:u w:val="none"/>
        </w:rPr>
        <w:t>Dingla</w:t>
      </w:r>
      <w:proofErr w:type="spellEnd"/>
      <w:r w:rsidRPr="00905ABA">
        <w:rPr>
          <w:rStyle w:val="Hyperlink"/>
          <w:i/>
          <w:color w:val="auto"/>
          <w:sz w:val="20"/>
          <w:u w:val="none"/>
        </w:rPr>
        <w:t xml:space="preserve"> a </w:t>
      </w:r>
      <w:proofErr w:type="spellStart"/>
      <w:r w:rsidRPr="00905ABA">
        <w:rPr>
          <w:rStyle w:val="Hyperlink"/>
          <w:i/>
          <w:color w:val="auto"/>
          <w:sz w:val="20"/>
          <w:u w:val="none"/>
        </w:rPr>
        <w:t>Neimana</w:t>
      </w:r>
      <w:proofErr w:type="spellEnd"/>
      <w:r w:rsidRPr="00905ABA">
        <w:rPr>
          <w:rStyle w:val="Hyperlink"/>
          <w:i/>
          <w:color w:val="auto"/>
          <w:sz w:val="20"/>
          <w:u w:val="none"/>
        </w:rPr>
        <w:t xml:space="preserve"> (2020) a dat z VŠPS 2015. </w:t>
      </w:r>
    </w:p>
    <w:p w14:paraId="57C0E717" w14:textId="1815D008" w:rsidR="00905ABA" w:rsidRDefault="00905ABA" w:rsidP="009E3A6B">
      <w:pPr>
        <w:pStyle w:val="BodyText"/>
        <w:rPr>
          <w:lang w:eastAsia="en-US" w:bidi="ar-SA"/>
        </w:rPr>
      </w:pPr>
    </w:p>
    <w:p w14:paraId="635B39B2" w14:textId="77777777" w:rsidR="00D65AA0" w:rsidRDefault="00D65AA0" w:rsidP="00905ABA"/>
    <w:p w14:paraId="5FF1D1D6" w14:textId="3C113323" w:rsidR="00905ABA" w:rsidRDefault="00905ABA" w:rsidP="00D65AA0">
      <w:pPr>
        <w:jc w:val="both"/>
      </w:pPr>
      <w:r>
        <w:t>Zvláště dramatické jsou rozdíly ve schopnosti pracovat z domova mezi lidmi s různou úrovní vzdělání. Z domova mohou pracovat zhruba dvě třetiny vysokoškolsky vzdělaných pracovníků. Tento podíl je vyšší u lidí s magisterským diplomem než u bakalářů a</w:t>
      </w:r>
      <w:r w:rsidR="00D65AA0">
        <w:t> </w:t>
      </w:r>
      <w:r>
        <w:t>nejvyšší u pracovníků s doktorátem. Zhruba dva z pěti pracovníků s maturitou nebo vyšším odborných vzděláním mohou pracovat z domova, ale pouze jeden z deseti pracovníků bez maturity.</w:t>
      </w:r>
      <w:r w:rsidDel="00E76B09">
        <w:t xml:space="preserve"> </w:t>
      </w:r>
    </w:p>
    <w:p w14:paraId="17DA8E83" w14:textId="7AE38912" w:rsidR="00D65AA0" w:rsidRDefault="00D65AA0">
      <w:pPr>
        <w:spacing w:after="160" w:line="259" w:lineRule="auto"/>
        <w:rPr>
          <w:rFonts w:eastAsia="SimSun" w:cs="Times New Roman"/>
          <w:szCs w:val="24"/>
        </w:rPr>
      </w:pPr>
      <w:r>
        <w:br w:type="page"/>
      </w:r>
    </w:p>
    <w:p w14:paraId="66A365B1" w14:textId="02CD0BDD" w:rsidR="00905ABA" w:rsidRDefault="00905ABA" w:rsidP="00D65AA0">
      <w:pPr>
        <w:pStyle w:val="Heading2"/>
        <w:spacing w:after="240" w:line="276" w:lineRule="auto"/>
        <w:rPr>
          <w:sz w:val="20"/>
          <w:szCs w:val="20"/>
        </w:rPr>
      </w:pPr>
      <w:r w:rsidRPr="00F04B5D">
        <w:lastRenderedPageBreak/>
        <w:t xml:space="preserve">Obrázek </w:t>
      </w:r>
      <w:r w:rsidRPr="00F04B5D">
        <w:fldChar w:fldCharType="begin"/>
      </w:r>
      <w:r w:rsidRPr="00F04B5D">
        <w:instrText xml:space="preserve"> SEQ Obrázek \* ARABIC </w:instrText>
      </w:r>
      <w:r w:rsidRPr="00F04B5D">
        <w:fldChar w:fldCharType="separate"/>
      </w:r>
      <w:r>
        <w:rPr>
          <w:noProof/>
        </w:rPr>
        <w:t>5</w:t>
      </w:r>
      <w:r w:rsidRPr="00F04B5D">
        <w:fldChar w:fldCharType="end"/>
      </w:r>
      <w:r w:rsidRPr="00F04B5D">
        <w:t xml:space="preserve">. </w:t>
      </w:r>
      <w:r w:rsidRPr="006B37EE">
        <w:t xml:space="preserve">Podíl pracovníků schopných pracovat z domova, </w:t>
      </w:r>
      <w:r w:rsidR="00D65AA0">
        <w:br/>
      </w:r>
      <w:r w:rsidRPr="006B37EE">
        <w:t>dle nejvyšší dosažené úrovně vzdělání</w:t>
      </w:r>
    </w:p>
    <w:p w14:paraId="462B19CA" w14:textId="3C5BA10F" w:rsidR="00905ABA" w:rsidRDefault="00905ABA" w:rsidP="009E3A6B">
      <w:pPr>
        <w:pStyle w:val="BodyText"/>
        <w:rPr>
          <w:lang w:eastAsia="en-US" w:bidi="ar-SA"/>
        </w:rPr>
      </w:pPr>
      <w:r>
        <w:rPr>
          <w:noProof/>
          <w:lang w:eastAsia="cs-CZ"/>
        </w:rPr>
        <w:drawing>
          <wp:inline distT="0" distB="0" distL="0" distR="0" wp14:anchorId="75F48023" wp14:editId="3FE4C164">
            <wp:extent cx="3507439" cy="3058085"/>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cs-CZ"/>
        </w:rPr>
        <w:drawing>
          <wp:inline distT="0" distB="0" distL="0" distR="0" wp14:anchorId="223E891A" wp14:editId="541E7D51">
            <wp:extent cx="2196351" cy="3059205"/>
            <wp:effectExtent l="0" t="0" r="0" b="825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51A1E0" w14:textId="664DA88D" w:rsidR="00905ABA" w:rsidRPr="00D65AA0" w:rsidRDefault="00C610B4" w:rsidP="00C610B4">
      <w:pPr>
        <w:pStyle w:val="BodyText"/>
        <w:ind w:left="227"/>
        <w:rPr>
          <w:i/>
          <w:iCs/>
          <w:sz w:val="20"/>
          <w:szCs w:val="20"/>
          <w:lang w:eastAsia="en-US" w:bidi="ar-SA"/>
        </w:rPr>
      </w:pPr>
      <w:r w:rsidRPr="00D65AA0">
        <w:rPr>
          <w:rStyle w:val="Hyperlink"/>
          <w:i/>
          <w:iCs/>
          <w:color w:val="auto"/>
          <w:sz w:val="20"/>
          <w:szCs w:val="20"/>
          <w:u w:val="none"/>
        </w:rPr>
        <w:t xml:space="preserve">Zdroj: Vlastní výpočty na základě </w:t>
      </w:r>
      <w:proofErr w:type="spellStart"/>
      <w:r w:rsidRPr="00D65AA0">
        <w:rPr>
          <w:rStyle w:val="Hyperlink"/>
          <w:i/>
          <w:iCs/>
          <w:color w:val="auto"/>
          <w:sz w:val="20"/>
          <w:szCs w:val="20"/>
          <w:u w:val="none"/>
        </w:rPr>
        <w:t>Dingla</w:t>
      </w:r>
      <w:proofErr w:type="spellEnd"/>
      <w:r w:rsidRPr="00D65AA0">
        <w:rPr>
          <w:rStyle w:val="Hyperlink"/>
          <w:i/>
          <w:iCs/>
          <w:color w:val="auto"/>
          <w:sz w:val="20"/>
          <w:szCs w:val="20"/>
          <w:u w:val="none"/>
        </w:rPr>
        <w:t xml:space="preserve"> a </w:t>
      </w:r>
      <w:proofErr w:type="spellStart"/>
      <w:r w:rsidRPr="00D65AA0">
        <w:rPr>
          <w:rStyle w:val="Hyperlink"/>
          <w:i/>
          <w:iCs/>
          <w:color w:val="auto"/>
          <w:sz w:val="20"/>
          <w:szCs w:val="20"/>
          <w:u w:val="none"/>
        </w:rPr>
        <w:t>Neimana</w:t>
      </w:r>
      <w:proofErr w:type="spellEnd"/>
      <w:r w:rsidRPr="00D65AA0">
        <w:rPr>
          <w:rStyle w:val="Hyperlink"/>
          <w:i/>
          <w:iCs/>
          <w:color w:val="auto"/>
          <w:sz w:val="20"/>
          <w:szCs w:val="20"/>
          <w:u w:val="none"/>
        </w:rPr>
        <w:t xml:space="preserve"> (2020) a dat z VŠPS 2015.</w:t>
      </w:r>
    </w:p>
    <w:p w14:paraId="40B08E2A" w14:textId="2CE13EE8" w:rsidR="00905ABA" w:rsidRDefault="00905ABA" w:rsidP="009E3A6B">
      <w:pPr>
        <w:pStyle w:val="BodyText"/>
        <w:rPr>
          <w:lang w:eastAsia="en-US" w:bidi="ar-SA"/>
        </w:rPr>
      </w:pPr>
    </w:p>
    <w:p w14:paraId="4D8DAE74" w14:textId="4CC6D458" w:rsidR="00C610B4" w:rsidRPr="00C610B4" w:rsidRDefault="00C610B4" w:rsidP="00D65AA0">
      <w:pPr>
        <w:pStyle w:val="Heading2"/>
        <w:spacing w:after="240" w:line="276" w:lineRule="auto"/>
      </w:pPr>
      <w:r w:rsidRPr="00C610B4">
        <w:t xml:space="preserve">Obrázek </w:t>
      </w:r>
      <w:r w:rsidRPr="00C610B4">
        <w:fldChar w:fldCharType="begin"/>
      </w:r>
      <w:r w:rsidRPr="00C610B4">
        <w:instrText xml:space="preserve"> SEQ Obrázek \* ARABIC </w:instrText>
      </w:r>
      <w:r w:rsidRPr="00C610B4">
        <w:fldChar w:fldCharType="separate"/>
      </w:r>
      <w:r w:rsidRPr="00C610B4">
        <w:rPr>
          <w:noProof/>
        </w:rPr>
        <w:t>6</w:t>
      </w:r>
      <w:r w:rsidRPr="00C610B4">
        <w:rPr>
          <w:noProof/>
        </w:rPr>
        <w:fldChar w:fldCharType="end"/>
      </w:r>
      <w:r w:rsidRPr="00C610B4">
        <w:t xml:space="preserve">. Podíl pracovníků schopných pracovat z domova, </w:t>
      </w:r>
      <w:r w:rsidR="00D65AA0">
        <w:br/>
      </w:r>
      <w:r w:rsidRPr="00C610B4">
        <w:t>zaměstnanci vs. podnikatelé</w:t>
      </w:r>
    </w:p>
    <w:p w14:paraId="239BB26E" w14:textId="2B724740" w:rsidR="00C610B4" w:rsidRDefault="00C610B4" w:rsidP="009E3A6B">
      <w:pPr>
        <w:pStyle w:val="BodyText"/>
        <w:rPr>
          <w:lang w:eastAsia="en-US" w:bidi="ar-SA"/>
        </w:rPr>
      </w:pPr>
      <w:r>
        <w:rPr>
          <w:noProof/>
          <w:lang w:eastAsia="cs-CZ"/>
        </w:rPr>
        <w:drawing>
          <wp:inline distT="0" distB="0" distL="0" distR="0" wp14:anchorId="4899E19A" wp14:editId="5270ABFB">
            <wp:extent cx="3507439" cy="1489261"/>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lang w:eastAsia="cs-CZ"/>
        </w:rPr>
        <w:drawing>
          <wp:inline distT="0" distB="0" distL="0" distR="0" wp14:anchorId="5A243319" wp14:editId="39C91F8C">
            <wp:extent cx="2196351" cy="1479176"/>
            <wp:effectExtent l="0" t="0" r="0" b="698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AA930B7" w14:textId="77777777" w:rsidR="00C610B4" w:rsidRPr="00C610B4" w:rsidRDefault="00C610B4" w:rsidP="00C610B4">
      <w:pPr>
        <w:pStyle w:val="FootnoteText"/>
        <w:ind w:left="227"/>
        <w:rPr>
          <w:rStyle w:val="Hyperlink"/>
          <w:i/>
          <w:color w:val="auto"/>
          <w:sz w:val="20"/>
          <w:u w:val="none"/>
        </w:rPr>
      </w:pPr>
      <w:r w:rsidRPr="00C610B4">
        <w:rPr>
          <w:rStyle w:val="Hyperlink"/>
          <w:i/>
          <w:color w:val="auto"/>
          <w:sz w:val="20"/>
          <w:u w:val="none"/>
        </w:rPr>
        <w:t xml:space="preserve">Zdroj: Vlastní výpočty na základě </w:t>
      </w:r>
      <w:proofErr w:type="spellStart"/>
      <w:r w:rsidRPr="00C610B4">
        <w:rPr>
          <w:rStyle w:val="Hyperlink"/>
          <w:i/>
          <w:color w:val="auto"/>
          <w:sz w:val="20"/>
          <w:u w:val="none"/>
        </w:rPr>
        <w:t>Dingla</w:t>
      </w:r>
      <w:proofErr w:type="spellEnd"/>
      <w:r w:rsidRPr="00C610B4">
        <w:rPr>
          <w:rStyle w:val="Hyperlink"/>
          <w:i/>
          <w:color w:val="auto"/>
          <w:sz w:val="20"/>
          <w:u w:val="none"/>
        </w:rPr>
        <w:t xml:space="preserve"> a </w:t>
      </w:r>
      <w:proofErr w:type="spellStart"/>
      <w:r w:rsidRPr="00C610B4">
        <w:rPr>
          <w:rStyle w:val="Hyperlink"/>
          <w:i/>
          <w:color w:val="auto"/>
          <w:sz w:val="20"/>
          <w:u w:val="none"/>
        </w:rPr>
        <w:t>Neimana</w:t>
      </w:r>
      <w:proofErr w:type="spellEnd"/>
      <w:r w:rsidRPr="00C610B4">
        <w:rPr>
          <w:rStyle w:val="Hyperlink"/>
          <w:i/>
          <w:color w:val="auto"/>
          <w:sz w:val="20"/>
          <w:u w:val="none"/>
        </w:rPr>
        <w:t xml:space="preserve"> (2020) a dat z VŠPS 2015. </w:t>
      </w:r>
    </w:p>
    <w:p w14:paraId="6F981D77" w14:textId="1B8CFB53" w:rsidR="00C610B4" w:rsidRDefault="00C610B4" w:rsidP="00D65AA0">
      <w:pPr>
        <w:pStyle w:val="BodyText"/>
        <w:rPr>
          <w:lang w:eastAsia="en-US" w:bidi="ar-SA"/>
        </w:rPr>
      </w:pPr>
    </w:p>
    <w:p w14:paraId="4716129C" w14:textId="3EE281A0" w:rsidR="00C610B4" w:rsidRDefault="00C610B4" w:rsidP="00D65AA0">
      <w:pPr>
        <w:jc w:val="both"/>
      </w:pPr>
      <w:r>
        <w:t>Možnost pracovat z domova může znamenat obzvláště velký přínos pro ženy, které v </w:t>
      </w:r>
      <w:proofErr w:type="spellStart"/>
      <w:r>
        <w:t>Č</w:t>
      </w:r>
      <w:r w:rsidR="00EE5509">
        <w:t>esku</w:t>
      </w:r>
      <w:r>
        <w:t>stále</w:t>
      </w:r>
      <w:proofErr w:type="spellEnd"/>
      <w:r>
        <w:t xml:space="preserve"> mnohem častěji než muži zůstávají doma s malými dětmi, respektive jim věnují více času. V tomto kontextu je zajímavé, že ženy častěji zastávají povolání, která by šlo provozovat z domova. Zatímco tři z deseti mužů jsou schopní pracovat z domova, mezi ženami to jsou čtyři z deseti. Navíc platí, že práce na částečný úvazek, která je často dobrou možností pro rodiče malých dětí, je rovněž častěji provozovatelná z domova. To ovšem </w:t>
      </w:r>
      <w:r>
        <w:lastRenderedPageBreak/>
        <w:t>neznamená, by práce na částečný úvazek sama o sobě umožňovala práci z domova. Ale platí, že profese umožňující práci na částečný úvazek často umožňují i práci z domova.</w:t>
      </w:r>
    </w:p>
    <w:p w14:paraId="5B56C70C" w14:textId="77777777" w:rsidR="00D65AA0" w:rsidRPr="006B14E2" w:rsidRDefault="00D65AA0" w:rsidP="00D65AA0">
      <w:pPr>
        <w:jc w:val="both"/>
      </w:pPr>
    </w:p>
    <w:p w14:paraId="6C8F6F3C" w14:textId="440719FF" w:rsidR="00C610B4" w:rsidRDefault="00C610B4" w:rsidP="00D65AA0">
      <w:pPr>
        <w:pStyle w:val="Heading2"/>
        <w:spacing w:after="240" w:line="276" w:lineRule="auto"/>
      </w:pPr>
      <w:r>
        <w:t xml:space="preserve">Obrázek </w:t>
      </w:r>
      <w:r>
        <w:fldChar w:fldCharType="begin"/>
      </w:r>
      <w:r>
        <w:instrText xml:space="preserve"> SEQ Obrázek \* ARABIC </w:instrText>
      </w:r>
      <w:r>
        <w:fldChar w:fldCharType="separate"/>
      </w:r>
      <w:r>
        <w:rPr>
          <w:noProof/>
        </w:rPr>
        <w:t>7</w:t>
      </w:r>
      <w:r>
        <w:rPr>
          <w:noProof/>
        </w:rPr>
        <w:fldChar w:fldCharType="end"/>
      </w:r>
      <w:r>
        <w:t>. Podíl pracovníků schopných pracovat z</w:t>
      </w:r>
      <w:r w:rsidR="001F405F">
        <w:t> </w:t>
      </w:r>
      <w:r>
        <w:t>domova</w:t>
      </w:r>
      <w:r w:rsidR="001F405F">
        <w:t>,</w:t>
      </w:r>
      <w:r w:rsidR="001F405F">
        <w:br/>
      </w:r>
      <w:r>
        <w:t xml:space="preserve"> podle pohlaví, typu úvazku a typu pracovního místa</w:t>
      </w:r>
    </w:p>
    <w:p w14:paraId="17021F32" w14:textId="56B7F402" w:rsidR="00C610B4" w:rsidRDefault="00C610B4" w:rsidP="009E3A6B">
      <w:pPr>
        <w:pStyle w:val="BodyText"/>
        <w:rPr>
          <w:lang w:eastAsia="en-US" w:bidi="ar-SA"/>
        </w:rPr>
      </w:pPr>
      <w:r>
        <w:rPr>
          <w:noProof/>
          <w:lang w:eastAsia="cs-CZ"/>
        </w:rPr>
        <w:drawing>
          <wp:inline distT="0" distB="0" distL="0" distR="0" wp14:anchorId="195F456A" wp14:editId="76F6B3F1">
            <wp:extent cx="1677726" cy="1546225"/>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cs-CZ"/>
        </w:rPr>
        <w:drawing>
          <wp:inline distT="0" distB="0" distL="0" distR="0" wp14:anchorId="74A3948E" wp14:editId="4286EF8A">
            <wp:extent cx="2011680" cy="1534795"/>
            <wp:effectExtent l="0" t="0" r="7620" b="825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lang w:eastAsia="cs-CZ"/>
        </w:rPr>
        <w:drawing>
          <wp:inline distT="0" distB="0" distL="0" distR="0" wp14:anchorId="6A18C757" wp14:editId="53A453E8">
            <wp:extent cx="2019632" cy="1499870"/>
            <wp:effectExtent l="0" t="0" r="0" b="508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29B1272" w14:textId="77777777" w:rsidR="00C610B4" w:rsidRPr="00C610B4" w:rsidRDefault="00C610B4" w:rsidP="00C610B4">
      <w:pPr>
        <w:pStyle w:val="FootnoteText"/>
        <w:ind w:left="227"/>
        <w:rPr>
          <w:rStyle w:val="Hyperlink"/>
          <w:i/>
          <w:color w:val="auto"/>
          <w:sz w:val="20"/>
          <w:u w:val="none"/>
        </w:rPr>
      </w:pPr>
      <w:r w:rsidRPr="00C610B4">
        <w:rPr>
          <w:rStyle w:val="Hyperlink"/>
          <w:i/>
          <w:color w:val="auto"/>
          <w:sz w:val="20"/>
          <w:u w:val="none"/>
        </w:rPr>
        <w:t xml:space="preserve">Zdroj: Vlastní výpočty na základě </w:t>
      </w:r>
      <w:proofErr w:type="spellStart"/>
      <w:r w:rsidRPr="00C610B4">
        <w:rPr>
          <w:rStyle w:val="Hyperlink"/>
          <w:i/>
          <w:color w:val="auto"/>
          <w:sz w:val="20"/>
          <w:u w:val="none"/>
        </w:rPr>
        <w:t>Dingla</w:t>
      </w:r>
      <w:proofErr w:type="spellEnd"/>
      <w:r w:rsidRPr="00C610B4">
        <w:rPr>
          <w:rStyle w:val="Hyperlink"/>
          <w:i/>
          <w:color w:val="auto"/>
          <w:sz w:val="20"/>
          <w:u w:val="none"/>
        </w:rPr>
        <w:t xml:space="preserve"> a </w:t>
      </w:r>
      <w:proofErr w:type="spellStart"/>
      <w:r w:rsidRPr="00C610B4">
        <w:rPr>
          <w:rStyle w:val="Hyperlink"/>
          <w:i/>
          <w:color w:val="auto"/>
          <w:sz w:val="20"/>
          <w:u w:val="none"/>
        </w:rPr>
        <w:t>Neimana</w:t>
      </w:r>
      <w:proofErr w:type="spellEnd"/>
      <w:r w:rsidRPr="00C610B4">
        <w:rPr>
          <w:rStyle w:val="Hyperlink"/>
          <w:i/>
          <w:color w:val="auto"/>
          <w:sz w:val="20"/>
          <w:u w:val="none"/>
        </w:rPr>
        <w:t xml:space="preserve"> (2020) a dat z VŠPS 2015. </w:t>
      </w:r>
    </w:p>
    <w:p w14:paraId="180A0E4C" w14:textId="39EF01BF" w:rsidR="00C610B4" w:rsidRDefault="00C610B4" w:rsidP="009E3A6B">
      <w:pPr>
        <w:pStyle w:val="BodyText"/>
        <w:rPr>
          <w:lang w:eastAsia="en-US" w:bidi="ar-SA"/>
        </w:rPr>
      </w:pPr>
    </w:p>
    <w:p w14:paraId="2122DF25" w14:textId="62858351" w:rsidR="00C610B4" w:rsidRDefault="00C610B4" w:rsidP="00F97A38">
      <w:pPr>
        <w:pStyle w:val="Heading1"/>
      </w:pPr>
      <w:r>
        <w:t>Diskuse</w:t>
      </w:r>
    </w:p>
    <w:p w14:paraId="2AB7059D" w14:textId="11EF0533" w:rsidR="00C610B4" w:rsidRDefault="00C610B4" w:rsidP="00D65AA0">
      <w:pPr>
        <w:jc w:val="both"/>
      </w:pPr>
      <w:r>
        <w:t xml:space="preserve">Na základě </w:t>
      </w:r>
      <w:r w:rsidRPr="00F04B5D">
        <w:t>údajů z</w:t>
      </w:r>
      <w:r>
        <w:t xml:space="preserve"> americké </w:t>
      </w:r>
      <w:r w:rsidRPr="00F04B5D">
        <w:t xml:space="preserve">O*NET a </w:t>
      </w:r>
      <w:r>
        <w:t xml:space="preserve">českých dat z </w:t>
      </w:r>
      <w:r w:rsidRPr="00F04B5D">
        <w:t>V</w:t>
      </w:r>
      <w:r>
        <w:t xml:space="preserve">ŠPSV této </w:t>
      </w:r>
      <w:r w:rsidRPr="00F04B5D">
        <w:t>studi</w:t>
      </w:r>
      <w:r>
        <w:t>i</w:t>
      </w:r>
      <w:r w:rsidRPr="00F04B5D">
        <w:t xml:space="preserve"> </w:t>
      </w:r>
      <w:r>
        <w:t xml:space="preserve">prezentujeme </w:t>
      </w:r>
      <w:r w:rsidR="00D65AA0">
        <w:t>o</w:t>
      </w:r>
      <w:r w:rsidRPr="00F04B5D">
        <w:t xml:space="preserve">dhad, že zhruba třetina českých pracovníků by mohla </w:t>
      </w:r>
      <w:r>
        <w:t xml:space="preserve">svou současnou práci </w:t>
      </w:r>
      <w:r w:rsidRPr="00F04B5D">
        <w:t xml:space="preserve">vykonávat z domova. </w:t>
      </w:r>
      <w:r>
        <w:t>Naše odhady d</w:t>
      </w:r>
      <w:r w:rsidRPr="00F04B5D">
        <w:t>ále uk</w:t>
      </w:r>
      <w:r>
        <w:t>azují</w:t>
      </w:r>
      <w:r w:rsidRPr="00F04B5D">
        <w:t xml:space="preserve">, že </w:t>
      </w:r>
      <w:r>
        <w:t xml:space="preserve">možnost </w:t>
      </w:r>
      <w:r w:rsidRPr="006E75F9">
        <w:t>pr</w:t>
      </w:r>
      <w:r>
        <w:t>áce</w:t>
      </w:r>
      <w:r w:rsidRPr="006E75F9">
        <w:t xml:space="preserve"> z domova se </w:t>
      </w:r>
      <w:r>
        <w:t>dramaticky liší mezi pracovníky s rozdílnou úrovní vzdělání a výrazné rozdíly existují také mezi různými odvětvími ekonomiky, mezi Prahou a ostatními kraji a obecněji mezi městy a venkovem.</w:t>
      </w:r>
    </w:p>
    <w:p w14:paraId="4A5F31CD" w14:textId="77777777" w:rsidR="00C610B4" w:rsidRDefault="00C610B4" w:rsidP="00D65AA0">
      <w:pPr>
        <w:jc w:val="both"/>
      </w:pPr>
      <w:r>
        <w:t>V kontextu epidemie covid-19 tyto výsledky dávají tušit, že r</w:t>
      </w:r>
      <w:r w:rsidRPr="006E75F9">
        <w:t>ůzné skupiny pracovníků mají zásadně odlišné možnosti přispět k sociálnímu distancování</w:t>
      </w:r>
      <w:r>
        <w:t xml:space="preserve"> během pandemie. Vysokoškolsky vzdělaný pracovník finančního sektoru v Praze se může společensky fyzicky „distancovat“ výrazně jednodušeji než řemeslník žijící na malé obci. To by tedy mělo být zohledněno ve vládních opatřeních proti šíření epidemie. Rozdíly v možnosti pracovat z domova jsou dále důležité proto, že ukazují, které skupiny pracovníků a jaká odvětví mohou být nejvíce postižené sociálním distancováním, pokud by jim stát nekompenzoval ušlé příjmy.</w:t>
      </w:r>
    </w:p>
    <w:p w14:paraId="472A8DA9" w14:textId="6F79477D" w:rsidR="00C610B4" w:rsidRDefault="00C610B4" w:rsidP="00D65AA0">
      <w:pPr>
        <w:jc w:val="both"/>
      </w:pPr>
      <w:r>
        <w:t>Dále naše výsledky ukazují, že i po skončení epidemie covid-19 by práce z domova mohla hrát výrazně větší roli, než hrál</w:t>
      </w:r>
      <w:r w:rsidR="00D65AA0">
        <w:t>a</w:t>
      </w:r>
      <w:r>
        <w:t xml:space="preserve"> v minulosti. Je možné, že výrazná část pracovníků, zvláště těch vysokoškolsky vzdělaných, bude v dohledné budoucnosti pravidelně pracovat </w:t>
      </w:r>
      <w:r>
        <w:lastRenderedPageBreak/>
        <w:t>z domova, ve většině případů den či dva za týden. I pracovníků, kteří ze 100</w:t>
      </w:r>
      <w:r w:rsidR="00D65AA0">
        <w:t> </w:t>
      </w:r>
      <w:r>
        <w:t xml:space="preserve">% pracují z domova může přibývat. </w:t>
      </w:r>
    </w:p>
    <w:p w14:paraId="4689742C" w14:textId="1D78261A" w:rsidR="00C610B4" w:rsidRDefault="00C610B4" w:rsidP="00D46378">
      <w:pPr>
        <w:jc w:val="both"/>
      </w:pPr>
      <w:r>
        <w:t>V tomto kontextu bude důležité začít přemýšlet nad tím, jak by měly na zvýšenou roli práce z domova reagovat veřejné politiky. V prvé řadě, má-li se naplnit potenciál práce z domova pro zvýšení produktivity a kvality života pracovníků, bude třeba, aby lidé i</w:t>
      </w:r>
      <w:r w:rsidR="00D46378">
        <w:t> </w:t>
      </w:r>
      <w:r>
        <w:t>v menších obcích měli přístup k rychlému internetu a aby podniky více využívaly digitální nástroje a častější práci z domova přizpůsobily také vnitřní procesy. Stát může podporovat potřebné investice a sdílení „</w:t>
      </w:r>
      <w:proofErr w:type="spellStart"/>
      <w:r w:rsidRPr="00D46378">
        <w:rPr>
          <w:i/>
          <w:iCs/>
        </w:rPr>
        <w:t>best</w:t>
      </w:r>
      <w:proofErr w:type="spellEnd"/>
      <w:r w:rsidRPr="00D46378">
        <w:rPr>
          <w:i/>
          <w:iCs/>
        </w:rPr>
        <w:t xml:space="preserve"> </w:t>
      </w:r>
      <w:proofErr w:type="spellStart"/>
      <w:r w:rsidRPr="00D46378">
        <w:rPr>
          <w:i/>
          <w:iCs/>
        </w:rPr>
        <w:t>practice</w:t>
      </w:r>
      <w:proofErr w:type="spellEnd"/>
      <w:r>
        <w:t xml:space="preserve">“. Hlubší digitalizace veřejného sektoru by také měla umožnit co nejvíce administrativních úkonu provést digitálně, bez nutnosti fyzické návštěvy úřadu. </w:t>
      </w:r>
    </w:p>
    <w:p w14:paraId="223A856B" w14:textId="5D1BEA36" w:rsidR="00C610B4" w:rsidRDefault="00C610B4" w:rsidP="00D46378">
      <w:pPr>
        <w:jc w:val="both"/>
      </w:pPr>
      <w:r>
        <w:t>Stát by sám měl jít vzorem. Podle našich výpočtu také zhruba polovina pracovníků ve</w:t>
      </w:r>
      <w:r w:rsidR="00D46378">
        <w:t> </w:t>
      </w:r>
      <w:r>
        <w:t xml:space="preserve">veřejné správě může pracovat z domova. Tím, že stát transparentně nastaví funkční systém práce z domova pro své zaměstnance, nejen podpoří sociální distancování během epidemie, ale také pomůže nastavit standardy pro soukromé firmy. Pokud by práce z domova v budoucnosti vedla k neúměrnému nárůstu přesčasů nebo nestandardních pracovních kontraktů, může také </w:t>
      </w:r>
      <w:r w:rsidR="00D46378">
        <w:t xml:space="preserve">vzniknout </w:t>
      </w:r>
      <w:r>
        <w:t>potřeba ji zohlednit při regulaci pracovních kontraktů. Konečně, politiky by měly brát v úvahu, že možnost pracovat z domova je nerovnoměrně rozdělená napříč populací a mohla by prohloubit sociální rozdíly ve</w:t>
      </w:r>
      <w:r w:rsidR="00D46378">
        <w:t> </w:t>
      </w:r>
      <w:r w:rsidR="0056535A">
        <w:t>s</w:t>
      </w:r>
      <w:r>
        <w:t>polečnosti.</w:t>
      </w:r>
    </w:p>
    <w:p w14:paraId="370BA50D" w14:textId="43B44668" w:rsidR="00C610B4" w:rsidRPr="00D46378" w:rsidRDefault="00C610B4" w:rsidP="00D46378">
      <w:pPr>
        <w:jc w:val="both"/>
      </w:pPr>
      <w:r>
        <w:t xml:space="preserve">Výsledky naší studie jsou přirozeně omezené použitou metodologií a daty a tyto nedostatky by měly být brány v potaz při využívání těchto výsledků pro nastavení veřejných politik. Možnosti pracovat z domova se přirozeně mohou vyvíjet v budoucnu jinak, než je předpokládáno na základě našich historických českých a částečně amerických dat v této studii a na tento budoucí vývoj budou mít vliv jak změny odvětvové i profesní struktury české ekonomiky, tak pokrok v rámci informačních technologií a nástrojů vyvinutých v reakci na covid-19. Jakkoliv se tedy konkrétní čísla pro </w:t>
      </w:r>
      <w:r w:rsidRPr="00F953A2">
        <w:t xml:space="preserve">možnost práce z domova </w:t>
      </w:r>
      <w:r>
        <w:t xml:space="preserve">ve skutečnosti liší a v budoucnosti budou lišit od námi odhadovaných, považujeme za pravděpodobné, že výrazné rozdíly </w:t>
      </w:r>
      <w:r w:rsidRPr="00F953A2">
        <w:t>mezi pracovníky</w:t>
      </w:r>
      <w:r>
        <w:t xml:space="preserve"> </w:t>
      </w:r>
      <w:r w:rsidRPr="00F953A2">
        <w:t>s</w:t>
      </w:r>
      <w:r w:rsidR="00D46378">
        <w:t> </w:t>
      </w:r>
      <w:r w:rsidRPr="00F953A2">
        <w:t>rozdílnou úrovní vzdělání</w:t>
      </w:r>
      <w:r>
        <w:t xml:space="preserve">, </w:t>
      </w:r>
      <w:r w:rsidRPr="00F953A2">
        <w:t>mezi různými odvětvími ekonomiky, mezi Prahou a ostatními kraji a obecněji mezi městy a venkovem</w:t>
      </w:r>
      <w:r w:rsidR="00D46378">
        <w:t>,</w:t>
      </w:r>
      <w:r>
        <w:t xml:space="preserve"> budou přetrvávat</w:t>
      </w:r>
      <w:r>
        <w:br w:type="page"/>
      </w:r>
    </w:p>
    <w:p w14:paraId="6CBA87A2" w14:textId="3108FA5E" w:rsidR="00C610B4" w:rsidRDefault="00C610B4" w:rsidP="00F97A38">
      <w:pPr>
        <w:pStyle w:val="Heading1"/>
      </w:pPr>
      <w:r>
        <w:lastRenderedPageBreak/>
        <w:t>Reference</w:t>
      </w:r>
    </w:p>
    <w:p w14:paraId="467115DA" w14:textId="77777777" w:rsidR="003B637D" w:rsidRPr="00831355" w:rsidRDefault="003B637D" w:rsidP="003B637D">
      <w:pPr>
        <w:jc w:val="both"/>
      </w:pPr>
      <w:r w:rsidRPr="00831355">
        <w:fldChar w:fldCharType="begin"/>
      </w:r>
      <w:r w:rsidRPr="00831355">
        <w:instrText xml:space="preserve"> ADDIN ZOTERO_BIBL {"uncited":[],"omitted":[],"custom":[]} CSL_BIBLIOGRAPHY </w:instrText>
      </w:r>
      <w:r w:rsidRPr="00831355">
        <w:fldChar w:fldCharType="separate"/>
      </w:r>
      <w:r w:rsidRPr="00831355">
        <w:t xml:space="preserve">Arntz, M., Sarra, B. Y., &amp; Berlingieri, F. (2019). Working from home: Heterogeneous effects on hours worked and wages. </w:t>
      </w:r>
      <w:r w:rsidRPr="00831355">
        <w:rPr>
          <w:i/>
          <w:iCs/>
        </w:rPr>
        <w:t>ZEW-Centre for European Economic Research Discussion Paper</w:t>
      </w:r>
      <w:r w:rsidRPr="00831355">
        <w:t>, (19–015).</w:t>
      </w:r>
    </w:p>
    <w:p w14:paraId="7B601971" w14:textId="77777777" w:rsidR="003B637D" w:rsidRPr="00831355" w:rsidRDefault="003B637D" w:rsidP="003B637D">
      <w:pPr>
        <w:jc w:val="both"/>
      </w:pPr>
      <w:r w:rsidRPr="00831355">
        <w:t xml:space="preserve">Beckmann, M. (2016). </w:t>
      </w:r>
      <w:r w:rsidRPr="00831355">
        <w:rPr>
          <w:i/>
          <w:iCs/>
        </w:rPr>
        <w:t>Self-managed working time and firm performance: Microeconometric evidence</w:t>
      </w:r>
      <w:r w:rsidRPr="00831355">
        <w:t>. WWZ Working Paper.</w:t>
      </w:r>
    </w:p>
    <w:p w14:paraId="30BD0EAB" w14:textId="77777777" w:rsidR="003B637D" w:rsidRPr="00831355" w:rsidRDefault="003B637D" w:rsidP="003B637D">
      <w:pPr>
        <w:jc w:val="both"/>
      </w:pPr>
      <w:r w:rsidRPr="00831355">
        <w:t xml:space="preserve">Beckmann, M., Cornelissen, T., &amp; Kräkel, M. (2017). Self-managed working time and employee effort: Theory and evidence. </w:t>
      </w:r>
      <w:r w:rsidRPr="00831355">
        <w:rPr>
          <w:i/>
          <w:iCs/>
        </w:rPr>
        <w:t>Journal of Economic Behavior &amp; Organization</w:t>
      </w:r>
      <w:r w:rsidRPr="00831355">
        <w:t xml:space="preserve">, </w:t>
      </w:r>
      <w:r w:rsidRPr="00831355">
        <w:rPr>
          <w:i/>
          <w:iCs/>
        </w:rPr>
        <w:t>133</w:t>
      </w:r>
      <w:r w:rsidRPr="00831355">
        <w:t>, 285–302.</w:t>
      </w:r>
    </w:p>
    <w:p w14:paraId="5FE89175" w14:textId="77777777" w:rsidR="003B637D" w:rsidRPr="00831355" w:rsidRDefault="003B637D" w:rsidP="003B637D">
      <w:pPr>
        <w:jc w:val="both"/>
      </w:pPr>
      <w:r w:rsidRPr="00831355">
        <w:t xml:space="preserve">Bloom, N., Liang, J., Roberts, J., &amp; Ying, Z. J. (2015). Does working from home work? Evidence from a Chinese experiment. </w:t>
      </w:r>
      <w:r w:rsidRPr="00831355">
        <w:rPr>
          <w:i/>
          <w:iCs/>
        </w:rPr>
        <w:t>The Quarterly Journal of Economics</w:t>
      </w:r>
      <w:r w:rsidRPr="00831355">
        <w:t xml:space="preserve">, </w:t>
      </w:r>
      <w:r w:rsidRPr="00831355">
        <w:rPr>
          <w:i/>
          <w:iCs/>
        </w:rPr>
        <w:t>130</w:t>
      </w:r>
      <w:r w:rsidRPr="00831355">
        <w:t>(1), 165–218.</w:t>
      </w:r>
    </w:p>
    <w:p w14:paraId="78211F73" w14:textId="77777777" w:rsidR="003B637D" w:rsidRPr="00831355" w:rsidRDefault="003B637D" w:rsidP="003B637D">
      <w:pPr>
        <w:jc w:val="both"/>
      </w:pPr>
      <w:r w:rsidRPr="00831355">
        <w:t xml:space="preserve">Clancy, M. (2020). The Case for Remote Work. </w:t>
      </w:r>
      <w:r w:rsidRPr="00831355">
        <w:rPr>
          <w:i/>
          <w:iCs/>
        </w:rPr>
        <w:t>Economics Working Papers</w:t>
      </w:r>
      <w:r w:rsidRPr="00831355">
        <w:t>. https://lib.dr.iastate.edu/econ_workingpapers/102</w:t>
      </w:r>
    </w:p>
    <w:p w14:paraId="29C078D6" w14:textId="77777777" w:rsidR="003B637D" w:rsidRPr="00831355" w:rsidRDefault="003B637D" w:rsidP="003B637D">
      <w:pPr>
        <w:jc w:val="both"/>
      </w:pPr>
      <w:r w:rsidRPr="00831355">
        <w:t xml:space="preserve">Dingel, J. I., &amp; Neiman, B. (2020). How many jobs can be done at home? </w:t>
      </w:r>
      <w:r w:rsidRPr="00831355">
        <w:rPr>
          <w:i/>
          <w:iCs/>
        </w:rPr>
        <w:t>Journal of Public Economics</w:t>
      </w:r>
      <w:r w:rsidRPr="00831355">
        <w:t xml:space="preserve">, </w:t>
      </w:r>
      <w:r w:rsidRPr="00831355">
        <w:rPr>
          <w:i/>
          <w:iCs/>
        </w:rPr>
        <w:t>189</w:t>
      </w:r>
      <w:r w:rsidRPr="00831355">
        <w:t>, 104235. https://doi.org/10.1016/j.jpubeco.2020.104235</w:t>
      </w:r>
    </w:p>
    <w:p w14:paraId="57E87F89" w14:textId="77777777" w:rsidR="003B637D" w:rsidRPr="00831355" w:rsidRDefault="003B637D" w:rsidP="003B637D">
      <w:pPr>
        <w:jc w:val="both"/>
      </w:pPr>
      <w:r w:rsidRPr="00831355">
        <w:t xml:space="preserve">Godart, O. N., Görg, H., &amp; Hanley, A. (2017). Trust-based work time and innovation: Evidence from firm-level data. </w:t>
      </w:r>
      <w:r w:rsidRPr="00831355">
        <w:rPr>
          <w:i/>
          <w:iCs/>
        </w:rPr>
        <w:t>ILR Review</w:t>
      </w:r>
      <w:r w:rsidRPr="00831355">
        <w:t xml:space="preserve">, </w:t>
      </w:r>
      <w:r w:rsidRPr="00831355">
        <w:rPr>
          <w:i/>
          <w:iCs/>
        </w:rPr>
        <w:t>70</w:t>
      </w:r>
      <w:r w:rsidRPr="00831355">
        <w:t>(4), 894–918.</w:t>
      </w:r>
    </w:p>
    <w:p w14:paraId="0D7183CA" w14:textId="77777777" w:rsidR="003B637D" w:rsidRPr="00831355" w:rsidRDefault="003B637D" w:rsidP="003B637D">
      <w:pPr>
        <w:jc w:val="both"/>
      </w:pPr>
      <w:r w:rsidRPr="00831355">
        <w:t xml:space="preserve">Hook, A., Sovacool, B. K., &amp; Sorrell, S. (2020). A systematic review of the energy and climate impacts of teleworking. </w:t>
      </w:r>
      <w:r w:rsidRPr="00831355">
        <w:rPr>
          <w:i/>
          <w:iCs/>
        </w:rPr>
        <w:t>Environmental Research Letters</w:t>
      </w:r>
      <w:r w:rsidRPr="00831355">
        <w:t xml:space="preserve">, </w:t>
      </w:r>
      <w:r w:rsidRPr="00831355">
        <w:rPr>
          <w:i/>
          <w:iCs/>
        </w:rPr>
        <w:t>15</w:t>
      </w:r>
      <w:r w:rsidRPr="00831355">
        <w:t>(9), 093003.</w:t>
      </w:r>
    </w:p>
    <w:p w14:paraId="56D987C4" w14:textId="77777777" w:rsidR="003B637D" w:rsidRDefault="003B637D" w:rsidP="003B637D">
      <w:pPr>
        <w:jc w:val="both"/>
      </w:pPr>
      <w:r w:rsidRPr="001F0263">
        <w:t xml:space="preserve">IDEA &amp; PAQ </w:t>
      </w:r>
      <w:r>
        <w:t>R</w:t>
      </w:r>
      <w:r w:rsidRPr="001F0263">
        <w:t>esearch</w:t>
      </w:r>
      <w:r>
        <w:t xml:space="preserve"> (2020), </w:t>
      </w:r>
      <w:r w:rsidRPr="000908BE">
        <w:t>Daniel Münich a Jakub Grossmann</w:t>
      </w:r>
      <w:r>
        <w:t xml:space="preserve">, </w:t>
      </w:r>
      <w:r w:rsidRPr="000908BE">
        <w:t>Práce z domova: možnost nebo nutnost?</w:t>
      </w:r>
      <w:r>
        <w:t xml:space="preserve">, Připravovaná studie IDEA. </w:t>
      </w:r>
    </w:p>
    <w:p w14:paraId="723A4A8F" w14:textId="77777777" w:rsidR="003B637D" w:rsidRPr="00831355" w:rsidRDefault="003B637D" w:rsidP="003B637D">
      <w:pPr>
        <w:spacing w:after="120" w:line="276" w:lineRule="auto"/>
        <w:jc w:val="both"/>
      </w:pPr>
      <w:r w:rsidRPr="00831355">
        <w:t xml:space="preserve">Kossek, E. E., &amp; Lee, K.-H. (2017). Work-family conflict and work-life conflict. In </w:t>
      </w:r>
      <w:r w:rsidRPr="00831355">
        <w:rPr>
          <w:i/>
          <w:iCs/>
        </w:rPr>
        <w:t>Oxford Research Encyclopedia of Business and Management</w:t>
      </w:r>
      <w:r w:rsidRPr="00831355">
        <w:t>.</w:t>
      </w:r>
    </w:p>
    <w:p w14:paraId="414B406B" w14:textId="77777777" w:rsidR="003B637D" w:rsidRPr="00831355" w:rsidRDefault="003B637D" w:rsidP="003B637D">
      <w:pPr>
        <w:jc w:val="both"/>
      </w:pPr>
      <w:r w:rsidRPr="00831355">
        <w:t xml:space="preserve">Lister, K., &amp; Harnish, T. (2011). The State of Telework in the US. </w:t>
      </w:r>
      <w:r w:rsidRPr="00831355">
        <w:rPr>
          <w:i/>
          <w:iCs/>
        </w:rPr>
        <w:t>Telework Research Network</w:t>
      </w:r>
      <w:r w:rsidRPr="00831355">
        <w:t>.</w:t>
      </w:r>
    </w:p>
    <w:p w14:paraId="7BDADB6F" w14:textId="19A13C7D" w:rsidR="00841BC6" w:rsidRDefault="003B637D" w:rsidP="00BD67FF">
      <w:pPr>
        <w:jc w:val="both"/>
      </w:pPr>
      <w:r w:rsidRPr="00831355">
        <w:t xml:space="preserve">Reeves, R., &amp; Rothwell, J. (2020). Class and COVID: How the less affluent face double risks. </w:t>
      </w:r>
      <w:r w:rsidRPr="00831355">
        <w:rPr>
          <w:i/>
          <w:iCs/>
        </w:rPr>
        <w:t>Retrieved March</w:t>
      </w:r>
      <w:r w:rsidRPr="00831355">
        <w:t xml:space="preserve">, </w:t>
      </w:r>
      <w:r w:rsidRPr="00831355">
        <w:rPr>
          <w:i/>
          <w:iCs/>
        </w:rPr>
        <w:t>30</w:t>
      </w:r>
      <w:r w:rsidRPr="00831355">
        <w:t>, 2020.</w:t>
      </w:r>
      <w:r w:rsidR="00841BC6">
        <w:t xml:space="preserve">  </w:t>
      </w:r>
      <w:r w:rsidR="00841BC6">
        <w:br w:type="page"/>
      </w:r>
    </w:p>
    <w:p w14:paraId="24C7F2B2" w14:textId="00638E68" w:rsidR="00BD67FF" w:rsidRDefault="003B637D" w:rsidP="00F97A38">
      <w:pPr>
        <w:pStyle w:val="Heading1"/>
      </w:pPr>
      <w:r w:rsidRPr="00831355">
        <w:lastRenderedPageBreak/>
        <w:fldChar w:fldCharType="end"/>
      </w:r>
      <w:r w:rsidR="00BD67FF">
        <w:t>Technická příloha</w:t>
      </w:r>
    </w:p>
    <w:p w14:paraId="4DD11E86" w14:textId="77777777" w:rsidR="00BD67FF" w:rsidRPr="00BD67FF" w:rsidRDefault="00BD67FF" w:rsidP="0056535A">
      <w:pPr>
        <w:jc w:val="both"/>
      </w:pPr>
      <w:r w:rsidRPr="00BD67FF">
        <w:t xml:space="preserve">Zatímco data VŠPS používají ke klasifikaci prací 5-místný kód CZ-ISCO, klasifikace použitá </w:t>
      </w:r>
      <w:r w:rsidRPr="00BD67FF">
        <w:fldChar w:fldCharType="begin"/>
      </w:r>
      <w:r w:rsidRPr="00BD67FF">
        <w:instrText xml:space="preserve"> ADDIN ZOTERO_ITEM CSL_CITATION {"citationID":"3iLTbJiD","properties":{"formattedCitation":"(Dingel and Neiman 2020)","plainCitation":"(Dingel and Neiman 2020)","noteIndex":0},"citationItems":[{"id":410,"uris":["http://zotero.org/users/local/uSRAUdnz/items/7IZ423ML"],"uri":["http://zotero.org/users/local/uSRAUdnz/items/7IZ423ML"],"itemData":{"id":410,"type":"report","title":"How many jobs can be done at home?","publisher":"National Bureau of Economic Research","source":"Google Scholar","author":[{"family":"Dingel","given":"Jonathan I."},{"family":"Neiman","given":"Brent"}],"issued":{"date-parts":[["2020"]]}}}],"schema":"https://github.com/citation-style-language/schema/raw/master/csl-citation.json"} </w:instrText>
      </w:r>
      <w:r w:rsidRPr="00BD67FF">
        <w:fldChar w:fldCharType="separate"/>
      </w:r>
      <w:r w:rsidRPr="00BD67FF">
        <w:rPr>
          <w:rFonts w:cs="Calibri"/>
        </w:rPr>
        <w:t>Dingelem and Neimanem (2020)</w:t>
      </w:r>
      <w:r w:rsidRPr="00BD67FF">
        <w:fldChar w:fldCharType="end"/>
      </w:r>
      <w:r w:rsidRPr="00BD67FF">
        <w:t xml:space="preserve"> kóduje práce pomocí 8-místné klasifikace O*NET-SOC. Oba zdroje proto propojujeme ve dvou krocích, ani v jednom z nich ovšem není korespondence mezi kódy jednoznačná. V některých případech dochází k propojení jednoho ISCO kódu s více SOC kódy, které jsou propojeny s více možnými O*NET-SOC kódy. Níže uvádíme pro představu příklad pro jeden ISCO kód. </w:t>
      </w:r>
    </w:p>
    <w:p w14:paraId="0B603166" w14:textId="5FD015E3" w:rsidR="00BD67FF" w:rsidRDefault="00BD67FF" w:rsidP="0056535A">
      <w:pPr>
        <w:pStyle w:val="Heading2"/>
        <w:spacing w:after="240" w:line="276" w:lineRule="auto"/>
        <w:rPr>
          <w:sz w:val="20"/>
          <w:szCs w:val="20"/>
        </w:rPr>
      </w:pPr>
      <w:r>
        <w:t>Tabulka A.</w:t>
      </w:r>
      <w:r>
        <w:fldChar w:fldCharType="begin"/>
      </w:r>
      <w:r>
        <w:instrText xml:space="preserve"> SEQ Tabulka \* ARABIC </w:instrText>
      </w:r>
      <w:r>
        <w:fldChar w:fldCharType="separate"/>
      </w:r>
      <w:r>
        <w:rPr>
          <w:noProof/>
        </w:rPr>
        <w:t>2</w:t>
      </w:r>
      <w:r>
        <w:rPr>
          <w:noProof/>
        </w:rPr>
        <w:fldChar w:fldCharType="end"/>
      </w:r>
      <w:r>
        <w:rPr>
          <w:noProof/>
        </w:rPr>
        <w:t>:</w:t>
      </w:r>
      <w:r>
        <w:t xml:space="preserve"> Příklad převodu mezi klasifikacemi</w:t>
      </w:r>
    </w:p>
    <w:tbl>
      <w:tblPr>
        <w:tblStyle w:val="TableGrid"/>
        <w:tblW w:w="9209" w:type="dxa"/>
        <w:tblLook w:val="04A0" w:firstRow="1" w:lastRow="0" w:firstColumn="1" w:lastColumn="0" w:noHBand="0" w:noVBand="1"/>
      </w:tblPr>
      <w:tblGrid>
        <w:gridCol w:w="500"/>
        <w:gridCol w:w="1196"/>
        <w:gridCol w:w="1134"/>
        <w:gridCol w:w="1560"/>
        <w:gridCol w:w="3402"/>
        <w:gridCol w:w="1417"/>
      </w:tblGrid>
      <w:tr w:rsidR="00BD67FF" w14:paraId="3218D42E" w14:textId="77777777" w:rsidTr="008223EA">
        <w:tc>
          <w:tcPr>
            <w:tcW w:w="500" w:type="dxa"/>
          </w:tcPr>
          <w:p w14:paraId="3E811779" w14:textId="77777777" w:rsidR="00BD67FF" w:rsidRPr="0056535A" w:rsidRDefault="00BD67FF" w:rsidP="00BD67FF">
            <w:pPr>
              <w:spacing w:after="120" w:line="276" w:lineRule="auto"/>
              <w:rPr>
                <w:sz w:val="22"/>
              </w:rPr>
            </w:pPr>
          </w:p>
        </w:tc>
        <w:tc>
          <w:tcPr>
            <w:tcW w:w="1196" w:type="dxa"/>
          </w:tcPr>
          <w:p w14:paraId="796E5824" w14:textId="77777777" w:rsidR="00BD67FF" w:rsidRPr="0056535A" w:rsidRDefault="00BD67FF" w:rsidP="00BD67FF">
            <w:pPr>
              <w:spacing w:after="120" w:line="276" w:lineRule="auto"/>
              <w:jc w:val="center"/>
              <w:rPr>
                <w:sz w:val="22"/>
              </w:rPr>
            </w:pPr>
            <w:r w:rsidRPr="0056535A">
              <w:rPr>
                <w:sz w:val="22"/>
              </w:rPr>
              <w:t>ISCO08 kód</w:t>
            </w:r>
          </w:p>
        </w:tc>
        <w:tc>
          <w:tcPr>
            <w:tcW w:w="1134" w:type="dxa"/>
          </w:tcPr>
          <w:p w14:paraId="19385F75" w14:textId="77777777" w:rsidR="00BD67FF" w:rsidRPr="0056535A" w:rsidRDefault="00BD67FF" w:rsidP="00BD67FF">
            <w:pPr>
              <w:spacing w:after="120" w:line="276" w:lineRule="auto"/>
              <w:jc w:val="center"/>
              <w:rPr>
                <w:sz w:val="22"/>
              </w:rPr>
            </w:pPr>
            <w:r w:rsidRPr="0056535A">
              <w:rPr>
                <w:sz w:val="22"/>
              </w:rPr>
              <w:t>SOC10 kód</w:t>
            </w:r>
          </w:p>
        </w:tc>
        <w:tc>
          <w:tcPr>
            <w:tcW w:w="1560" w:type="dxa"/>
          </w:tcPr>
          <w:p w14:paraId="22B2C114" w14:textId="77777777" w:rsidR="00BD67FF" w:rsidRPr="0056535A" w:rsidRDefault="00BD67FF" w:rsidP="00BD67FF">
            <w:pPr>
              <w:spacing w:after="120" w:line="276" w:lineRule="auto"/>
              <w:jc w:val="center"/>
              <w:rPr>
                <w:sz w:val="22"/>
              </w:rPr>
            </w:pPr>
            <w:r w:rsidRPr="0056535A">
              <w:rPr>
                <w:sz w:val="22"/>
              </w:rPr>
              <w:t>O*NET-SOC kód</w:t>
            </w:r>
          </w:p>
        </w:tc>
        <w:tc>
          <w:tcPr>
            <w:tcW w:w="3402" w:type="dxa"/>
          </w:tcPr>
          <w:p w14:paraId="3EA5F13C" w14:textId="77777777" w:rsidR="00BD67FF" w:rsidRPr="0056535A" w:rsidRDefault="00BD67FF" w:rsidP="00BD67FF">
            <w:pPr>
              <w:spacing w:after="120" w:line="276" w:lineRule="auto"/>
              <w:jc w:val="center"/>
              <w:rPr>
                <w:sz w:val="22"/>
              </w:rPr>
            </w:pPr>
            <w:r w:rsidRPr="0056535A">
              <w:rPr>
                <w:sz w:val="22"/>
              </w:rPr>
              <w:t>O*NET-SOC popis</w:t>
            </w:r>
          </w:p>
        </w:tc>
        <w:tc>
          <w:tcPr>
            <w:tcW w:w="1417" w:type="dxa"/>
          </w:tcPr>
          <w:p w14:paraId="7F2463E2" w14:textId="77777777" w:rsidR="00BD67FF" w:rsidRPr="0056535A" w:rsidRDefault="00BD67FF" w:rsidP="00BD67FF">
            <w:pPr>
              <w:spacing w:after="120" w:line="276" w:lineRule="auto"/>
              <w:jc w:val="center"/>
              <w:rPr>
                <w:sz w:val="22"/>
              </w:rPr>
            </w:pPr>
            <w:r w:rsidRPr="0056535A">
              <w:rPr>
                <w:sz w:val="22"/>
              </w:rPr>
              <w:t>Práce z domova</w:t>
            </w:r>
          </w:p>
        </w:tc>
      </w:tr>
      <w:tr w:rsidR="00BD67FF" w14:paraId="48B01F7A" w14:textId="77777777" w:rsidTr="008223EA">
        <w:tc>
          <w:tcPr>
            <w:tcW w:w="500" w:type="dxa"/>
          </w:tcPr>
          <w:p w14:paraId="7D90C4F2" w14:textId="77777777" w:rsidR="00BD67FF" w:rsidRPr="008223EA" w:rsidRDefault="00BD67FF" w:rsidP="00BD67FF">
            <w:pPr>
              <w:spacing w:after="120" w:line="276" w:lineRule="auto"/>
              <w:jc w:val="center"/>
              <w:rPr>
                <w:sz w:val="20"/>
                <w:szCs w:val="20"/>
              </w:rPr>
            </w:pPr>
            <w:r w:rsidRPr="008223EA">
              <w:rPr>
                <w:sz w:val="20"/>
                <w:szCs w:val="20"/>
              </w:rPr>
              <w:t>1</w:t>
            </w:r>
          </w:p>
        </w:tc>
        <w:tc>
          <w:tcPr>
            <w:tcW w:w="1196" w:type="dxa"/>
          </w:tcPr>
          <w:p w14:paraId="35E068C2" w14:textId="77777777" w:rsidR="00BD67FF" w:rsidRPr="008223EA" w:rsidRDefault="00BD67FF" w:rsidP="00BD67FF">
            <w:pPr>
              <w:spacing w:after="120" w:line="276" w:lineRule="auto"/>
              <w:jc w:val="center"/>
              <w:rPr>
                <w:sz w:val="20"/>
                <w:szCs w:val="20"/>
              </w:rPr>
            </w:pPr>
            <w:r w:rsidRPr="008223EA">
              <w:rPr>
                <w:sz w:val="20"/>
                <w:szCs w:val="20"/>
              </w:rPr>
              <w:t>1112</w:t>
            </w:r>
          </w:p>
        </w:tc>
        <w:tc>
          <w:tcPr>
            <w:tcW w:w="1134" w:type="dxa"/>
          </w:tcPr>
          <w:p w14:paraId="7D1FA33B" w14:textId="77777777" w:rsidR="00BD67FF" w:rsidRPr="008223EA" w:rsidRDefault="00BD67FF" w:rsidP="00BD67FF">
            <w:pPr>
              <w:spacing w:after="120" w:line="276" w:lineRule="auto"/>
              <w:jc w:val="center"/>
              <w:rPr>
                <w:sz w:val="20"/>
                <w:szCs w:val="20"/>
              </w:rPr>
            </w:pPr>
            <w:r w:rsidRPr="008223EA">
              <w:rPr>
                <w:sz w:val="20"/>
                <w:szCs w:val="20"/>
              </w:rPr>
              <w:t>111011</w:t>
            </w:r>
          </w:p>
        </w:tc>
        <w:tc>
          <w:tcPr>
            <w:tcW w:w="1560" w:type="dxa"/>
          </w:tcPr>
          <w:p w14:paraId="41C5F696" w14:textId="77777777" w:rsidR="00BD67FF" w:rsidRPr="008223EA" w:rsidRDefault="00BD67FF" w:rsidP="00BD67FF">
            <w:pPr>
              <w:spacing w:after="120" w:line="276" w:lineRule="auto"/>
              <w:jc w:val="center"/>
              <w:rPr>
                <w:sz w:val="20"/>
                <w:szCs w:val="20"/>
              </w:rPr>
            </w:pPr>
            <w:r w:rsidRPr="008223EA">
              <w:rPr>
                <w:sz w:val="20"/>
                <w:szCs w:val="20"/>
              </w:rPr>
              <w:t>11-1011.00</w:t>
            </w:r>
          </w:p>
        </w:tc>
        <w:tc>
          <w:tcPr>
            <w:tcW w:w="3402" w:type="dxa"/>
          </w:tcPr>
          <w:p w14:paraId="62919E8C" w14:textId="77777777" w:rsidR="00BD67FF" w:rsidRPr="008223EA" w:rsidRDefault="00BD67FF" w:rsidP="00BD67FF">
            <w:pPr>
              <w:spacing w:after="120" w:line="276" w:lineRule="auto"/>
              <w:rPr>
                <w:sz w:val="20"/>
                <w:szCs w:val="20"/>
              </w:rPr>
            </w:pPr>
            <w:proofErr w:type="spellStart"/>
            <w:r w:rsidRPr="008223EA">
              <w:rPr>
                <w:sz w:val="20"/>
                <w:szCs w:val="20"/>
              </w:rPr>
              <w:t>Chief</w:t>
            </w:r>
            <w:proofErr w:type="spellEnd"/>
            <w:r w:rsidRPr="008223EA">
              <w:rPr>
                <w:sz w:val="20"/>
                <w:szCs w:val="20"/>
              </w:rPr>
              <w:t xml:space="preserve"> </w:t>
            </w:r>
            <w:proofErr w:type="spellStart"/>
            <w:r w:rsidRPr="008223EA">
              <w:rPr>
                <w:sz w:val="20"/>
                <w:szCs w:val="20"/>
              </w:rPr>
              <w:t>Executives</w:t>
            </w:r>
            <w:proofErr w:type="spellEnd"/>
            <w:r w:rsidRPr="008223EA">
              <w:rPr>
                <w:sz w:val="20"/>
                <w:szCs w:val="20"/>
              </w:rPr>
              <w:t xml:space="preserve">            </w:t>
            </w:r>
          </w:p>
        </w:tc>
        <w:tc>
          <w:tcPr>
            <w:tcW w:w="1417" w:type="dxa"/>
          </w:tcPr>
          <w:p w14:paraId="077C5AB2" w14:textId="77777777" w:rsidR="00BD67FF" w:rsidRPr="008223EA" w:rsidRDefault="00BD67FF" w:rsidP="00BD67FF">
            <w:pPr>
              <w:spacing w:after="120" w:line="276" w:lineRule="auto"/>
              <w:jc w:val="center"/>
              <w:rPr>
                <w:sz w:val="20"/>
                <w:szCs w:val="20"/>
              </w:rPr>
            </w:pPr>
            <w:r w:rsidRPr="008223EA">
              <w:rPr>
                <w:sz w:val="20"/>
                <w:szCs w:val="20"/>
              </w:rPr>
              <w:t>1</w:t>
            </w:r>
          </w:p>
        </w:tc>
      </w:tr>
      <w:tr w:rsidR="00BD67FF" w14:paraId="2CE102AC" w14:textId="77777777" w:rsidTr="008223EA">
        <w:trPr>
          <w:trHeight w:val="54"/>
        </w:trPr>
        <w:tc>
          <w:tcPr>
            <w:tcW w:w="500" w:type="dxa"/>
          </w:tcPr>
          <w:p w14:paraId="27B469BB" w14:textId="77777777" w:rsidR="00BD67FF" w:rsidRPr="008223EA" w:rsidRDefault="00BD67FF" w:rsidP="00BD67FF">
            <w:pPr>
              <w:spacing w:after="120" w:line="276" w:lineRule="auto"/>
              <w:jc w:val="center"/>
              <w:rPr>
                <w:sz w:val="20"/>
                <w:szCs w:val="20"/>
              </w:rPr>
            </w:pPr>
            <w:r w:rsidRPr="008223EA">
              <w:rPr>
                <w:sz w:val="20"/>
                <w:szCs w:val="20"/>
              </w:rPr>
              <w:t>2</w:t>
            </w:r>
          </w:p>
        </w:tc>
        <w:tc>
          <w:tcPr>
            <w:tcW w:w="1196" w:type="dxa"/>
          </w:tcPr>
          <w:p w14:paraId="4F48FFAD" w14:textId="77777777" w:rsidR="00BD67FF" w:rsidRPr="008223EA" w:rsidRDefault="00BD67FF" w:rsidP="00BD67FF">
            <w:pPr>
              <w:spacing w:after="120" w:line="276" w:lineRule="auto"/>
              <w:jc w:val="center"/>
              <w:rPr>
                <w:sz w:val="20"/>
                <w:szCs w:val="20"/>
              </w:rPr>
            </w:pPr>
            <w:r w:rsidRPr="008223EA">
              <w:rPr>
                <w:sz w:val="20"/>
                <w:szCs w:val="20"/>
              </w:rPr>
              <w:t>1112</w:t>
            </w:r>
          </w:p>
        </w:tc>
        <w:tc>
          <w:tcPr>
            <w:tcW w:w="1134" w:type="dxa"/>
          </w:tcPr>
          <w:p w14:paraId="3E857A65" w14:textId="77777777" w:rsidR="00BD67FF" w:rsidRPr="008223EA" w:rsidRDefault="00BD67FF" w:rsidP="00BD67FF">
            <w:pPr>
              <w:spacing w:after="120" w:line="276" w:lineRule="auto"/>
              <w:jc w:val="center"/>
              <w:rPr>
                <w:sz w:val="20"/>
                <w:szCs w:val="20"/>
              </w:rPr>
            </w:pPr>
            <w:r w:rsidRPr="008223EA">
              <w:rPr>
                <w:sz w:val="20"/>
                <w:szCs w:val="20"/>
              </w:rPr>
              <w:t>111011</w:t>
            </w:r>
          </w:p>
        </w:tc>
        <w:tc>
          <w:tcPr>
            <w:tcW w:w="1560" w:type="dxa"/>
          </w:tcPr>
          <w:p w14:paraId="21B559C6" w14:textId="77777777" w:rsidR="00BD67FF" w:rsidRPr="008223EA" w:rsidRDefault="00BD67FF" w:rsidP="00BD67FF">
            <w:pPr>
              <w:spacing w:after="120" w:line="276" w:lineRule="auto"/>
              <w:jc w:val="center"/>
              <w:rPr>
                <w:sz w:val="20"/>
                <w:szCs w:val="20"/>
              </w:rPr>
            </w:pPr>
            <w:r w:rsidRPr="008223EA">
              <w:rPr>
                <w:sz w:val="20"/>
                <w:szCs w:val="20"/>
              </w:rPr>
              <w:t>11-1011.03</w:t>
            </w:r>
          </w:p>
        </w:tc>
        <w:tc>
          <w:tcPr>
            <w:tcW w:w="3402" w:type="dxa"/>
          </w:tcPr>
          <w:p w14:paraId="4541B5AE" w14:textId="77777777" w:rsidR="00BD67FF" w:rsidRPr="008223EA" w:rsidRDefault="00BD67FF" w:rsidP="00BD67FF">
            <w:pPr>
              <w:spacing w:after="120" w:line="276" w:lineRule="auto"/>
              <w:rPr>
                <w:sz w:val="20"/>
                <w:szCs w:val="20"/>
              </w:rPr>
            </w:pPr>
            <w:proofErr w:type="spellStart"/>
            <w:r w:rsidRPr="008223EA">
              <w:rPr>
                <w:sz w:val="20"/>
                <w:szCs w:val="20"/>
              </w:rPr>
              <w:t>Chief</w:t>
            </w:r>
            <w:proofErr w:type="spellEnd"/>
            <w:r w:rsidRPr="008223EA">
              <w:rPr>
                <w:sz w:val="20"/>
                <w:szCs w:val="20"/>
              </w:rPr>
              <w:t xml:space="preserve"> </w:t>
            </w:r>
            <w:proofErr w:type="spellStart"/>
            <w:r w:rsidRPr="008223EA">
              <w:rPr>
                <w:sz w:val="20"/>
                <w:szCs w:val="20"/>
              </w:rPr>
              <w:t>Sustainability</w:t>
            </w:r>
            <w:proofErr w:type="spellEnd"/>
            <w:r w:rsidRPr="008223EA">
              <w:rPr>
                <w:sz w:val="20"/>
                <w:szCs w:val="20"/>
              </w:rPr>
              <w:t xml:space="preserve"> </w:t>
            </w:r>
            <w:proofErr w:type="spellStart"/>
            <w:r w:rsidRPr="008223EA">
              <w:rPr>
                <w:sz w:val="20"/>
                <w:szCs w:val="20"/>
              </w:rPr>
              <w:t>Officers</w:t>
            </w:r>
            <w:proofErr w:type="spellEnd"/>
            <w:r w:rsidRPr="008223EA">
              <w:rPr>
                <w:sz w:val="20"/>
                <w:szCs w:val="20"/>
              </w:rPr>
              <w:t xml:space="preserve">            </w:t>
            </w:r>
          </w:p>
        </w:tc>
        <w:tc>
          <w:tcPr>
            <w:tcW w:w="1417" w:type="dxa"/>
          </w:tcPr>
          <w:p w14:paraId="04E3A942" w14:textId="77777777" w:rsidR="00BD67FF" w:rsidRPr="008223EA" w:rsidRDefault="00BD67FF" w:rsidP="00BD67FF">
            <w:pPr>
              <w:spacing w:after="120" w:line="276" w:lineRule="auto"/>
              <w:jc w:val="center"/>
              <w:rPr>
                <w:sz w:val="20"/>
                <w:szCs w:val="20"/>
              </w:rPr>
            </w:pPr>
            <w:r w:rsidRPr="008223EA">
              <w:rPr>
                <w:sz w:val="20"/>
                <w:szCs w:val="20"/>
              </w:rPr>
              <w:t>1</w:t>
            </w:r>
          </w:p>
        </w:tc>
      </w:tr>
      <w:tr w:rsidR="00BD67FF" w14:paraId="1A61BF8B" w14:textId="77777777" w:rsidTr="008223EA">
        <w:trPr>
          <w:trHeight w:val="54"/>
        </w:trPr>
        <w:tc>
          <w:tcPr>
            <w:tcW w:w="500" w:type="dxa"/>
          </w:tcPr>
          <w:p w14:paraId="4F305514" w14:textId="77777777" w:rsidR="00BD67FF" w:rsidRPr="008223EA" w:rsidRDefault="00BD67FF" w:rsidP="00BD67FF">
            <w:pPr>
              <w:spacing w:after="120" w:line="276" w:lineRule="auto"/>
              <w:jc w:val="center"/>
              <w:rPr>
                <w:sz w:val="20"/>
                <w:szCs w:val="20"/>
              </w:rPr>
            </w:pPr>
            <w:r w:rsidRPr="008223EA">
              <w:rPr>
                <w:sz w:val="20"/>
                <w:szCs w:val="20"/>
              </w:rPr>
              <w:t>3</w:t>
            </w:r>
          </w:p>
        </w:tc>
        <w:tc>
          <w:tcPr>
            <w:tcW w:w="1196" w:type="dxa"/>
          </w:tcPr>
          <w:p w14:paraId="0C3CBCE1" w14:textId="77777777" w:rsidR="00BD67FF" w:rsidRPr="008223EA" w:rsidRDefault="00BD67FF" w:rsidP="00BD67FF">
            <w:pPr>
              <w:spacing w:after="120" w:line="276" w:lineRule="auto"/>
              <w:jc w:val="center"/>
              <w:rPr>
                <w:sz w:val="20"/>
                <w:szCs w:val="20"/>
              </w:rPr>
            </w:pPr>
            <w:r w:rsidRPr="008223EA">
              <w:rPr>
                <w:sz w:val="20"/>
                <w:szCs w:val="20"/>
              </w:rPr>
              <w:t>1112</w:t>
            </w:r>
          </w:p>
        </w:tc>
        <w:tc>
          <w:tcPr>
            <w:tcW w:w="1134" w:type="dxa"/>
          </w:tcPr>
          <w:p w14:paraId="1126CAB3" w14:textId="77777777" w:rsidR="00BD67FF" w:rsidRPr="008223EA" w:rsidRDefault="00BD67FF" w:rsidP="00BD67FF">
            <w:pPr>
              <w:spacing w:after="120" w:line="276" w:lineRule="auto"/>
              <w:jc w:val="center"/>
              <w:rPr>
                <w:sz w:val="20"/>
                <w:szCs w:val="20"/>
              </w:rPr>
            </w:pPr>
            <w:r w:rsidRPr="008223EA">
              <w:rPr>
                <w:sz w:val="20"/>
                <w:szCs w:val="20"/>
              </w:rPr>
              <w:t>119161</w:t>
            </w:r>
          </w:p>
        </w:tc>
        <w:tc>
          <w:tcPr>
            <w:tcW w:w="1560" w:type="dxa"/>
          </w:tcPr>
          <w:p w14:paraId="183AE908" w14:textId="77777777" w:rsidR="00BD67FF" w:rsidRPr="008223EA" w:rsidRDefault="00BD67FF" w:rsidP="00BD67FF">
            <w:pPr>
              <w:spacing w:after="120" w:line="276" w:lineRule="auto"/>
              <w:jc w:val="center"/>
              <w:rPr>
                <w:sz w:val="20"/>
                <w:szCs w:val="20"/>
              </w:rPr>
            </w:pPr>
            <w:r w:rsidRPr="008223EA">
              <w:rPr>
                <w:sz w:val="20"/>
                <w:szCs w:val="20"/>
              </w:rPr>
              <w:t>11-9161.00</w:t>
            </w:r>
          </w:p>
        </w:tc>
        <w:tc>
          <w:tcPr>
            <w:tcW w:w="3402" w:type="dxa"/>
          </w:tcPr>
          <w:p w14:paraId="270A8DA2" w14:textId="77777777" w:rsidR="00BD67FF" w:rsidRPr="008223EA" w:rsidRDefault="00BD67FF" w:rsidP="00BD67FF">
            <w:pPr>
              <w:spacing w:after="120" w:line="276" w:lineRule="auto"/>
              <w:rPr>
                <w:sz w:val="20"/>
                <w:szCs w:val="20"/>
              </w:rPr>
            </w:pPr>
            <w:proofErr w:type="spellStart"/>
            <w:r w:rsidRPr="008223EA">
              <w:rPr>
                <w:sz w:val="20"/>
                <w:szCs w:val="20"/>
              </w:rPr>
              <w:t>Emergency</w:t>
            </w:r>
            <w:proofErr w:type="spellEnd"/>
            <w:r w:rsidRPr="008223EA">
              <w:rPr>
                <w:sz w:val="20"/>
                <w:szCs w:val="20"/>
              </w:rPr>
              <w:t xml:space="preserve"> Management </w:t>
            </w:r>
            <w:proofErr w:type="spellStart"/>
            <w:r w:rsidRPr="008223EA">
              <w:rPr>
                <w:sz w:val="20"/>
                <w:szCs w:val="20"/>
              </w:rPr>
              <w:t>Directors</w:t>
            </w:r>
            <w:proofErr w:type="spellEnd"/>
          </w:p>
        </w:tc>
        <w:tc>
          <w:tcPr>
            <w:tcW w:w="1417" w:type="dxa"/>
          </w:tcPr>
          <w:p w14:paraId="5AE83C64" w14:textId="77777777" w:rsidR="00BD67FF" w:rsidRPr="008223EA" w:rsidRDefault="00BD67FF" w:rsidP="00BD67FF">
            <w:pPr>
              <w:spacing w:after="120" w:line="276" w:lineRule="auto"/>
              <w:jc w:val="center"/>
              <w:rPr>
                <w:sz w:val="20"/>
                <w:szCs w:val="20"/>
              </w:rPr>
            </w:pPr>
            <w:r w:rsidRPr="008223EA">
              <w:rPr>
                <w:sz w:val="20"/>
                <w:szCs w:val="20"/>
              </w:rPr>
              <w:t>0</w:t>
            </w:r>
          </w:p>
        </w:tc>
      </w:tr>
      <w:tr w:rsidR="00BD67FF" w14:paraId="0D84499C" w14:textId="77777777" w:rsidTr="008223EA">
        <w:tc>
          <w:tcPr>
            <w:tcW w:w="500" w:type="dxa"/>
          </w:tcPr>
          <w:p w14:paraId="32FDEA99" w14:textId="77777777" w:rsidR="00BD67FF" w:rsidRPr="008223EA" w:rsidRDefault="00BD67FF" w:rsidP="00BD67FF">
            <w:pPr>
              <w:spacing w:after="120" w:line="276" w:lineRule="auto"/>
              <w:jc w:val="center"/>
              <w:rPr>
                <w:sz w:val="20"/>
                <w:szCs w:val="20"/>
              </w:rPr>
            </w:pPr>
            <w:r w:rsidRPr="008223EA">
              <w:rPr>
                <w:sz w:val="20"/>
                <w:szCs w:val="20"/>
              </w:rPr>
              <w:t>4</w:t>
            </w:r>
          </w:p>
        </w:tc>
        <w:tc>
          <w:tcPr>
            <w:tcW w:w="1196" w:type="dxa"/>
          </w:tcPr>
          <w:p w14:paraId="521DC4C6" w14:textId="77777777" w:rsidR="00BD67FF" w:rsidRPr="008223EA" w:rsidRDefault="00BD67FF" w:rsidP="00BD67FF">
            <w:pPr>
              <w:spacing w:after="120" w:line="276" w:lineRule="auto"/>
              <w:jc w:val="center"/>
              <w:rPr>
                <w:sz w:val="20"/>
                <w:szCs w:val="20"/>
              </w:rPr>
            </w:pPr>
            <w:r w:rsidRPr="008223EA">
              <w:rPr>
                <w:sz w:val="20"/>
                <w:szCs w:val="20"/>
              </w:rPr>
              <w:t>1112</w:t>
            </w:r>
          </w:p>
        </w:tc>
        <w:tc>
          <w:tcPr>
            <w:tcW w:w="1134" w:type="dxa"/>
          </w:tcPr>
          <w:p w14:paraId="5B12CDEC" w14:textId="77777777" w:rsidR="00BD67FF" w:rsidRPr="008223EA" w:rsidRDefault="00BD67FF" w:rsidP="00BD67FF">
            <w:pPr>
              <w:spacing w:after="120" w:line="276" w:lineRule="auto"/>
              <w:jc w:val="center"/>
              <w:rPr>
                <w:sz w:val="20"/>
                <w:szCs w:val="20"/>
              </w:rPr>
            </w:pPr>
            <w:r w:rsidRPr="008223EA">
              <w:rPr>
                <w:sz w:val="20"/>
                <w:szCs w:val="20"/>
              </w:rPr>
              <w:t>111021</w:t>
            </w:r>
          </w:p>
        </w:tc>
        <w:tc>
          <w:tcPr>
            <w:tcW w:w="1560" w:type="dxa"/>
          </w:tcPr>
          <w:p w14:paraId="7B72C972" w14:textId="77777777" w:rsidR="00BD67FF" w:rsidRPr="008223EA" w:rsidRDefault="00BD67FF" w:rsidP="00BD67FF">
            <w:pPr>
              <w:spacing w:after="120" w:line="276" w:lineRule="auto"/>
              <w:jc w:val="center"/>
              <w:rPr>
                <w:sz w:val="20"/>
                <w:szCs w:val="20"/>
              </w:rPr>
            </w:pPr>
            <w:r w:rsidRPr="008223EA">
              <w:rPr>
                <w:sz w:val="20"/>
                <w:szCs w:val="20"/>
              </w:rPr>
              <w:t>11-1021.00</w:t>
            </w:r>
          </w:p>
        </w:tc>
        <w:tc>
          <w:tcPr>
            <w:tcW w:w="3402" w:type="dxa"/>
          </w:tcPr>
          <w:p w14:paraId="7DA71E22" w14:textId="77777777" w:rsidR="00BD67FF" w:rsidRPr="008223EA" w:rsidRDefault="00BD67FF" w:rsidP="00BD67FF">
            <w:pPr>
              <w:spacing w:after="120" w:line="276" w:lineRule="auto"/>
              <w:rPr>
                <w:sz w:val="20"/>
                <w:szCs w:val="20"/>
              </w:rPr>
            </w:pPr>
            <w:r w:rsidRPr="008223EA">
              <w:rPr>
                <w:sz w:val="20"/>
                <w:szCs w:val="20"/>
              </w:rPr>
              <w:t xml:space="preserve">General and </w:t>
            </w:r>
            <w:proofErr w:type="spellStart"/>
            <w:r w:rsidRPr="008223EA">
              <w:rPr>
                <w:sz w:val="20"/>
                <w:szCs w:val="20"/>
              </w:rPr>
              <w:t>Operations</w:t>
            </w:r>
            <w:proofErr w:type="spellEnd"/>
            <w:r w:rsidRPr="008223EA">
              <w:rPr>
                <w:sz w:val="20"/>
                <w:szCs w:val="20"/>
              </w:rPr>
              <w:t xml:space="preserve"> </w:t>
            </w:r>
            <w:proofErr w:type="spellStart"/>
            <w:r w:rsidRPr="008223EA">
              <w:rPr>
                <w:sz w:val="20"/>
                <w:szCs w:val="20"/>
              </w:rPr>
              <w:t>Managers</w:t>
            </w:r>
            <w:proofErr w:type="spellEnd"/>
          </w:p>
        </w:tc>
        <w:tc>
          <w:tcPr>
            <w:tcW w:w="1417" w:type="dxa"/>
          </w:tcPr>
          <w:p w14:paraId="0F3C0B25" w14:textId="77777777" w:rsidR="00BD67FF" w:rsidRPr="008223EA" w:rsidRDefault="00BD67FF" w:rsidP="00BD67FF">
            <w:pPr>
              <w:spacing w:after="120" w:line="276" w:lineRule="auto"/>
              <w:jc w:val="center"/>
              <w:rPr>
                <w:sz w:val="20"/>
                <w:szCs w:val="20"/>
              </w:rPr>
            </w:pPr>
            <w:r w:rsidRPr="008223EA">
              <w:rPr>
                <w:sz w:val="20"/>
                <w:szCs w:val="20"/>
              </w:rPr>
              <w:t>1</w:t>
            </w:r>
          </w:p>
        </w:tc>
      </w:tr>
    </w:tbl>
    <w:p w14:paraId="2EA3A1E3" w14:textId="72C352CB" w:rsidR="00BD67FF" w:rsidRDefault="00BD67FF" w:rsidP="008223EA">
      <w:pPr>
        <w:spacing w:after="0"/>
      </w:pPr>
    </w:p>
    <w:p w14:paraId="54672D0A" w14:textId="77777777" w:rsidR="00BD67FF" w:rsidRDefault="00BD67FF" w:rsidP="008223EA">
      <w:pPr>
        <w:spacing w:after="0"/>
        <w:jc w:val="both"/>
      </w:pPr>
      <w:r>
        <w:t>Pokud všechny O*NET-SOC kódy, které korespondují k jednomu ISCO kódu, nejsou stejně klasifikovány jako (ne)vykonavatelné z domova, vypočítáme vykonavatelnost z domova pro daný ISCO kód jako vážený průměr vykonavatelnosti z domova všech korespondujících O*NET-SOC kódů podle následujícího vzorce:</w:t>
      </w:r>
    </w:p>
    <w:p w14:paraId="417E3409" w14:textId="77777777" w:rsidR="00BD67FF" w:rsidRPr="00E46FC5" w:rsidRDefault="008A1560" w:rsidP="00BD67FF">
      <w:pPr>
        <w:spacing w:after="0" w:line="240" w:lineRule="auto"/>
        <w:rPr>
          <w:i/>
          <w:sz w:val="20"/>
          <w:szCs w:val="20"/>
        </w:rPr>
      </w:pPr>
      <m:oMathPara>
        <m:oMath>
          <m:sSub>
            <m:sSubPr>
              <m:ctrlPr>
                <w:rPr>
                  <w:rFonts w:ascii="Cambria Math" w:hAnsi="Cambria Math"/>
                  <w:i/>
                  <w:sz w:val="20"/>
                  <w:szCs w:val="20"/>
                </w:rPr>
              </m:ctrlPr>
            </m:sSubPr>
            <m:e>
              <m:r>
                <w:rPr>
                  <w:rFonts w:ascii="Cambria Math" w:hAnsi="Cambria Math"/>
                  <w:sz w:val="20"/>
                  <w:szCs w:val="20"/>
                </w:rPr>
                <m:t>Telework</m:t>
              </m:r>
            </m:e>
            <m:sub>
              <m:r>
                <w:rPr>
                  <w:rFonts w:ascii="Cambria Math" w:hAnsi="Cambria Math"/>
                  <w:sz w:val="20"/>
                  <w:szCs w:val="20"/>
                </w:rPr>
                <m:t>ISCO</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SOC</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SOC</m:t>
                  </m:r>
                </m:sub>
              </m:sSub>
              <m:d>
                <m:dPr>
                  <m:ctrlPr>
                    <w:rPr>
                      <w:rFonts w:ascii="Cambria Math" w:hAnsi="Cambria Math"/>
                      <w:i/>
                      <w:sz w:val="20"/>
                      <w:szCs w:val="20"/>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rPr>
                        <m:t>O*NET-SOC</m:t>
                      </m:r>
                    </m:sub>
                    <m:sup/>
                    <m:e>
                      <m:sSub>
                        <m:sSubPr>
                          <m:ctrlPr>
                            <w:rPr>
                              <w:rFonts w:ascii="Cambria Math" w:hAnsi="Cambria Math"/>
                              <w:i/>
                              <w:sz w:val="20"/>
                              <w:szCs w:val="20"/>
                            </w:rPr>
                          </m:ctrlPr>
                        </m:sSubPr>
                        <m:e>
                          <m:r>
                            <w:rPr>
                              <w:rFonts w:ascii="Cambria Math" w:hAnsi="Cambria Math"/>
                              <w:sz w:val="20"/>
                              <w:szCs w:val="20"/>
                            </w:rPr>
                            <m:t>W</m:t>
                          </m:r>
                          <m:ctrlPr>
                            <w:rPr>
                              <w:rFonts w:ascii="Cambria Math" w:hAnsi="Cambria Math"/>
                              <w:i/>
                              <w:sz w:val="20"/>
                              <w:szCs w:val="20"/>
                              <w:lang w:val="en-US"/>
                            </w:rPr>
                          </m:ctrlPr>
                        </m:e>
                        <m:sub>
                          <m:r>
                            <w:rPr>
                              <w:rFonts w:ascii="Cambria Math" w:hAnsi="Cambria Math"/>
                              <w:sz w:val="20"/>
                              <w:szCs w:val="20"/>
                            </w:rPr>
                            <m:t>O*</m:t>
                          </m:r>
                          <m:r>
                            <w:rPr>
                              <w:rFonts w:ascii="Cambria Math" w:hAnsi="Cambria Math"/>
                              <w:sz w:val="20"/>
                              <w:szCs w:val="20"/>
                              <w:lang w:val="en-US"/>
                            </w:rPr>
                            <m:t>NET-SOC</m:t>
                          </m:r>
                        </m:sub>
                      </m:sSub>
                      <m:r>
                        <w:rPr>
                          <w:rFonts w:ascii="Cambria Math"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Telework</m:t>
                          </m:r>
                          <m:ctrlPr>
                            <w:rPr>
                              <w:rFonts w:ascii="Cambria Math" w:hAnsi="Cambria Math"/>
                              <w:i/>
                              <w:sz w:val="20"/>
                              <w:szCs w:val="20"/>
                              <w:lang w:val="en-US"/>
                            </w:rPr>
                          </m:ctrlPr>
                        </m:e>
                        <m:sub>
                          <m:r>
                            <w:rPr>
                              <w:rFonts w:ascii="Cambria Math" w:hAnsi="Cambria Math"/>
                              <w:sz w:val="20"/>
                              <w:szCs w:val="20"/>
                            </w:rPr>
                            <m:t>O*NET-SOC</m:t>
                          </m:r>
                        </m:sub>
                      </m:sSub>
                    </m:e>
                  </m:nary>
                </m:e>
              </m:d>
            </m:e>
          </m:nary>
        </m:oMath>
      </m:oMathPara>
    </w:p>
    <w:p w14:paraId="219F25B9" w14:textId="77777777" w:rsidR="00BD67FF" w:rsidRDefault="00BD67FF" w:rsidP="00BD67FF">
      <w:pPr>
        <w:spacing w:after="0" w:line="240" w:lineRule="auto"/>
        <w:rPr>
          <w:sz w:val="20"/>
          <w:szCs w:val="20"/>
        </w:rPr>
      </w:pPr>
    </w:p>
    <w:p w14:paraId="4ADEA616" w14:textId="0A1A6179" w:rsidR="00BD67FF" w:rsidRDefault="008A1560" w:rsidP="008223EA">
      <w:pPr>
        <w:spacing w:before="240"/>
        <w:jc w:val="both"/>
      </w:pPr>
      <m:oMath>
        <m:sSub>
          <m:sSubPr>
            <m:ctrlPr>
              <w:rPr>
                <w:rFonts w:ascii="Cambria Math" w:hAnsi="Cambria Math"/>
                <w:i/>
              </w:rPr>
            </m:ctrlPr>
          </m:sSubPr>
          <m:e>
            <m:r>
              <w:rPr>
                <w:rFonts w:ascii="Cambria Math" w:hAnsi="Cambria Math"/>
              </w:rPr>
              <m:t>W</m:t>
            </m:r>
          </m:e>
          <m:sub>
            <m:r>
              <w:rPr>
                <w:rFonts w:ascii="Cambria Math" w:hAnsi="Cambria Math"/>
              </w:rPr>
              <m:t>SOC</m:t>
            </m:r>
          </m:sub>
        </m:sSub>
      </m:oMath>
      <w:r w:rsidR="00BD67FF">
        <w:t xml:space="preserve"> značí váhu každého SOC kódu ve výpočtu, přičemž váha je spočítaná jako inverzní hodnota počtu unikátních SOC kódů korespondujících k danému ISCO kódu. V uvedeném případě má každý SOC kód váhu jedné třetiny. </w:t>
      </w:r>
      <m:oMath>
        <m:sSub>
          <m:sSubPr>
            <m:ctrlPr>
              <w:rPr>
                <w:rFonts w:ascii="Cambria Math" w:hAnsi="Cambria Math"/>
                <w:i/>
              </w:rPr>
            </m:ctrlPr>
          </m:sSubPr>
          <m:e>
            <m:r>
              <w:rPr>
                <w:rFonts w:ascii="Cambria Math" w:hAnsi="Cambria Math"/>
              </w:rPr>
              <m:t>W</m:t>
            </m:r>
          </m:e>
          <m:sub>
            <m:r>
              <w:rPr>
                <w:rFonts w:ascii="Cambria Math" w:hAnsi="Cambria Math"/>
              </w:rPr>
              <m:t>O*NET-SOC</m:t>
            </m:r>
          </m:sub>
        </m:sSub>
      </m:oMath>
      <w:r w:rsidR="00BD67FF">
        <w:t xml:space="preserve"> značí váhu příslušného O</w:t>
      </w:r>
      <w:r w:rsidR="00BD67FF" w:rsidRPr="005440ED">
        <w:t>*NET k</w:t>
      </w:r>
      <w:r w:rsidR="00BD67FF">
        <w:t>ódu. Ta je určena jako inverzní hodnota množství O</w:t>
      </w:r>
      <w:r w:rsidR="00BD67FF" w:rsidRPr="005440ED">
        <w:t>*NET k</w:t>
      </w:r>
      <w:r w:rsidR="00BD67FF">
        <w:t>ódů, které jsou přiřazeny ke každému SOC kódu. V</w:t>
      </w:r>
      <w:r w:rsidR="00A36CC8">
        <w:t>e výše</w:t>
      </w:r>
      <w:r w:rsidR="00BD67FF">
        <w:t> uvedeném příkladu první a druhý řádek mají váhu rovnu jedné polovině, přičemž třetí a</w:t>
      </w:r>
      <w:r w:rsidR="005D6EAC">
        <w:t> </w:t>
      </w:r>
      <w:r w:rsidR="00BD67FF">
        <w:t xml:space="preserve">čtvrtý řádek mají váhu rovnu jedné. </w:t>
      </w:r>
      <m:oMath>
        <m:sSub>
          <m:sSubPr>
            <m:ctrlPr>
              <w:rPr>
                <w:rFonts w:ascii="Cambria Math" w:hAnsi="Cambria Math"/>
                <w:i/>
              </w:rPr>
            </m:ctrlPr>
          </m:sSubPr>
          <m:e>
            <m:r>
              <w:rPr>
                <w:rFonts w:ascii="Cambria Math" w:hAnsi="Cambria Math"/>
              </w:rPr>
              <m:t>Telework</m:t>
            </m:r>
          </m:e>
          <m:sub>
            <m:r>
              <w:rPr>
                <w:rFonts w:ascii="Cambria Math" w:hAnsi="Cambria Math"/>
              </w:rPr>
              <m:t>O*NET-SOC</m:t>
            </m:r>
          </m:sub>
        </m:sSub>
      </m:oMath>
      <w:r w:rsidR="00BD67FF">
        <w:t xml:space="preserve"> je binární proměnná, která je rovna jedné, pokud se povolání odpovídající danému O*NET-SOC kódu dá vykonávat z domova, a rovna nule, pokud ne. Ve výše uvedeném příkladu se jedná o hodnotu v posledním sloupci. V uvedeném případě pro ISCO kód 1112 je tedy výpočet následující:</w:t>
      </w:r>
    </w:p>
    <w:p w14:paraId="423E2651" w14:textId="4F799818" w:rsidR="005D6EAC" w:rsidRPr="008223EA" w:rsidRDefault="008A1560" w:rsidP="008223EA">
      <w:pPr>
        <w:spacing w:after="0" w:line="240" w:lineRule="auto"/>
        <w:rPr>
          <w:i/>
          <w:sz w:val="20"/>
          <w:szCs w:val="20"/>
        </w:rPr>
      </w:pPr>
      <m:oMath>
        <m:sSub>
          <m:sSubPr>
            <m:ctrlPr>
              <w:rPr>
                <w:rFonts w:ascii="Cambria Math" w:hAnsi="Cambria Math"/>
                <w:i/>
                <w:sz w:val="20"/>
                <w:szCs w:val="20"/>
              </w:rPr>
            </m:ctrlPr>
          </m:sSubPr>
          <m:e>
            <m:r>
              <w:rPr>
                <w:rFonts w:ascii="Cambria Math" w:hAnsi="Cambria Math"/>
                <w:sz w:val="20"/>
                <w:szCs w:val="20"/>
              </w:rPr>
              <m:t>Telework</m:t>
            </m:r>
          </m:e>
          <m:sub>
            <m:r>
              <w:rPr>
                <w:rFonts w:ascii="Cambria Math" w:hAnsi="Cambria Math"/>
                <w:sz w:val="20"/>
                <w:szCs w:val="20"/>
              </w:rPr>
              <m:t>ISCO=1112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*1</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*0+</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w:rPr>
            <w:rFonts w:ascii="Cambria Math" w:hAnsi="Cambria Math"/>
            <w:sz w:val="20"/>
            <w:szCs w:val="20"/>
          </w:rPr>
          <m:t>*1=0.66</m:t>
        </m:r>
      </m:oMath>
      <w:r w:rsidR="005D6EAC">
        <w:br w:type="page"/>
      </w:r>
    </w:p>
    <w:p w14:paraId="62611F2E" w14:textId="72E05FCB" w:rsidR="00F028D5" w:rsidRPr="0062108F" w:rsidRDefault="00701DA8" w:rsidP="00F97A38">
      <w:pPr>
        <w:pStyle w:val="Heading1"/>
      </w:pPr>
      <w:r w:rsidRPr="00E345C9">
        <w:lastRenderedPageBreak/>
        <w:t>Dosavadní studie v sérii IDEA anti COVID-19</w:t>
      </w:r>
    </w:p>
    <w:p w14:paraId="31F777C1" w14:textId="10790BB7" w:rsidR="00BD67FF" w:rsidRPr="009B0E9D" w:rsidRDefault="008A1560" w:rsidP="00BD67FF">
      <w:pPr>
        <w:spacing w:after="120" w:line="276" w:lineRule="auto"/>
        <w:rPr>
          <w:sz w:val="20"/>
          <w:szCs w:val="20"/>
        </w:rPr>
      </w:pPr>
      <w:hyperlink r:id="rId26" w:history="1">
        <w:r w:rsidR="00BD67FF" w:rsidRPr="009B0E9D">
          <w:rPr>
            <w:rStyle w:val="Hyperlink"/>
            <w:b/>
            <w:sz w:val="20"/>
            <w:szCs w:val="20"/>
          </w:rPr>
          <w:t># 22</w:t>
        </w:r>
      </w:hyperlink>
      <w:r w:rsidR="00BD67FF" w:rsidRPr="009B0E9D">
        <w:rPr>
          <w:b/>
          <w:sz w:val="20"/>
          <w:szCs w:val="20"/>
        </w:rPr>
        <w:t xml:space="preserve"> </w:t>
      </w:r>
      <w:r w:rsidR="00BD67FF" w:rsidRPr="009B0E9D">
        <w:rPr>
          <w:sz w:val="20"/>
          <w:szCs w:val="20"/>
        </w:rPr>
        <w:t>„</w:t>
      </w:r>
      <w:r w:rsidR="009B0E9D" w:rsidRPr="009B0E9D">
        <w:rPr>
          <w:sz w:val="20"/>
          <w:szCs w:val="20"/>
        </w:rPr>
        <w:t xml:space="preserve">Dopady pandemie </w:t>
      </w:r>
      <w:proofErr w:type="spellStart"/>
      <w:r w:rsidR="009B0E9D" w:rsidRPr="009B0E9D">
        <w:rPr>
          <w:sz w:val="20"/>
          <w:szCs w:val="20"/>
        </w:rPr>
        <w:t>koronaviru</w:t>
      </w:r>
      <w:proofErr w:type="spellEnd"/>
      <w:r w:rsidR="009B0E9D" w:rsidRPr="009B0E9D">
        <w:rPr>
          <w:sz w:val="20"/>
          <w:szCs w:val="20"/>
        </w:rPr>
        <w:t xml:space="preserve"> na duševní zdraví“, IDEA anti COVID-19, srpen 2020, Autoři: Vojtěch Bartoš, Jana </w:t>
      </w:r>
      <w:proofErr w:type="spellStart"/>
      <w:r w:rsidR="009B0E9D" w:rsidRPr="009B0E9D">
        <w:rPr>
          <w:sz w:val="20"/>
          <w:szCs w:val="20"/>
        </w:rPr>
        <w:t>Cahlíková</w:t>
      </w:r>
      <w:proofErr w:type="spellEnd"/>
      <w:r w:rsidR="009B0E9D" w:rsidRPr="009B0E9D">
        <w:rPr>
          <w:sz w:val="20"/>
          <w:szCs w:val="20"/>
        </w:rPr>
        <w:t>, Michal Bauer, Julie Chytilová</w:t>
      </w:r>
    </w:p>
    <w:p w14:paraId="68DA7AA0" w14:textId="384E614C" w:rsidR="00BD67FF" w:rsidRDefault="008A1560" w:rsidP="00BD67FF">
      <w:pPr>
        <w:spacing w:after="120" w:line="276" w:lineRule="auto"/>
        <w:rPr>
          <w:b/>
          <w:sz w:val="20"/>
          <w:szCs w:val="20"/>
        </w:rPr>
      </w:pPr>
      <w:hyperlink r:id="rId27" w:history="1">
        <w:r w:rsidR="00BD67FF" w:rsidRPr="004470FF">
          <w:rPr>
            <w:rStyle w:val="Hyperlink"/>
            <w:b/>
            <w:sz w:val="20"/>
            <w:szCs w:val="20"/>
          </w:rPr>
          <w:t># 21</w:t>
        </w:r>
      </w:hyperlink>
      <w:r w:rsidR="00BD67FF" w:rsidRPr="004470FF">
        <w:rPr>
          <w:b/>
          <w:sz w:val="20"/>
          <w:szCs w:val="20"/>
        </w:rPr>
        <w:t xml:space="preserve"> </w:t>
      </w:r>
      <w:r w:rsidR="00BD67FF" w:rsidRPr="004470FF">
        <w:rPr>
          <w:sz w:val="20"/>
          <w:szCs w:val="20"/>
        </w:rPr>
        <w:t xml:space="preserve">„Rozdílné ekonomické dopady krizecovid-19 na muže a ženy v Česku“, IDEA anti COVID-19, červen 2020, Autoři: Andreas Menzel, Martina </w:t>
      </w:r>
      <w:proofErr w:type="spellStart"/>
      <w:r w:rsidR="00BD67FF" w:rsidRPr="004470FF">
        <w:rPr>
          <w:sz w:val="20"/>
          <w:szCs w:val="20"/>
        </w:rPr>
        <w:t>Miotto</w:t>
      </w:r>
      <w:proofErr w:type="spellEnd"/>
    </w:p>
    <w:p w14:paraId="209F367D" w14:textId="77777777" w:rsidR="00BD67FF" w:rsidRDefault="008A1560" w:rsidP="00BD67FF">
      <w:pPr>
        <w:spacing w:after="120" w:line="276" w:lineRule="auto"/>
        <w:rPr>
          <w:i/>
          <w:sz w:val="20"/>
          <w:szCs w:val="20"/>
        </w:rPr>
      </w:pPr>
      <w:hyperlink r:id="rId28" w:history="1">
        <w:r w:rsidR="00BD67FF" w:rsidRPr="00606497">
          <w:rPr>
            <w:rStyle w:val="Hyperlink"/>
            <w:b/>
            <w:sz w:val="20"/>
            <w:szCs w:val="20"/>
          </w:rPr>
          <w:t># 20</w:t>
        </w:r>
      </w:hyperlink>
      <w:r w:rsidR="00BD67FF">
        <w:rPr>
          <w:sz w:val="20"/>
          <w:szCs w:val="20"/>
        </w:rPr>
        <w:t xml:space="preserve"> </w:t>
      </w:r>
      <w:r w:rsidR="00BD67FF" w:rsidRPr="00606497">
        <w:rPr>
          <w:i/>
          <w:sz w:val="20"/>
          <w:szCs w:val="20"/>
        </w:rPr>
        <w:t xml:space="preserve">„Ekonomická </w:t>
      </w:r>
      <w:proofErr w:type="spellStart"/>
      <w:r w:rsidR="00BD67FF" w:rsidRPr="00606497">
        <w:rPr>
          <w:i/>
          <w:sz w:val="20"/>
          <w:szCs w:val="20"/>
        </w:rPr>
        <w:t>kríza</w:t>
      </w:r>
      <w:proofErr w:type="spellEnd"/>
      <w:r w:rsidR="00BD67FF" w:rsidRPr="00606497">
        <w:rPr>
          <w:i/>
          <w:sz w:val="20"/>
          <w:szCs w:val="20"/>
        </w:rPr>
        <w:t xml:space="preserve"> a straty na </w:t>
      </w:r>
      <w:proofErr w:type="spellStart"/>
      <w:r w:rsidR="00BD67FF" w:rsidRPr="00606497">
        <w:rPr>
          <w:i/>
          <w:sz w:val="20"/>
          <w:szCs w:val="20"/>
        </w:rPr>
        <w:t>životoch</w:t>
      </w:r>
      <w:proofErr w:type="spellEnd"/>
      <w:r w:rsidR="00BD67FF" w:rsidRPr="00606497">
        <w:rPr>
          <w:i/>
          <w:sz w:val="20"/>
          <w:szCs w:val="20"/>
        </w:rPr>
        <w:t>“</w:t>
      </w:r>
      <w:r w:rsidR="00BD67FF" w:rsidRPr="00606497">
        <w:rPr>
          <w:sz w:val="20"/>
          <w:szCs w:val="20"/>
        </w:rPr>
        <w:t xml:space="preserve">, IDEA anti COVID-19, červen 2020, Autoři: </w:t>
      </w:r>
      <w:proofErr w:type="spellStart"/>
      <w:r w:rsidR="00BD67FF" w:rsidRPr="00606497">
        <w:rPr>
          <w:sz w:val="20"/>
          <w:szCs w:val="20"/>
        </w:rPr>
        <w:t>Kristína</w:t>
      </w:r>
      <w:proofErr w:type="spellEnd"/>
      <w:r w:rsidR="00BD67FF" w:rsidRPr="00606497">
        <w:rPr>
          <w:sz w:val="20"/>
          <w:szCs w:val="20"/>
        </w:rPr>
        <w:t xml:space="preserve"> </w:t>
      </w:r>
      <w:proofErr w:type="spellStart"/>
      <w:r w:rsidR="00BD67FF" w:rsidRPr="00606497">
        <w:rPr>
          <w:sz w:val="20"/>
          <w:szCs w:val="20"/>
        </w:rPr>
        <w:t>Hrehová</w:t>
      </w:r>
      <w:proofErr w:type="spellEnd"/>
      <w:r w:rsidR="00BD67FF" w:rsidRPr="00606497">
        <w:rPr>
          <w:sz w:val="20"/>
          <w:szCs w:val="20"/>
        </w:rPr>
        <w:t xml:space="preserve">, Štěpán </w:t>
      </w:r>
      <w:proofErr w:type="spellStart"/>
      <w:r w:rsidR="00BD67FF" w:rsidRPr="00606497">
        <w:rPr>
          <w:sz w:val="20"/>
          <w:szCs w:val="20"/>
        </w:rPr>
        <w:t>Jurajda</w:t>
      </w:r>
      <w:proofErr w:type="spellEnd"/>
    </w:p>
    <w:p w14:paraId="16FA19DA" w14:textId="77777777" w:rsidR="00BD67FF" w:rsidRDefault="008A1560" w:rsidP="00BD67FF">
      <w:pPr>
        <w:spacing w:after="120" w:line="276" w:lineRule="auto"/>
        <w:rPr>
          <w:sz w:val="20"/>
          <w:szCs w:val="20"/>
        </w:rPr>
      </w:pPr>
      <w:hyperlink r:id="rId29" w:history="1">
        <w:r w:rsidR="00BD67FF" w:rsidRPr="00F028D5">
          <w:rPr>
            <w:rStyle w:val="Hyperlink"/>
            <w:b/>
            <w:sz w:val="20"/>
            <w:szCs w:val="20"/>
          </w:rPr>
          <w:t># 19</w:t>
        </w:r>
      </w:hyperlink>
      <w:r w:rsidR="00BD67FF">
        <w:rPr>
          <w:sz w:val="20"/>
          <w:szCs w:val="20"/>
        </w:rPr>
        <w:t xml:space="preserve"> </w:t>
      </w:r>
      <w:r w:rsidR="00BD67FF" w:rsidRPr="00606497">
        <w:rPr>
          <w:i/>
          <w:sz w:val="20"/>
          <w:szCs w:val="20"/>
        </w:rPr>
        <w:t>„</w:t>
      </w:r>
      <w:proofErr w:type="spellStart"/>
      <w:r w:rsidR="00BD67FF" w:rsidRPr="00606497">
        <w:rPr>
          <w:i/>
          <w:sz w:val="20"/>
          <w:szCs w:val="20"/>
        </w:rPr>
        <w:t>Startupy</w:t>
      </w:r>
      <w:proofErr w:type="spellEnd"/>
      <w:r w:rsidR="00BD67FF" w:rsidRPr="00606497">
        <w:rPr>
          <w:i/>
          <w:sz w:val="20"/>
          <w:szCs w:val="20"/>
        </w:rPr>
        <w:t xml:space="preserve"> </w:t>
      </w:r>
      <w:proofErr w:type="spellStart"/>
      <w:r w:rsidR="00BD67FF" w:rsidRPr="00606497">
        <w:rPr>
          <w:i/>
          <w:sz w:val="20"/>
          <w:szCs w:val="20"/>
        </w:rPr>
        <w:t>vdobě</w:t>
      </w:r>
      <w:proofErr w:type="spellEnd"/>
      <w:r w:rsidR="00BD67FF" w:rsidRPr="00606497">
        <w:rPr>
          <w:i/>
          <w:sz w:val="20"/>
          <w:szCs w:val="20"/>
        </w:rPr>
        <w:t xml:space="preserve"> pandemie covid-19: zkušenosti </w:t>
      </w:r>
      <w:proofErr w:type="spellStart"/>
      <w:r w:rsidR="00BD67FF" w:rsidRPr="00606497">
        <w:rPr>
          <w:i/>
          <w:sz w:val="20"/>
          <w:szCs w:val="20"/>
        </w:rPr>
        <w:t>zUSA</w:t>
      </w:r>
      <w:proofErr w:type="spellEnd"/>
      <w:r w:rsidR="00BD67FF" w:rsidRPr="00606497">
        <w:rPr>
          <w:i/>
          <w:sz w:val="20"/>
          <w:szCs w:val="20"/>
        </w:rPr>
        <w:t xml:space="preserve"> pro Česko</w:t>
      </w:r>
      <w:r w:rsidR="00BD67FF" w:rsidRPr="00606497">
        <w:rPr>
          <w:sz w:val="20"/>
          <w:szCs w:val="20"/>
        </w:rPr>
        <w:t>“, IDEA anti COVID-19, květen 2020, Autor: Petr Sedláče</w:t>
      </w:r>
      <w:r w:rsidR="00BD67FF">
        <w:rPr>
          <w:sz w:val="20"/>
          <w:szCs w:val="20"/>
        </w:rPr>
        <w:t>k</w:t>
      </w:r>
    </w:p>
    <w:p w14:paraId="13BE7BC4" w14:textId="77777777" w:rsidR="00BD67FF" w:rsidRDefault="008A1560" w:rsidP="00BD67FF">
      <w:pPr>
        <w:spacing w:after="120" w:line="276" w:lineRule="auto"/>
        <w:rPr>
          <w:sz w:val="20"/>
          <w:szCs w:val="20"/>
        </w:rPr>
      </w:pPr>
      <w:hyperlink r:id="rId30" w:history="1">
        <w:r w:rsidR="00BD67FF" w:rsidRPr="00A56A7D">
          <w:rPr>
            <w:rStyle w:val="Hyperlink"/>
            <w:b/>
            <w:sz w:val="20"/>
            <w:szCs w:val="20"/>
          </w:rPr>
          <w:t># 18</w:t>
        </w:r>
      </w:hyperlink>
      <w:r w:rsidR="00BD67FF">
        <w:rPr>
          <w:sz w:val="20"/>
          <w:szCs w:val="20"/>
        </w:rPr>
        <w:t xml:space="preserve"> </w:t>
      </w:r>
      <w:r w:rsidR="00BD67FF" w:rsidRPr="00606497">
        <w:rPr>
          <w:i/>
          <w:sz w:val="20"/>
          <w:szCs w:val="20"/>
        </w:rPr>
        <w:t>„Pandemie covid-19 a sociálně-ekonomické nerovnosti na vzdělávání“</w:t>
      </w:r>
      <w:r w:rsidR="00BD67FF">
        <w:rPr>
          <w:sz w:val="20"/>
          <w:szCs w:val="20"/>
        </w:rPr>
        <w:t xml:space="preserve">, IDEA anti COVID-19, květen 2020, Autoři: Miroslava </w:t>
      </w:r>
      <w:proofErr w:type="spellStart"/>
      <w:r w:rsidR="00BD67FF">
        <w:rPr>
          <w:sz w:val="20"/>
          <w:szCs w:val="20"/>
        </w:rPr>
        <w:t>Federičová</w:t>
      </w:r>
      <w:proofErr w:type="spellEnd"/>
      <w:r w:rsidR="00BD67FF">
        <w:rPr>
          <w:sz w:val="20"/>
          <w:szCs w:val="20"/>
        </w:rPr>
        <w:t>, Václav Korbel</w:t>
      </w:r>
    </w:p>
    <w:p w14:paraId="0D9ED131" w14:textId="77777777" w:rsidR="00BD67FF" w:rsidRPr="00D73630" w:rsidRDefault="008A1560" w:rsidP="00BD67FF">
      <w:pPr>
        <w:pStyle w:val="BodyText"/>
        <w:spacing w:line="276" w:lineRule="auto"/>
        <w:rPr>
          <w:sz w:val="20"/>
          <w:szCs w:val="20"/>
        </w:rPr>
      </w:pPr>
      <w:hyperlink r:id="rId31" w:history="1">
        <w:r w:rsidR="00BD67FF" w:rsidRPr="00D73630">
          <w:rPr>
            <w:rStyle w:val="Hyperlink"/>
            <w:b/>
            <w:bCs/>
            <w:sz w:val="20"/>
            <w:szCs w:val="20"/>
          </w:rPr>
          <w:t># 17</w:t>
        </w:r>
      </w:hyperlink>
      <w:r w:rsidR="00BD67FF" w:rsidRPr="00D73630">
        <w:rPr>
          <w:sz w:val="20"/>
          <w:szCs w:val="20"/>
        </w:rPr>
        <w:t xml:space="preserve"> „</w:t>
      </w:r>
      <w:r w:rsidR="00BD67FF" w:rsidRPr="00606497">
        <w:rPr>
          <w:i/>
          <w:sz w:val="20"/>
          <w:szCs w:val="20"/>
        </w:rPr>
        <w:t>Jak probudit ekonomiku: Zklidnit, rozehřát, s něčím se rozloučit</w:t>
      </w:r>
      <w:r w:rsidR="00BD67FF" w:rsidRPr="00D73630">
        <w:rPr>
          <w:sz w:val="20"/>
          <w:szCs w:val="20"/>
        </w:rPr>
        <w:t>”, IDEA anti COVID-19, květen 2020, Autor: Filip Matějka</w:t>
      </w:r>
    </w:p>
    <w:p w14:paraId="20CC071D" w14:textId="77777777" w:rsidR="00BD67FF" w:rsidRPr="00D73630" w:rsidRDefault="008A1560" w:rsidP="00BD67FF">
      <w:pPr>
        <w:pStyle w:val="BodyText"/>
        <w:spacing w:line="276" w:lineRule="auto"/>
        <w:rPr>
          <w:sz w:val="20"/>
          <w:szCs w:val="20"/>
        </w:rPr>
      </w:pPr>
      <w:hyperlink r:id="rId32" w:history="1">
        <w:r w:rsidR="00BD67FF" w:rsidRPr="00D73630">
          <w:rPr>
            <w:rStyle w:val="Hyperlink"/>
            <w:b/>
            <w:bCs/>
            <w:sz w:val="20"/>
            <w:szCs w:val="20"/>
          </w:rPr>
          <w:t># 16</w:t>
        </w:r>
      </w:hyperlink>
      <w:r w:rsidR="00BD67FF" w:rsidRPr="00D73630">
        <w:rPr>
          <w:sz w:val="20"/>
          <w:szCs w:val="20"/>
        </w:rPr>
        <w:t xml:space="preserve"> „</w:t>
      </w:r>
      <w:r w:rsidR="00BD67FF" w:rsidRPr="00D73630">
        <w:rPr>
          <w:i/>
          <w:iCs/>
          <w:sz w:val="20"/>
          <w:szCs w:val="20"/>
        </w:rPr>
        <w:t xml:space="preserve">Makroekonomická politika v časech </w:t>
      </w:r>
      <w:proofErr w:type="spellStart"/>
      <w:r w:rsidR="00BD67FF" w:rsidRPr="00D73630">
        <w:rPr>
          <w:i/>
          <w:iCs/>
          <w:sz w:val="20"/>
          <w:szCs w:val="20"/>
        </w:rPr>
        <w:t>koronavirové</w:t>
      </w:r>
      <w:proofErr w:type="spellEnd"/>
      <w:r w:rsidR="00BD67FF" w:rsidRPr="00D73630">
        <w:rPr>
          <w:i/>
          <w:iCs/>
          <w:sz w:val="20"/>
          <w:szCs w:val="20"/>
        </w:rPr>
        <w:t xml:space="preserve"> epidemie</w:t>
      </w:r>
      <w:r w:rsidR="00BD67FF" w:rsidRPr="00D73630">
        <w:rPr>
          <w:sz w:val="20"/>
          <w:szCs w:val="20"/>
        </w:rPr>
        <w:t xml:space="preserve">“, IDEA anti COVID-19, duben 2020, Autoři: Marek Kapička, Michal </w:t>
      </w:r>
      <w:proofErr w:type="spellStart"/>
      <w:r w:rsidR="00BD67FF" w:rsidRPr="00D73630">
        <w:rPr>
          <w:sz w:val="20"/>
          <w:szCs w:val="20"/>
        </w:rPr>
        <w:t>Kejak</w:t>
      </w:r>
      <w:proofErr w:type="spellEnd"/>
      <w:r w:rsidR="00BD67FF" w:rsidRPr="00D73630">
        <w:rPr>
          <w:sz w:val="20"/>
          <w:szCs w:val="20"/>
        </w:rPr>
        <w:t>, Ctirad Slavík</w:t>
      </w:r>
    </w:p>
    <w:p w14:paraId="4E39B3DC" w14:textId="77777777" w:rsidR="00BD67FF" w:rsidRPr="00D73630" w:rsidRDefault="008A1560" w:rsidP="00BD67FF">
      <w:pPr>
        <w:pStyle w:val="BodyText"/>
        <w:spacing w:line="276" w:lineRule="auto"/>
        <w:rPr>
          <w:sz w:val="20"/>
          <w:szCs w:val="20"/>
        </w:rPr>
      </w:pPr>
      <w:hyperlink r:id="rId33" w:history="1">
        <w:r w:rsidR="00BD67FF" w:rsidRPr="00D73630">
          <w:rPr>
            <w:rStyle w:val="Hyperlink"/>
            <w:b/>
            <w:bCs/>
            <w:sz w:val="20"/>
            <w:szCs w:val="20"/>
          </w:rPr>
          <w:t># 15</w:t>
        </w:r>
      </w:hyperlink>
      <w:r w:rsidR="00BD67FF" w:rsidRPr="00D73630">
        <w:rPr>
          <w:sz w:val="20"/>
          <w:szCs w:val="20"/>
        </w:rPr>
        <w:t xml:space="preserve"> „</w:t>
      </w:r>
      <w:r w:rsidR="00BD67FF" w:rsidRPr="00D73630">
        <w:rPr>
          <w:i/>
          <w:iCs/>
          <w:sz w:val="20"/>
          <w:szCs w:val="20"/>
        </w:rPr>
        <w:t>Serologické testy na protilátky covid-19: K čemu nám mohou být dobré</w:t>
      </w:r>
      <w:r w:rsidR="00BD67FF" w:rsidRPr="00D73630">
        <w:rPr>
          <w:sz w:val="20"/>
          <w:szCs w:val="20"/>
        </w:rPr>
        <w:t>“, IDEA anti COVID-19, duben 2020, Autorka: Ludmila Matysková</w:t>
      </w:r>
    </w:p>
    <w:p w14:paraId="16B5CDF9" w14:textId="77777777" w:rsidR="00BD67FF" w:rsidRPr="00221F76" w:rsidRDefault="008A1560" w:rsidP="00BD67FF">
      <w:pPr>
        <w:pStyle w:val="BodyText"/>
        <w:spacing w:line="276" w:lineRule="auto"/>
        <w:rPr>
          <w:rFonts w:eastAsia="Cambria" w:cs="Cambria"/>
          <w:color w:val="00000A"/>
          <w:sz w:val="20"/>
          <w:szCs w:val="20"/>
          <w:lang w:eastAsia="ar-SA" w:bidi="ar-SA"/>
        </w:rPr>
      </w:pPr>
      <w:hyperlink r:id="rId34" w:anchor="p=1" w:history="1">
        <w:r w:rsidR="00BD67FF" w:rsidRPr="00221F76">
          <w:rPr>
            <w:rStyle w:val="Hyperlink"/>
            <w:rFonts w:eastAsia="Cambria" w:cs="Cambria"/>
            <w:b/>
            <w:sz w:val="20"/>
            <w:szCs w:val="20"/>
            <w:lang w:eastAsia="ar-SA" w:bidi="ar-SA"/>
          </w:rPr>
          <w:t># 14</w:t>
        </w:r>
      </w:hyperlink>
      <w:r w:rsidR="00BD67FF" w:rsidRPr="00221F76">
        <w:rPr>
          <w:rFonts w:eastAsia="Cambria" w:cs="Cambria"/>
          <w:color w:val="00000A"/>
          <w:sz w:val="20"/>
          <w:szCs w:val="20"/>
          <w:lang w:eastAsia="ar-SA" w:bidi="ar-SA"/>
        </w:rPr>
        <w:t xml:space="preserve"> „Využití technologie Bluetooth pro trasování šíření covid-19“, </w:t>
      </w:r>
      <w:r w:rsidR="00BD67FF" w:rsidRPr="00221F76">
        <w:rPr>
          <w:sz w:val="20"/>
          <w:szCs w:val="20"/>
        </w:rPr>
        <w:t>IDEA anti COVID-19, duben 2020, Autoři: Ole Jann, Pavel Kocourek, Jakub Steiner</w:t>
      </w:r>
    </w:p>
    <w:p w14:paraId="57AB9522" w14:textId="77777777" w:rsidR="00BD67FF" w:rsidRPr="00221F76" w:rsidRDefault="008A1560" w:rsidP="00BD67FF">
      <w:pPr>
        <w:pStyle w:val="BodyText"/>
        <w:spacing w:line="276" w:lineRule="auto"/>
        <w:rPr>
          <w:sz w:val="20"/>
          <w:szCs w:val="20"/>
        </w:rPr>
      </w:pPr>
      <w:hyperlink r:id="rId35" w:anchor="p=1" w:history="1">
        <w:r w:rsidR="00BD67FF" w:rsidRPr="00221F76">
          <w:rPr>
            <w:rStyle w:val="Hyperlink"/>
            <w:b/>
            <w:bCs/>
            <w:sz w:val="20"/>
            <w:szCs w:val="20"/>
          </w:rPr>
          <w:t># 13</w:t>
        </w:r>
      </w:hyperlink>
      <w:r w:rsidR="00BD67FF" w:rsidRPr="00221F76">
        <w:rPr>
          <w:sz w:val="20"/>
          <w:szCs w:val="20"/>
        </w:rPr>
        <w:t xml:space="preserve"> „</w:t>
      </w:r>
      <w:proofErr w:type="spellStart"/>
      <w:r w:rsidR="00BD67FF" w:rsidRPr="00221F76">
        <w:rPr>
          <w:i/>
          <w:iCs/>
          <w:sz w:val="20"/>
          <w:szCs w:val="20"/>
        </w:rPr>
        <w:t>Kurzarbeit</w:t>
      </w:r>
      <w:proofErr w:type="spellEnd"/>
      <w:r w:rsidR="00BD67FF" w:rsidRPr="00221F76">
        <w:rPr>
          <w:i/>
          <w:iCs/>
          <w:sz w:val="20"/>
          <w:szCs w:val="20"/>
        </w:rPr>
        <w:t>: zahraniční zkušenosti s dotováním zkrácené pracovní doby</w:t>
      </w:r>
      <w:r w:rsidR="00BD67FF" w:rsidRPr="00221F76">
        <w:rPr>
          <w:sz w:val="20"/>
          <w:szCs w:val="20"/>
        </w:rPr>
        <w:t xml:space="preserve">“, IDEA anti COVID-19, duben 2020, Autoři: Nikolas </w:t>
      </w:r>
      <w:proofErr w:type="spellStart"/>
      <w:r w:rsidR="00BD67FF" w:rsidRPr="00221F76">
        <w:rPr>
          <w:sz w:val="20"/>
          <w:szCs w:val="20"/>
        </w:rPr>
        <w:t>Mittag</w:t>
      </w:r>
      <w:proofErr w:type="spellEnd"/>
      <w:r w:rsidR="00BD67FF" w:rsidRPr="00221F76">
        <w:rPr>
          <w:sz w:val="20"/>
          <w:szCs w:val="20"/>
        </w:rPr>
        <w:t xml:space="preserve">, Filip </w:t>
      </w:r>
      <w:proofErr w:type="spellStart"/>
      <w:r w:rsidR="00BD67FF" w:rsidRPr="00221F76">
        <w:rPr>
          <w:sz w:val="20"/>
          <w:szCs w:val="20"/>
        </w:rPr>
        <w:t>Pertold</w:t>
      </w:r>
      <w:proofErr w:type="spellEnd"/>
    </w:p>
    <w:p w14:paraId="6C8524B9" w14:textId="77777777" w:rsidR="00BD67FF" w:rsidRPr="00221F76" w:rsidRDefault="008A1560" w:rsidP="00BD67FF">
      <w:pPr>
        <w:spacing w:after="120" w:line="276" w:lineRule="auto"/>
        <w:rPr>
          <w:bCs/>
          <w:sz w:val="20"/>
          <w:szCs w:val="20"/>
        </w:rPr>
      </w:pPr>
      <w:hyperlink r:id="rId36" w:history="1">
        <w:r w:rsidR="00BD67FF" w:rsidRPr="00221F76">
          <w:rPr>
            <w:rStyle w:val="Hyperlink"/>
            <w:b/>
            <w:bCs/>
            <w:sz w:val="20"/>
            <w:szCs w:val="20"/>
          </w:rPr>
          <w:t># 12</w:t>
        </w:r>
      </w:hyperlink>
      <w:r w:rsidR="00BD67FF" w:rsidRPr="00221F76">
        <w:rPr>
          <w:bCs/>
          <w:sz w:val="20"/>
          <w:szCs w:val="20"/>
        </w:rPr>
        <w:t xml:space="preserve"> „</w:t>
      </w:r>
      <w:r w:rsidR="00BD67FF" w:rsidRPr="00221F76">
        <w:rPr>
          <w:bCs/>
          <w:i/>
          <w:sz w:val="20"/>
          <w:szCs w:val="20"/>
        </w:rPr>
        <w:t xml:space="preserve">Dodržování zákazů v době </w:t>
      </w:r>
      <w:proofErr w:type="spellStart"/>
      <w:r w:rsidR="00BD67FF" w:rsidRPr="00221F76">
        <w:rPr>
          <w:bCs/>
          <w:i/>
          <w:sz w:val="20"/>
          <w:szCs w:val="20"/>
        </w:rPr>
        <w:t>koronaviru</w:t>
      </w:r>
      <w:proofErr w:type="spellEnd"/>
      <w:r w:rsidR="00BD67FF" w:rsidRPr="00221F76">
        <w:rPr>
          <w:bCs/>
          <w:i/>
          <w:sz w:val="20"/>
          <w:szCs w:val="20"/>
        </w:rPr>
        <w:t>: vymáhání musí být cílené efektivně</w:t>
      </w:r>
      <w:r w:rsidR="00BD67FF" w:rsidRPr="00221F76">
        <w:rPr>
          <w:bCs/>
          <w:sz w:val="20"/>
          <w:szCs w:val="20"/>
        </w:rPr>
        <w:t xml:space="preserve">“, </w:t>
      </w:r>
      <w:r w:rsidR="00BD67FF" w:rsidRPr="00221F76">
        <w:rPr>
          <w:sz w:val="20"/>
          <w:szCs w:val="20"/>
        </w:rPr>
        <w:t>IDEA anti COVID-19, duben 2020, Autor: Libor Dušek</w:t>
      </w:r>
    </w:p>
    <w:p w14:paraId="4ADEB236" w14:textId="77777777" w:rsidR="00BD67FF" w:rsidRPr="00221F76" w:rsidRDefault="008A1560" w:rsidP="00BD67FF">
      <w:pPr>
        <w:pStyle w:val="BodyText"/>
        <w:spacing w:line="276" w:lineRule="auto"/>
        <w:rPr>
          <w:sz w:val="20"/>
          <w:szCs w:val="20"/>
        </w:rPr>
      </w:pPr>
      <w:hyperlink r:id="rId37" w:history="1">
        <w:r w:rsidR="00BD67FF" w:rsidRPr="00221F76">
          <w:rPr>
            <w:rStyle w:val="Hyperlink"/>
            <w:b/>
            <w:bCs/>
            <w:sz w:val="20"/>
            <w:szCs w:val="20"/>
          </w:rPr>
          <w:t># 11</w:t>
        </w:r>
      </w:hyperlink>
      <w:r w:rsidR="00BD67FF" w:rsidRPr="00221F76">
        <w:rPr>
          <w:sz w:val="20"/>
          <w:szCs w:val="20"/>
        </w:rPr>
        <w:t xml:space="preserve"> </w:t>
      </w:r>
      <w:r w:rsidR="00BD67FF" w:rsidRPr="00221F76">
        <w:rPr>
          <w:i/>
          <w:iCs/>
          <w:sz w:val="20"/>
          <w:szCs w:val="20"/>
        </w:rPr>
        <w:t>„Sběr osobních údajů pro chytré trasování COVID-19: Jak lidi motivovat a neodradit“</w:t>
      </w:r>
      <w:r w:rsidR="00BD67FF" w:rsidRPr="00221F76">
        <w:rPr>
          <w:sz w:val="20"/>
          <w:szCs w:val="20"/>
        </w:rPr>
        <w:t>, IDEA anti COVID-19, duben 2020, Autor: Ole Jann (odborný překlad Ludmila Matysková)</w:t>
      </w:r>
    </w:p>
    <w:p w14:paraId="5C6795C3" w14:textId="77777777" w:rsidR="00BD67FF" w:rsidRPr="00221F76" w:rsidRDefault="008A1560" w:rsidP="00BD67FF">
      <w:pPr>
        <w:pBdr>
          <w:top w:val="nil"/>
          <w:left w:val="nil"/>
          <w:bottom w:val="nil"/>
          <w:right w:val="nil"/>
          <w:between w:val="nil"/>
        </w:pBdr>
        <w:spacing w:after="120" w:line="276" w:lineRule="auto"/>
        <w:rPr>
          <w:sz w:val="20"/>
          <w:szCs w:val="20"/>
        </w:rPr>
      </w:pPr>
      <w:hyperlink r:id="rId38" w:history="1">
        <w:r w:rsidR="00BD67FF" w:rsidRPr="00221F76">
          <w:rPr>
            <w:rStyle w:val="Hyperlink"/>
            <w:b/>
            <w:bCs/>
            <w:sz w:val="20"/>
            <w:szCs w:val="20"/>
          </w:rPr>
          <w:t># 10</w:t>
        </w:r>
      </w:hyperlink>
      <w:r w:rsidR="00BD67FF" w:rsidRPr="00221F76">
        <w:rPr>
          <w:sz w:val="20"/>
          <w:szCs w:val="20"/>
        </w:rPr>
        <w:t xml:space="preserve"> „</w:t>
      </w:r>
      <w:r w:rsidR="00BD67FF" w:rsidRPr="00221F76">
        <w:rPr>
          <w:i/>
          <w:iCs/>
          <w:sz w:val="20"/>
          <w:szCs w:val="20"/>
        </w:rPr>
        <w:t>Jak komunikovat vládní krizová opatření? Často je opakovat</w:t>
      </w:r>
      <w:r w:rsidR="00BD67FF" w:rsidRPr="00221F76">
        <w:rPr>
          <w:sz w:val="20"/>
          <w:szCs w:val="20"/>
        </w:rPr>
        <w:t xml:space="preserve">“, IDEA anti COVID-19, duben 2020, Autoři: Václav Korbel, Vladimír Novák, Michal </w:t>
      </w:r>
      <w:proofErr w:type="spellStart"/>
      <w:r w:rsidR="00BD67FF" w:rsidRPr="00221F76">
        <w:rPr>
          <w:sz w:val="20"/>
          <w:szCs w:val="20"/>
        </w:rPr>
        <w:t>Šoltés</w:t>
      </w:r>
      <w:proofErr w:type="spellEnd"/>
      <w:r w:rsidR="00BD67FF" w:rsidRPr="00221F76">
        <w:rPr>
          <w:sz w:val="20"/>
          <w:szCs w:val="20"/>
        </w:rPr>
        <w:t>, Lukáš Tóth</w:t>
      </w:r>
    </w:p>
    <w:p w14:paraId="0CE93302" w14:textId="77777777" w:rsidR="00BD67FF" w:rsidRPr="00221F76"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39" w:history="1">
        <w:r w:rsidR="00BD67FF" w:rsidRPr="00221F76">
          <w:rPr>
            <w:rStyle w:val="Hyperlink"/>
            <w:rFonts w:eastAsia="Georgia" w:cs="Georgia"/>
            <w:b/>
            <w:bCs/>
            <w:sz w:val="20"/>
            <w:szCs w:val="20"/>
          </w:rPr>
          <w:t># 9</w:t>
        </w:r>
      </w:hyperlink>
      <w:r w:rsidR="00BD67FF" w:rsidRPr="00221F76">
        <w:rPr>
          <w:rFonts w:eastAsia="Georgia" w:cs="Georgia"/>
          <w:color w:val="2526A9"/>
          <w:sz w:val="20"/>
          <w:szCs w:val="20"/>
        </w:rPr>
        <w:t xml:space="preserve"> </w:t>
      </w:r>
      <w:r w:rsidR="00BD67FF" w:rsidRPr="00221F76">
        <w:rPr>
          <w:rFonts w:eastAsia="Georgia" w:cs="Georgia"/>
          <w:i/>
          <w:iCs/>
          <w:color w:val="000000"/>
          <w:sz w:val="20"/>
          <w:szCs w:val="20"/>
        </w:rPr>
        <w:t>„Jak komunikovat s veřejností? Poznatky behaviorální ekonomie v boji proti COVID-19“</w:t>
      </w:r>
      <w:r w:rsidR="00BD67FF" w:rsidRPr="00221F76">
        <w:rPr>
          <w:rFonts w:eastAsia="Georgia" w:cs="Georgia"/>
          <w:color w:val="000000"/>
          <w:sz w:val="20"/>
          <w:szCs w:val="20"/>
        </w:rPr>
        <w:t>, březen 2020, IDEA anti COVID-19, Autor: Vojtěch Bartoš</w:t>
      </w:r>
    </w:p>
    <w:p w14:paraId="69568D0B" w14:textId="77777777" w:rsidR="00BD67FF" w:rsidRPr="00221F76"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40" w:history="1">
        <w:r w:rsidR="00BD67FF" w:rsidRPr="00221F76">
          <w:rPr>
            <w:rStyle w:val="Hyperlink"/>
            <w:rFonts w:eastAsia="Georgia" w:cs="Georgia"/>
            <w:b/>
            <w:bCs/>
            <w:sz w:val="20"/>
            <w:szCs w:val="20"/>
          </w:rPr>
          <w:t># 8</w:t>
        </w:r>
      </w:hyperlink>
      <w:r w:rsidR="00BD67FF" w:rsidRPr="00221F76">
        <w:rPr>
          <w:rFonts w:eastAsia="Georgia" w:cs="Georgia"/>
          <w:color w:val="2526A9"/>
          <w:sz w:val="20"/>
          <w:szCs w:val="20"/>
        </w:rPr>
        <w:t xml:space="preserve"> </w:t>
      </w:r>
      <w:r w:rsidR="00BD67FF" w:rsidRPr="00221F76">
        <w:rPr>
          <w:rFonts w:eastAsia="Georgia" w:cs="Georgia"/>
          <w:i/>
          <w:iCs/>
          <w:color w:val="000000"/>
          <w:sz w:val="20"/>
          <w:szCs w:val="20"/>
        </w:rPr>
        <w:t>„Přehled zahraničních testovacích praxí: ekonomicko-statistická perspektiva“</w:t>
      </w:r>
      <w:r w:rsidR="00BD67FF" w:rsidRPr="00221F76">
        <w:rPr>
          <w:rFonts w:eastAsia="Georgia" w:cs="Georgia"/>
          <w:color w:val="000000"/>
          <w:sz w:val="20"/>
          <w:szCs w:val="20"/>
        </w:rPr>
        <w:t xml:space="preserve">, IDEA anti COVID-19, březen 2020, Autoři: Jakub Steiner, Jan </w:t>
      </w:r>
      <w:proofErr w:type="spellStart"/>
      <w:r w:rsidR="00BD67FF" w:rsidRPr="00221F76">
        <w:rPr>
          <w:rFonts w:eastAsia="Georgia" w:cs="Georgia"/>
          <w:color w:val="000000"/>
          <w:sz w:val="20"/>
          <w:szCs w:val="20"/>
        </w:rPr>
        <w:t>Kulveit</w:t>
      </w:r>
      <w:proofErr w:type="spellEnd"/>
      <w:r w:rsidR="00BD67FF" w:rsidRPr="00221F76">
        <w:rPr>
          <w:rFonts w:eastAsia="Georgia" w:cs="Georgia"/>
          <w:color w:val="000000"/>
          <w:sz w:val="20"/>
          <w:szCs w:val="20"/>
        </w:rPr>
        <w:t>, Ludmila Matysková, Ole Jann, Pavel Kocourek a Vladimír Novák</w:t>
      </w:r>
    </w:p>
    <w:p w14:paraId="386DDD7A" w14:textId="77777777" w:rsidR="00BD67FF" w:rsidRPr="00221F76"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41" w:history="1">
        <w:r w:rsidR="00BD67FF" w:rsidRPr="00221F76">
          <w:rPr>
            <w:rStyle w:val="Hyperlink"/>
            <w:rFonts w:eastAsia="Georgia" w:cs="Georgia"/>
            <w:b/>
            <w:bCs/>
            <w:sz w:val="20"/>
            <w:szCs w:val="20"/>
          </w:rPr>
          <w:t># 7</w:t>
        </w:r>
      </w:hyperlink>
      <w:r w:rsidR="00BD67FF" w:rsidRPr="00221F76">
        <w:rPr>
          <w:rFonts w:eastAsia="Georgia" w:cs="Georgia"/>
          <w:color w:val="000000"/>
          <w:sz w:val="20"/>
          <w:szCs w:val="20"/>
        </w:rPr>
        <w:t xml:space="preserve"> </w:t>
      </w:r>
      <w:r w:rsidR="00BD67FF" w:rsidRPr="00221F76">
        <w:rPr>
          <w:rFonts w:eastAsia="Georgia" w:cs="Georgia"/>
          <w:i/>
          <w:iCs/>
          <w:color w:val="000000"/>
          <w:sz w:val="20"/>
          <w:szCs w:val="20"/>
        </w:rPr>
        <w:t>„Přístup domácností k nákaze a vládním opatřením: Aktuálně z terénu“</w:t>
      </w:r>
      <w:r w:rsidR="00BD67FF" w:rsidRPr="00221F76">
        <w:rPr>
          <w:rFonts w:eastAsia="Georgia" w:cs="Georgia"/>
          <w:color w:val="000000"/>
          <w:sz w:val="20"/>
          <w:szCs w:val="20"/>
        </w:rPr>
        <w:t xml:space="preserve">, IDEA anti COVID-19, březen 2020, Autoři: Václav Korbel, Vladimír Novák, Michal </w:t>
      </w:r>
      <w:proofErr w:type="spellStart"/>
      <w:r w:rsidR="00BD67FF" w:rsidRPr="00221F76">
        <w:rPr>
          <w:rFonts w:eastAsia="Georgia" w:cs="Georgia"/>
          <w:color w:val="000000"/>
          <w:sz w:val="20"/>
          <w:szCs w:val="20"/>
        </w:rPr>
        <w:t>Šoltés</w:t>
      </w:r>
      <w:proofErr w:type="spellEnd"/>
      <w:r w:rsidR="00BD67FF" w:rsidRPr="00221F76">
        <w:rPr>
          <w:rFonts w:eastAsia="Georgia" w:cs="Georgia"/>
          <w:color w:val="000000"/>
          <w:sz w:val="20"/>
          <w:szCs w:val="20"/>
        </w:rPr>
        <w:t>, Lukáš Tóth</w:t>
      </w:r>
    </w:p>
    <w:p w14:paraId="69D65C2C" w14:textId="77777777" w:rsidR="00BD67FF" w:rsidRPr="00221F76" w:rsidRDefault="008A1560" w:rsidP="00BD67FF">
      <w:pPr>
        <w:widowControl w:val="0"/>
        <w:spacing w:after="120" w:line="276" w:lineRule="auto"/>
        <w:rPr>
          <w:iCs/>
          <w:sz w:val="20"/>
          <w:szCs w:val="20"/>
        </w:rPr>
      </w:pPr>
      <w:hyperlink r:id="rId42" w:history="1">
        <w:r w:rsidR="00BD67FF" w:rsidRPr="00221F76">
          <w:rPr>
            <w:rStyle w:val="Hyperlink"/>
            <w:b/>
            <w:sz w:val="20"/>
            <w:szCs w:val="20"/>
          </w:rPr>
          <w:t># 6</w:t>
        </w:r>
      </w:hyperlink>
      <w:r w:rsidR="00BD67FF" w:rsidRPr="00221F76">
        <w:rPr>
          <w:sz w:val="20"/>
          <w:szCs w:val="20"/>
        </w:rPr>
        <w:t xml:space="preserve"> </w:t>
      </w:r>
      <w:r w:rsidR="00BD67FF" w:rsidRPr="00221F76">
        <w:rPr>
          <w:rFonts w:eastAsia="Georgia" w:cs="Georgia"/>
          <w:bCs/>
          <w:i/>
          <w:sz w:val="20"/>
          <w:szCs w:val="20"/>
        </w:rPr>
        <w:t>„</w:t>
      </w:r>
      <w:r w:rsidR="00BD67FF" w:rsidRPr="00221F76">
        <w:rPr>
          <w:i/>
          <w:iCs/>
          <w:sz w:val="20"/>
          <w:szCs w:val="20"/>
        </w:rPr>
        <w:t>Lekce behaviorální ekonomie v prevenci: jak také bojovat s covid-19”</w:t>
      </w:r>
      <w:r w:rsidR="00BD67FF" w:rsidRPr="00221F76">
        <w:rPr>
          <w:iCs/>
          <w:sz w:val="20"/>
          <w:szCs w:val="20"/>
        </w:rPr>
        <w:t xml:space="preserve">, </w:t>
      </w:r>
      <w:r w:rsidR="00BD67FF" w:rsidRPr="00221F76">
        <w:rPr>
          <w:rFonts w:eastAsia="Georgia" w:cs="Georgia"/>
          <w:color w:val="000000"/>
          <w:sz w:val="20"/>
          <w:szCs w:val="20"/>
        </w:rPr>
        <w:t>IDEA anti COVID-19, březen 2020, Autoři: Michal Bauer, Julie Chytilová</w:t>
      </w:r>
    </w:p>
    <w:p w14:paraId="5F9AEF6E" w14:textId="77777777" w:rsidR="00BD67FF" w:rsidRPr="00221F76" w:rsidRDefault="008A1560" w:rsidP="00BD67FF">
      <w:pPr>
        <w:pBdr>
          <w:top w:val="nil"/>
          <w:left w:val="nil"/>
          <w:bottom w:val="nil"/>
          <w:right w:val="nil"/>
          <w:between w:val="nil"/>
        </w:pBdr>
        <w:spacing w:after="120" w:line="276" w:lineRule="auto"/>
        <w:rPr>
          <w:rFonts w:eastAsia="Georgia" w:cs="Georgia"/>
          <w:b/>
          <w:bCs/>
          <w:sz w:val="20"/>
          <w:szCs w:val="20"/>
        </w:rPr>
      </w:pPr>
      <w:hyperlink r:id="rId43" w:history="1">
        <w:r w:rsidR="00BD67FF" w:rsidRPr="00221F76">
          <w:rPr>
            <w:rStyle w:val="Hyperlink"/>
            <w:rFonts w:eastAsia="Georgia" w:cs="Georgia"/>
            <w:b/>
            <w:bCs/>
            <w:sz w:val="20"/>
            <w:szCs w:val="20"/>
          </w:rPr>
          <w:t># 5</w:t>
        </w:r>
      </w:hyperlink>
      <w:r w:rsidR="00BD67FF" w:rsidRPr="00221F76">
        <w:rPr>
          <w:rFonts w:eastAsia="Georgia" w:cs="Georgia"/>
          <w:bCs/>
          <w:sz w:val="20"/>
          <w:szCs w:val="20"/>
        </w:rPr>
        <w:t xml:space="preserve"> </w:t>
      </w:r>
      <w:r w:rsidR="00BD67FF" w:rsidRPr="00221F76">
        <w:rPr>
          <w:rFonts w:eastAsia="Georgia" w:cs="Georgia"/>
          <w:bCs/>
          <w:i/>
          <w:sz w:val="20"/>
          <w:szCs w:val="20"/>
        </w:rPr>
        <w:t>„Testování na covid-19: pozor na více škod než užitku.“</w:t>
      </w:r>
      <w:r w:rsidR="00BD67FF" w:rsidRPr="00221F76">
        <w:rPr>
          <w:rFonts w:eastAsia="Georgia" w:cs="Georgia"/>
          <w:b/>
          <w:bCs/>
          <w:sz w:val="20"/>
          <w:szCs w:val="20"/>
        </w:rPr>
        <w:t xml:space="preserve"> </w:t>
      </w:r>
      <w:r w:rsidR="00BD67FF" w:rsidRPr="00221F76">
        <w:rPr>
          <w:rFonts w:eastAsia="Georgia" w:cs="Georgia"/>
          <w:color w:val="000000"/>
          <w:sz w:val="20"/>
          <w:szCs w:val="20"/>
        </w:rPr>
        <w:t xml:space="preserve">IDEA anti COVID-19, březen 2020, Autoři: Jan </w:t>
      </w:r>
      <w:proofErr w:type="spellStart"/>
      <w:r w:rsidR="00BD67FF" w:rsidRPr="00221F76">
        <w:rPr>
          <w:rFonts w:eastAsia="Georgia" w:cs="Georgia"/>
          <w:color w:val="000000"/>
          <w:sz w:val="20"/>
          <w:szCs w:val="20"/>
        </w:rPr>
        <w:t>Kulveit</w:t>
      </w:r>
      <w:proofErr w:type="spellEnd"/>
      <w:r w:rsidR="00BD67FF" w:rsidRPr="00221F76">
        <w:rPr>
          <w:rFonts w:eastAsia="Georgia" w:cs="Georgia"/>
          <w:color w:val="000000"/>
          <w:sz w:val="20"/>
          <w:szCs w:val="20"/>
        </w:rPr>
        <w:t>, Jakub Steiner</w:t>
      </w:r>
    </w:p>
    <w:p w14:paraId="55E03AEE" w14:textId="77777777" w:rsidR="00BD67FF" w:rsidRPr="00221F76"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44" w:history="1">
        <w:r w:rsidR="00BD67FF" w:rsidRPr="00221F76">
          <w:rPr>
            <w:rStyle w:val="Hyperlink"/>
            <w:rFonts w:eastAsia="Georgia" w:cs="Georgia"/>
            <w:b/>
            <w:bCs/>
            <w:sz w:val="20"/>
            <w:szCs w:val="20"/>
          </w:rPr>
          <w:t># 4</w:t>
        </w:r>
      </w:hyperlink>
      <w:r w:rsidR="00BD67FF" w:rsidRPr="00221F76">
        <w:rPr>
          <w:rFonts w:eastAsia="Georgia" w:cs="Georgia"/>
          <w:color w:val="000000"/>
          <w:sz w:val="20"/>
          <w:szCs w:val="20"/>
        </w:rPr>
        <w:t xml:space="preserve"> </w:t>
      </w:r>
      <w:r w:rsidR="00BD67FF" w:rsidRPr="00221F76">
        <w:rPr>
          <w:rFonts w:eastAsia="Georgia" w:cs="Georgia"/>
          <w:i/>
          <w:iCs/>
          <w:color w:val="000000"/>
          <w:sz w:val="20"/>
          <w:szCs w:val="20"/>
        </w:rPr>
        <w:t xml:space="preserve">„Insolvence v časech </w:t>
      </w:r>
      <w:proofErr w:type="spellStart"/>
      <w:r w:rsidR="00BD67FF" w:rsidRPr="00221F76">
        <w:rPr>
          <w:rFonts w:eastAsia="Georgia" w:cs="Georgia"/>
          <w:i/>
          <w:iCs/>
          <w:color w:val="000000"/>
          <w:sz w:val="20"/>
          <w:szCs w:val="20"/>
        </w:rPr>
        <w:t>koronaviru</w:t>
      </w:r>
      <w:proofErr w:type="spellEnd"/>
      <w:r w:rsidR="00BD67FF" w:rsidRPr="00221F76">
        <w:rPr>
          <w:rFonts w:eastAsia="Georgia" w:cs="Georgia"/>
          <w:i/>
          <w:iCs/>
          <w:color w:val="000000"/>
          <w:sz w:val="20"/>
          <w:szCs w:val="20"/>
        </w:rPr>
        <w:t>: návrh dočasných změn insolvenčního zákona“</w:t>
      </w:r>
      <w:r w:rsidR="00BD67FF" w:rsidRPr="00221F76">
        <w:rPr>
          <w:rFonts w:eastAsia="Georgia" w:cs="Georgia"/>
          <w:color w:val="000000"/>
          <w:sz w:val="20"/>
          <w:szCs w:val="20"/>
        </w:rPr>
        <w:t>, IDEA anti COVID-19, březen 2020, Autor: Tomáš Richter</w:t>
      </w:r>
    </w:p>
    <w:p w14:paraId="1641B2DA" w14:textId="77777777" w:rsidR="00BD67FF" w:rsidRPr="00221F76"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45" w:history="1">
        <w:r w:rsidR="00BD67FF" w:rsidRPr="00221F76">
          <w:rPr>
            <w:rStyle w:val="Hyperlink"/>
            <w:rFonts w:eastAsia="Georgia" w:cs="Georgia"/>
            <w:b/>
            <w:bCs/>
            <w:sz w:val="20"/>
            <w:szCs w:val="20"/>
          </w:rPr>
          <w:t># 3</w:t>
        </w:r>
      </w:hyperlink>
      <w:r w:rsidR="00BD67FF" w:rsidRPr="00221F76">
        <w:rPr>
          <w:rFonts w:eastAsia="Georgia" w:cs="Georgia"/>
          <w:color w:val="000000"/>
          <w:sz w:val="20"/>
          <w:szCs w:val="20"/>
        </w:rPr>
        <w:t xml:space="preserve"> </w:t>
      </w:r>
      <w:r w:rsidR="00BD67FF" w:rsidRPr="00221F76">
        <w:rPr>
          <w:rFonts w:eastAsia="Georgia" w:cs="Georgia"/>
          <w:i/>
          <w:iCs/>
          <w:color w:val="000000"/>
          <w:sz w:val="20"/>
          <w:szCs w:val="20"/>
        </w:rPr>
        <w:t>„Pomoc státu firmám na udržení zaměstnanosti: rychlá, jednoduchá, ekonomicky smysluplná“</w:t>
      </w:r>
      <w:r w:rsidR="00BD67FF" w:rsidRPr="00221F76">
        <w:rPr>
          <w:rFonts w:eastAsia="Georgia" w:cs="Georgia"/>
          <w:color w:val="000000"/>
          <w:sz w:val="20"/>
          <w:szCs w:val="20"/>
        </w:rPr>
        <w:t xml:space="preserve">, IDEA anti COVID-19, březen 2020, Autor: Daniel </w:t>
      </w:r>
      <w:proofErr w:type="spellStart"/>
      <w:r w:rsidR="00BD67FF" w:rsidRPr="00221F76">
        <w:rPr>
          <w:rFonts w:eastAsia="Georgia" w:cs="Georgia"/>
          <w:color w:val="000000"/>
          <w:sz w:val="20"/>
          <w:szCs w:val="20"/>
        </w:rPr>
        <w:t>Münich</w:t>
      </w:r>
      <w:proofErr w:type="spellEnd"/>
    </w:p>
    <w:p w14:paraId="7177085E" w14:textId="77777777" w:rsidR="00BD67FF" w:rsidRPr="00221F76"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46" w:history="1">
        <w:r w:rsidR="00BD67FF" w:rsidRPr="00221F76">
          <w:rPr>
            <w:rStyle w:val="Hyperlink"/>
            <w:rFonts w:eastAsia="Georgia" w:cs="Georgia"/>
            <w:b/>
            <w:bCs/>
            <w:sz w:val="20"/>
            <w:szCs w:val="20"/>
          </w:rPr>
          <w:t># 2</w:t>
        </w:r>
      </w:hyperlink>
      <w:r w:rsidR="00BD67FF" w:rsidRPr="00221F76">
        <w:rPr>
          <w:rFonts w:eastAsia="Georgia" w:cs="Georgia"/>
          <w:color w:val="2526A9"/>
          <w:sz w:val="20"/>
          <w:szCs w:val="20"/>
        </w:rPr>
        <w:t xml:space="preserve"> </w:t>
      </w:r>
      <w:r w:rsidR="00BD67FF" w:rsidRPr="00221F76">
        <w:rPr>
          <w:rFonts w:eastAsia="Georgia" w:cs="Georgia"/>
          <w:i/>
          <w:iCs/>
          <w:color w:val="000000"/>
          <w:sz w:val="20"/>
          <w:szCs w:val="20"/>
        </w:rPr>
        <w:t>„Ekonomický šok, jaký svět neviděl: ekonomiku musíme rychle zmrazit a pak ji znovu probudit“</w:t>
      </w:r>
      <w:r w:rsidR="00BD67FF" w:rsidRPr="00221F76">
        <w:rPr>
          <w:rFonts w:eastAsia="Georgia" w:cs="Georgia"/>
          <w:color w:val="000000"/>
          <w:sz w:val="20"/>
          <w:szCs w:val="20"/>
        </w:rPr>
        <w:t>, IDEA anti COVID-19, březen 2020, Autor: Filip Matějka</w:t>
      </w:r>
    </w:p>
    <w:p w14:paraId="7E8900AC" w14:textId="77777777" w:rsidR="00BD67FF" w:rsidRDefault="008A1560" w:rsidP="00BD67FF">
      <w:pPr>
        <w:pBdr>
          <w:top w:val="nil"/>
          <w:left w:val="nil"/>
          <w:bottom w:val="nil"/>
          <w:right w:val="nil"/>
          <w:between w:val="nil"/>
        </w:pBdr>
        <w:spacing w:after="120" w:line="276" w:lineRule="auto"/>
        <w:rPr>
          <w:rFonts w:eastAsia="Georgia" w:cs="Georgia"/>
          <w:color w:val="000000"/>
          <w:sz w:val="20"/>
          <w:szCs w:val="20"/>
        </w:rPr>
      </w:pPr>
      <w:hyperlink r:id="rId47" w:history="1">
        <w:r w:rsidR="00BD67FF" w:rsidRPr="00221F76">
          <w:rPr>
            <w:rStyle w:val="Hyperlink"/>
            <w:rFonts w:eastAsia="Georgia" w:cs="Georgia"/>
            <w:b/>
            <w:bCs/>
            <w:sz w:val="20"/>
            <w:szCs w:val="20"/>
          </w:rPr>
          <w:t># 1</w:t>
        </w:r>
      </w:hyperlink>
      <w:r w:rsidR="00BD67FF" w:rsidRPr="00221F76">
        <w:rPr>
          <w:rFonts w:eastAsia="Georgia" w:cs="Georgia"/>
          <w:color w:val="2526A9"/>
          <w:sz w:val="20"/>
          <w:szCs w:val="20"/>
        </w:rPr>
        <w:t xml:space="preserve"> </w:t>
      </w:r>
      <w:r w:rsidR="00BD67FF" w:rsidRPr="00221F76">
        <w:rPr>
          <w:rFonts w:eastAsia="Georgia" w:cs="Georgia"/>
          <w:i/>
          <w:iCs/>
          <w:color w:val="000000"/>
          <w:sz w:val="20"/>
          <w:szCs w:val="20"/>
        </w:rPr>
        <w:t xml:space="preserve">„Ekonomie společenského odstupu pro každého: případ </w:t>
      </w:r>
      <w:proofErr w:type="spellStart"/>
      <w:r w:rsidR="00BD67FF" w:rsidRPr="00221F76">
        <w:rPr>
          <w:rFonts w:eastAsia="Georgia" w:cs="Georgia"/>
          <w:i/>
          <w:iCs/>
          <w:color w:val="000000"/>
          <w:sz w:val="20"/>
          <w:szCs w:val="20"/>
        </w:rPr>
        <w:t>covid</w:t>
      </w:r>
      <w:proofErr w:type="spellEnd"/>
      <w:r w:rsidR="00BD67FF" w:rsidRPr="00221F76">
        <w:rPr>
          <w:rFonts w:eastAsia="Georgia" w:cs="Georgia"/>
          <w:i/>
          <w:iCs/>
          <w:color w:val="000000"/>
          <w:sz w:val="20"/>
          <w:szCs w:val="20"/>
        </w:rPr>
        <w:t xml:space="preserve"> 19“</w:t>
      </w:r>
      <w:r w:rsidR="00BD67FF" w:rsidRPr="00221F76">
        <w:rPr>
          <w:rFonts w:eastAsia="Georgia" w:cs="Georgia"/>
          <w:color w:val="000000"/>
          <w:sz w:val="20"/>
          <w:szCs w:val="20"/>
        </w:rPr>
        <w:t>, IDEA anti COVID-19, březen 2020, Autor: Kevin Bryan</w:t>
      </w:r>
    </w:p>
    <w:p w14:paraId="2459A4D0" w14:textId="23FDE17C" w:rsidR="00BD67FF" w:rsidRDefault="00BD67FF" w:rsidP="00701DA8">
      <w:pPr>
        <w:spacing w:after="120" w:line="276" w:lineRule="auto"/>
      </w:pPr>
    </w:p>
    <w:p w14:paraId="764A5A33" w14:textId="502290B4" w:rsidR="005D6EAC" w:rsidRDefault="005D6EAC">
      <w:pPr>
        <w:spacing w:after="160" w:line="259" w:lineRule="auto"/>
        <w:rPr>
          <w:rFonts w:eastAsia="Georgia" w:cs="Georgia"/>
          <w:color w:val="000000"/>
          <w:sz w:val="20"/>
          <w:szCs w:val="20"/>
        </w:rPr>
      </w:pPr>
      <w:r>
        <w:rPr>
          <w:rFonts w:eastAsia="Georgia" w:cs="Georgia"/>
          <w:color w:val="000000"/>
          <w:sz w:val="20"/>
          <w:szCs w:val="20"/>
        </w:rPr>
        <w:br w:type="page"/>
      </w:r>
    </w:p>
    <w:p w14:paraId="59162D92" w14:textId="77777777" w:rsidR="009B0E9D" w:rsidRDefault="009B0E9D" w:rsidP="009B0E9D">
      <w:pPr>
        <w:pBdr>
          <w:top w:val="nil"/>
          <w:left w:val="nil"/>
          <w:bottom w:val="nil"/>
          <w:right w:val="nil"/>
          <w:between w:val="nil"/>
        </w:pBdr>
        <w:spacing w:after="120" w:line="276" w:lineRule="auto"/>
        <w:rPr>
          <w:rFonts w:eastAsia="Georgia" w:cs="Georgia"/>
          <w:color w:val="000000"/>
          <w:sz w:val="20"/>
          <w:szCs w:val="20"/>
        </w:rPr>
      </w:pPr>
    </w:p>
    <w:p w14:paraId="1D735EC0" w14:textId="77777777" w:rsidR="009B0E9D" w:rsidRDefault="009B0E9D" w:rsidP="009B0E9D">
      <w:pPr>
        <w:pBdr>
          <w:top w:val="nil"/>
          <w:left w:val="nil"/>
          <w:bottom w:val="nil"/>
          <w:right w:val="nil"/>
          <w:between w:val="nil"/>
        </w:pBdr>
        <w:spacing w:after="120" w:line="276" w:lineRule="auto"/>
        <w:rPr>
          <w:rFonts w:eastAsia="Georgia" w:cs="Georgia"/>
          <w:color w:val="000000"/>
          <w:sz w:val="20"/>
          <w:szCs w:val="20"/>
        </w:rPr>
      </w:pPr>
    </w:p>
    <w:p w14:paraId="6E06A7EA" w14:textId="77777777" w:rsidR="009B0E9D" w:rsidRDefault="009B0E9D" w:rsidP="009B0E9D">
      <w:pPr>
        <w:spacing w:after="160" w:line="259" w:lineRule="auto"/>
        <w:rPr>
          <w:rFonts w:eastAsia="Georgia" w:cs="Georgia"/>
          <w:color w:val="000000"/>
          <w:sz w:val="20"/>
          <w:szCs w:val="20"/>
        </w:rPr>
      </w:pPr>
    </w:p>
    <w:p w14:paraId="1064B6BE" w14:textId="77777777" w:rsidR="009B0E9D" w:rsidRDefault="009B0E9D" w:rsidP="009B0E9D">
      <w:pPr>
        <w:spacing w:after="160" w:line="259" w:lineRule="auto"/>
        <w:rPr>
          <w:rFonts w:eastAsia="Georgia" w:cs="Georgia"/>
          <w:color w:val="000000"/>
          <w:sz w:val="20"/>
          <w:szCs w:val="20"/>
        </w:rPr>
      </w:pPr>
    </w:p>
    <w:p w14:paraId="02C35EE2" w14:textId="77777777" w:rsidR="009B0E9D" w:rsidRDefault="009B0E9D" w:rsidP="009B0E9D">
      <w:pPr>
        <w:spacing w:after="160" w:line="259" w:lineRule="auto"/>
        <w:rPr>
          <w:rFonts w:eastAsia="Georgia" w:cs="Georgia"/>
          <w:color w:val="000000"/>
          <w:sz w:val="20"/>
          <w:szCs w:val="20"/>
        </w:rPr>
      </w:pPr>
    </w:p>
    <w:p w14:paraId="6F7B0DA2" w14:textId="77777777" w:rsidR="009B0E9D" w:rsidRDefault="009B0E9D" w:rsidP="009B0E9D">
      <w:pPr>
        <w:spacing w:after="160" w:line="259" w:lineRule="auto"/>
        <w:rPr>
          <w:rFonts w:eastAsia="Georgia" w:cs="Georgia"/>
          <w:color w:val="000000"/>
          <w:sz w:val="20"/>
          <w:szCs w:val="20"/>
        </w:rPr>
      </w:pPr>
    </w:p>
    <w:p w14:paraId="5EC6FE41" w14:textId="77777777" w:rsidR="009B0E9D" w:rsidRDefault="009B0E9D" w:rsidP="009B0E9D">
      <w:pPr>
        <w:spacing w:after="160" w:line="259" w:lineRule="auto"/>
        <w:rPr>
          <w:rFonts w:eastAsia="Georgia" w:cs="Georgia"/>
          <w:color w:val="000000"/>
          <w:sz w:val="20"/>
          <w:szCs w:val="20"/>
        </w:rPr>
      </w:pPr>
    </w:p>
    <w:p w14:paraId="1314EDF1" w14:textId="77777777" w:rsidR="009B0E9D" w:rsidRDefault="009B0E9D" w:rsidP="009B0E9D">
      <w:pPr>
        <w:spacing w:after="160" w:line="259" w:lineRule="auto"/>
        <w:rPr>
          <w:rFonts w:eastAsia="Georgia" w:cs="Georgia"/>
          <w:color w:val="000000"/>
          <w:sz w:val="20"/>
          <w:szCs w:val="20"/>
        </w:rPr>
      </w:pPr>
    </w:p>
    <w:p w14:paraId="24F8E05D" w14:textId="77777777" w:rsidR="009B0E9D" w:rsidRDefault="009B0E9D" w:rsidP="009B0E9D">
      <w:pPr>
        <w:spacing w:after="160" w:line="259" w:lineRule="auto"/>
        <w:rPr>
          <w:rFonts w:eastAsia="Georgia" w:cs="Georgia"/>
          <w:color w:val="000000"/>
          <w:sz w:val="20"/>
          <w:szCs w:val="20"/>
        </w:rPr>
      </w:pPr>
    </w:p>
    <w:p w14:paraId="7AC410E5" w14:textId="77777777" w:rsidR="009B0E9D" w:rsidRDefault="009B0E9D" w:rsidP="009B0E9D">
      <w:pPr>
        <w:spacing w:after="160" w:line="259" w:lineRule="auto"/>
        <w:rPr>
          <w:rFonts w:eastAsia="Georgia" w:cs="Georgia"/>
          <w:color w:val="000000"/>
          <w:sz w:val="20"/>
          <w:szCs w:val="20"/>
        </w:rPr>
      </w:pPr>
    </w:p>
    <w:p w14:paraId="4EC91B79" w14:textId="77777777" w:rsidR="009B0E9D" w:rsidRDefault="009B0E9D" w:rsidP="009B0E9D">
      <w:pPr>
        <w:spacing w:after="160" w:line="259" w:lineRule="auto"/>
        <w:rPr>
          <w:rFonts w:eastAsia="Georgia" w:cs="Georgia"/>
          <w:color w:val="000000"/>
          <w:sz w:val="20"/>
          <w:szCs w:val="20"/>
        </w:rPr>
      </w:pPr>
    </w:p>
    <w:p w14:paraId="142FDB95" w14:textId="77777777" w:rsidR="009B0E9D" w:rsidRDefault="009B0E9D" w:rsidP="009B0E9D">
      <w:pPr>
        <w:spacing w:after="160" w:line="259" w:lineRule="auto"/>
        <w:rPr>
          <w:rFonts w:eastAsia="Georgia" w:cs="Georgia"/>
          <w:color w:val="000000"/>
          <w:sz w:val="20"/>
          <w:szCs w:val="20"/>
        </w:rPr>
      </w:pPr>
    </w:p>
    <w:p w14:paraId="0B07A8D1" w14:textId="77777777" w:rsidR="009B0E9D" w:rsidRDefault="009B0E9D" w:rsidP="009B0E9D">
      <w:pPr>
        <w:spacing w:after="160" w:line="259" w:lineRule="auto"/>
        <w:rPr>
          <w:rFonts w:eastAsia="Georgia" w:cs="Georgia"/>
          <w:color w:val="000000"/>
          <w:sz w:val="20"/>
          <w:szCs w:val="20"/>
        </w:rPr>
      </w:pPr>
    </w:p>
    <w:p w14:paraId="3FE40A8E" w14:textId="77777777" w:rsidR="009B0E9D" w:rsidRDefault="009B0E9D" w:rsidP="009B0E9D">
      <w:pPr>
        <w:spacing w:after="160" w:line="259" w:lineRule="auto"/>
        <w:rPr>
          <w:rFonts w:eastAsia="Georgia" w:cs="Georgia"/>
          <w:color w:val="000000"/>
          <w:sz w:val="20"/>
          <w:szCs w:val="20"/>
        </w:rPr>
      </w:pPr>
    </w:p>
    <w:p w14:paraId="2A75BF01" w14:textId="77777777" w:rsidR="009B0E9D" w:rsidRDefault="009B0E9D" w:rsidP="009B0E9D">
      <w:pPr>
        <w:spacing w:after="160" w:line="259" w:lineRule="auto"/>
        <w:rPr>
          <w:rFonts w:eastAsia="Georgia" w:cs="Georgia"/>
          <w:color w:val="000000"/>
          <w:sz w:val="20"/>
          <w:szCs w:val="20"/>
        </w:rPr>
      </w:pPr>
    </w:p>
    <w:p w14:paraId="022D65E7" w14:textId="77777777" w:rsidR="009B0E9D" w:rsidRDefault="009B0E9D" w:rsidP="009B0E9D">
      <w:pPr>
        <w:spacing w:after="160" w:line="259" w:lineRule="auto"/>
        <w:rPr>
          <w:rFonts w:eastAsia="Georgia" w:cs="Georgia"/>
          <w:color w:val="000000"/>
          <w:sz w:val="20"/>
          <w:szCs w:val="20"/>
        </w:rPr>
      </w:pPr>
    </w:p>
    <w:p w14:paraId="22AB0EE9" w14:textId="77777777" w:rsidR="009B0E9D" w:rsidRDefault="009B0E9D" w:rsidP="009B0E9D">
      <w:pPr>
        <w:spacing w:after="160" w:line="259" w:lineRule="auto"/>
        <w:rPr>
          <w:rFonts w:eastAsia="Georgia" w:cs="Georgia"/>
          <w:color w:val="000000"/>
          <w:sz w:val="20"/>
          <w:szCs w:val="20"/>
        </w:rPr>
      </w:pPr>
    </w:p>
    <w:p w14:paraId="1767B8C5" w14:textId="77777777" w:rsidR="009B0E9D" w:rsidRDefault="009B0E9D" w:rsidP="009B0E9D">
      <w:pPr>
        <w:spacing w:after="160" w:line="259" w:lineRule="auto"/>
        <w:rPr>
          <w:rFonts w:eastAsia="Georgia" w:cs="Georgia"/>
          <w:color w:val="000000"/>
          <w:sz w:val="20"/>
          <w:szCs w:val="20"/>
        </w:rPr>
      </w:pPr>
    </w:p>
    <w:p w14:paraId="012829EC" w14:textId="77777777" w:rsidR="009B0E9D" w:rsidRDefault="009B0E9D" w:rsidP="009B0E9D">
      <w:pPr>
        <w:spacing w:after="160" w:line="259" w:lineRule="auto"/>
        <w:rPr>
          <w:rFonts w:eastAsia="Georgia" w:cs="Georgia"/>
          <w:color w:val="000000"/>
          <w:sz w:val="20"/>
          <w:szCs w:val="20"/>
        </w:rPr>
      </w:pPr>
    </w:p>
    <w:p w14:paraId="7CDCF9BA" w14:textId="42DF0E42" w:rsidR="009B0E9D" w:rsidRDefault="009B0E9D" w:rsidP="009B0E9D">
      <w:pPr>
        <w:spacing w:after="160" w:line="259" w:lineRule="auto"/>
        <w:rPr>
          <w:rFonts w:eastAsia="Georgia" w:cs="Georgia"/>
          <w:color w:val="000000"/>
          <w:sz w:val="20"/>
          <w:szCs w:val="20"/>
        </w:rPr>
      </w:pPr>
    </w:p>
    <w:p w14:paraId="0232DA1D" w14:textId="73E63FBB" w:rsidR="005D6EAC" w:rsidRDefault="005D6EAC" w:rsidP="009B0E9D">
      <w:pPr>
        <w:spacing w:after="160" w:line="259" w:lineRule="auto"/>
        <w:rPr>
          <w:rFonts w:eastAsia="Georgia" w:cs="Georgia"/>
          <w:color w:val="000000"/>
          <w:sz w:val="20"/>
          <w:szCs w:val="20"/>
        </w:rPr>
      </w:pPr>
    </w:p>
    <w:p w14:paraId="1DCBC2E2" w14:textId="77777777" w:rsidR="005D6EAC" w:rsidRDefault="005D6EAC" w:rsidP="009B0E9D">
      <w:pPr>
        <w:spacing w:after="160" w:line="259" w:lineRule="auto"/>
        <w:rPr>
          <w:rFonts w:eastAsia="Georgia" w:cs="Georgia"/>
          <w:color w:val="000000"/>
          <w:sz w:val="20"/>
          <w:szCs w:val="20"/>
        </w:rPr>
      </w:pPr>
    </w:p>
    <w:p w14:paraId="44656136" w14:textId="77777777" w:rsidR="009B0E9D" w:rsidRPr="003E0B7B" w:rsidRDefault="009B0E9D" w:rsidP="007D2710">
      <w:pPr>
        <w:widowControl w:val="0"/>
        <w:spacing w:line="312" w:lineRule="auto"/>
        <w:jc w:val="both"/>
        <w:rPr>
          <w:iCs/>
        </w:rPr>
      </w:pPr>
      <w:r w:rsidRPr="003E0B7B">
        <w:rPr>
          <w:iCs/>
        </w:rPr>
        <w:t>Upozornění: Tato studie reprezentuje pouze názory autora, a nikoli oficiální stanovisko Národohospodářského ústavu AV ČR, v. v. i. či Centra pro ekonomický výzkum a doktorské studium Univerzity Karlovy, CERGE.</w:t>
      </w:r>
    </w:p>
    <w:p w14:paraId="004F37C0" w14:textId="77777777" w:rsidR="009B0E9D" w:rsidRPr="003E0B7B" w:rsidRDefault="009B0E9D" w:rsidP="007D2710">
      <w:pPr>
        <w:widowControl w:val="0"/>
        <w:spacing w:line="312" w:lineRule="auto"/>
        <w:jc w:val="both"/>
        <w:rPr>
          <w:iCs/>
        </w:rPr>
      </w:pPr>
      <w:proofErr w:type="spellStart"/>
      <w:r w:rsidRPr="003E0B7B">
        <w:rPr>
          <w:iCs/>
        </w:rPr>
        <w:t>Warning</w:t>
      </w:r>
      <w:proofErr w:type="spellEnd"/>
      <w:r w:rsidRPr="003E0B7B">
        <w:rPr>
          <w:iCs/>
        </w:rPr>
        <w:t xml:space="preserve">: </w:t>
      </w:r>
      <w:proofErr w:type="spellStart"/>
      <w:r w:rsidRPr="003E0B7B">
        <w:rPr>
          <w:iCs/>
        </w:rPr>
        <w:t>This</w:t>
      </w:r>
      <w:proofErr w:type="spellEnd"/>
      <w:r w:rsidRPr="003E0B7B">
        <w:rPr>
          <w:iCs/>
        </w:rPr>
        <w:t xml:space="preserve"> study </w:t>
      </w:r>
      <w:proofErr w:type="spellStart"/>
      <w:r w:rsidRPr="003E0B7B">
        <w:rPr>
          <w:iCs/>
        </w:rPr>
        <w:t>represents</w:t>
      </w:r>
      <w:proofErr w:type="spellEnd"/>
      <w:r w:rsidRPr="003E0B7B">
        <w:rPr>
          <w:iCs/>
        </w:rPr>
        <w:t xml:space="preserve"> </w:t>
      </w:r>
      <w:proofErr w:type="spellStart"/>
      <w:r w:rsidRPr="003E0B7B">
        <w:rPr>
          <w:iCs/>
        </w:rPr>
        <w:t>only</w:t>
      </w:r>
      <w:proofErr w:type="spellEnd"/>
      <w:r w:rsidRPr="003E0B7B">
        <w:rPr>
          <w:iCs/>
        </w:rPr>
        <w:t xml:space="preserve"> </w:t>
      </w:r>
      <w:proofErr w:type="spellStart"/>
      <w:r w:rsidRPr="003E0B7B">
        <w:rPr>
          <w:iCs/>
        </w:rPr>
        <w:t>the</w:t>
      </w:r>
      <w:proofErr w:type="spellEnd"/>
      <w:r w:rsidRPr="003E0B7B">
        <w:rPr>
          <w:iCs/>
        </w:rPr>
        <w:t xml:space="preserve"> </w:t>
      </w:r>
      <w:proofErr w:type="spellStart"/>
      <w:r w:rsidRPr="003E0B7B">
        <w:rPr>
          <w:iCs/>
        </w:rPr>
        <w:t>views</w:t>
      </w:r>
      <w:proofErr w:type="spellEnd"/>
      <w:r w:rsidRPr="003E0B7B">
        <w:rPr>
          <w:iCs/>
        </w:rPr>
        <w:t xml:space="preserve"> </w:t>
      </w:r>
      <w:proofErr w:type="spellStart"/>
      <w:r w:rsidRPr="003E0B7B">
        <w:rPr>
          <w:iCs/>
        </w:rPr>
        <w:t>of</w:t>
      </w:r>
      <w:proofErr w:type="spellEnd"/>
      <w:r w:rsidRPr="003E0B7B">
        <w:rPr>
          <w:iCs/>
        </w:rPr>
        <w:t xml:space="preserve"> </w:t>
      </w:r>
      <w:proofErr w:type="spellStart"/>
      <w:r w:rsidRPr="003E0B7B">
        <w:rPr>
          <w:iCs/>
        </w:rPr>
        <w:t>the</w:t>
      </w:r>
      <w:proofErr w:type="spellEnd"/>
      <w:r w:rsidRPr="003E0B7B">
        <w:rPr>
          <w:iCs/>
        </w:rPr>
        <w:t xml:space="preserve"> </w:t>
      </w:r>
      <w:proofErr w:type="spellStart"/>
      <w:r w:rsidRPr="003E0B7B">
        <w:rPr>
          <w:iCs/>
        </w:rPr>
        <w:t>authors</w:t>
      </w:r>
      <w:proofErr w:type="spellEnd"/>
      <w:r w:rsidRPr="003E0B7B">
        <w:rPr>
          <w:iCs/>
        </w:rPr>
        <w:t xml:space="preserve"> and not </w:t>
      </w:r>
      <w:proofErr w:type="spellStart"/>
      <w:r w:rsidRPr="003E0B7B">
        <w:rPr>
          <w:iCs/>
        </w:rPr>
        <w:t>the</w:t>
      </w:r>
      <w:proofErr w:type="spellEnd"/>
      <w:r w:rsidRPr="003E0B7B">
        <w:rPr>
          <w:iCs/>
        </w:rPr>
        <w:t xml:space="preserve"> </w:t>
      </w:r>
      <w:proofErr w:type="spellStart"/>
      <w:r w:rsidRPr="003E0B7B">
        <w:rPr>
          <w:iCs/>
        </w:rPr>
        <w:t>official</w:t>
      </w:r>
      <w:proofErr w:type="spellEnd"/>
      <w:r w:rsidRPr="003E0B7B">
        <w:rPr>
          <w:iCs/>
        </w:rPr>
        <w:t xml:space="preserve"> </w:t>
      </w:r>
      <w:proofErr w:type="spellStart"/>
      <w:r w:rsidRPr="003E0B7B">
        <w:rPr>
          <w:iCs/>
        </w:rPr>
        <w:t>position</w:t>
      </w:r>
      <w:proofErr w:type="spellEnd"/>
      <w:r w:rsidRPr="003E0B7B">
        <w:rPr>
          <w:iCs/>
        </w:rPr>
        <w:t xml:space="preserve"> </w:t>
      </w:r>
      <w:proofErr w:type="spellStart"/>
      <w:r w:rsidRPr="003E0B7B">
        <w:rPr>
          <w:iCs/>
        </w:rPr>
        <w:t>of</w:t>
      </w:r>
      <w:proofErr w:type="spellEnd"/>
      <w:r w:rsidRPr="003E0B7B">
        <w:rPr>
          <w:iCs/>
        </w:rPr>
        <w:t> </w:t>
      </w:r>
      <w:proofErr w:type="spellStart"/>
      <w:r w:rsidRPr="003E0B7B">
        <w:rPr>
          <w:iCs/>
        </w:rPr>
        <w:t>the</w:t>
      </w:r>
      <w:proofErr w:type="spellEnd"/>
      <w:r w:rsidRPr="003E0B7B">
        <w:rPr>
          <w:iCs/>
        </w:rPr>
        <w:t> </w:t>
      </w:r>
      <w:proofErr w:type="spellStart"/>
      <w:r w:rsidRPr="003E0B7B">
        <w:rPr>
          <w:iCs/>
        </w:rPr>
        <w:t>Economics</w:t>
      </w:r>
      <w:proofErr w:type="spellEnd"/>
      <w:r w:rsidRPr="003E0B7B">
        <w:rPr>
          <w:iCs/>
        </w:rPr>
        <w:t xml:space="preserve"> Institute </w:t>
      </w:r>
      <w:proofErr w:type="spellStart"/>
      <w:r w:rsidRPr="003E0B7B">
        <w:rPr>
          <w:iCs/>
        </w:rPr>
        <w:t>of</w:t>
      </w:r>
      <w:proofErr w:type="spellEnd"/>
      <w:r w:rsidRPr="003E0B7B">
        <w:rPr>
          <w:iCs/>
        </w:rPr>
        <w:t xml:space="preserve"> </w:t>
      </w:r>
      <w:proofErr w:type="spellStart"/>
      <w:r w:rsidRPr="003E0B7B">
        <w:rPr>
          <w:iCs/>
        </w:rPr>
        <w:t>the</w:t>
      </w:r>
      <w:proofErr w:type="spellEnd"/>
      <w:r w:rsidRPr="003E0B7B">
        <w:rPr>
          <w:iCs/>
        </w:rPr>
        <w:t xml:space="preserve"> Czech </w:t>
      </w:r>
      <w:proofErr w:type="spellStart"/>
      <w:r w:rsidRPr="003E0B7B">
        <w:rPr>
          <w:iCs/>
        </w:rPr>
        <w:t>Academy</w:t>
      </w:r>
      <w:proofErr w:type="spellEnd"/>
      <w:r w:rsidRPr="003E0B7B">
        <w:rPr>
          <w:iCs/>
        </w:rPr>
        <w:t xml:space="preserve"> </w:t>
      </w:r>
      <w:proofErr w:type="spellStart"/>
      <w:r w:rsidRPr="003E0B7B">
        <w:rPr>
          <w:iCs/>
        </w:rPr>
        <w:t>of</w:t>
      </w:r>
      <w:proofErr w:type="spellEnd"/>
      <w:r w:rsidRPr="003E0B7B">
        <w:rPr>
          <w:iCs/>
        </w:rPr>
        <w:t xml:space="preserve"> </w:t>
      </w:r>
      <w:proofErr w:type="spellStart"/>
      <w:r w:rsidRPr="003E0B7B">
        <w:rPr>
          <w:iCs/>
        </w:rPr>
        <w:t>Sciences</w:t>
      </w:r>
      <w:proofErr w:type="spellEnd"/>
      <w:r w:rsidRPr="003E0B7B">
        <w:rPr>
          <w:iCs/>
        </w:rPr>
        <w:t xml:space="preserve">, v. v. i. as </w:t>
      </w:r>
      <w:proofErr w:type="spellStart"/>
      <w:r w:rsidRPr="003E0B7B">
        <w:rPr>
          <w:iCs/>
        </w:rPr>
        <w:t>well</w:t>
      </w:r>
      <w:proofErr w:type="spellEnd"/>
      <w:r w:rsidRPr="003E0B7B">
        <w:rPr>
          <w:iCs/>
        </w:rPr>
        <w:t xml:space="preserve"> as </w:t>
      </w:r>
      <w:proofErr w:type="spellStart"/>
      <w:r w:rsidRPr="003E0B7B">
        <w:rPr>
          <w:iCs/>
        </w:rPr>
        <w:t>the</w:t>
      </w:r>
      <w:proofErr w:type="spellEnd"/>
      <w:r w:rsidRPr="003E0B7B">
        <w:rPr>
          <w:iCs/>
        </w:rPr>
        <w:t xml:space="preserve"> Charles University, Center </w:t>
      </w:r>
      <w:proofErr w:type="spellStart"/>
      <w:r w:rsidRPr="003E0B7B">
        <w:rPr>
          <w:iCs/>
        </w:rPr>
        <w:t>for</w:t>
      </w:r>
      <w:proofErr w:type="spellEnd"/>
      <w:r w:rsidRPr="003E0B7B">
        <w:rPr>
          <w:iCs/>
        </w:rPr>
        <w:t xml:space="preserve"> </w:t>
      </w:r>
      <w:proofErr w:type="spellStart"/>
      <w:r w:rsidRPr="003E0B7B">
        <w:rPr>
          <w:iCs/>
        </w:rPr>
        <w:t>Economic</w:t>
      </w:r>
      <w:proofErr w:type="spellEnd"/>
      <w:r w:rsidRPr="003E0B7B">
        <w:rPr>
          <w:iCs/>
        </w:rPr>
        <w:t xml:space="preserve"> </w:t>
      </w:r>
      <w:proofErr w:type="spellStart"/>
      <w:r w:rsidRPr="003E0B7B">
        <w:rPr>
          <w:iCs/>
        </w:rPr>
        <w:t>Research</w:t>
      </w:r>
      <w:proofErr w:type="spellEnd"/>
      <w:r w:rsidRPr="003E0B7B">
        <w:rPr>
          <w:iCs/>
        </w:rPr>
        <w:t xml:space="preserve"> and </w:t>
      </w:r>
      <w:proofErr w:type="spellStart"/>
      <w:r w:rsidRPr="003E0B7B">
        <w:rPr>
          <w:iCs/>
        </w:rPr>
        <w:t>Graduate</w:t>
      </w:r>
      <w:proofErr w:type="spellEnd"/>
      <w:r w:rsidRPr="003E0B7B">
        <w:rPr>
          <w:iCs/>
        </w:rPr>
        <w:t xml:space="preserve"> </w:t>
      </w:r>
      <w:proofErr w:type="spellStart"/>
      <w:r w:rsidRPr="003E0B7B">
        <w:rPr>
          <w:iCs/>
        </w:rPr>
        <w:t>Education</w:t>
      </w:r>
      <w:proofErr w:type="spellEnd"/>
      <w:r w:rsidRPr="003E0B7B">
        <w:rPr>
          <w:iCs/>
        </w:rPr>
        <w:t>.</w:t>
      </w:r>
    </w:p>
    <w:p w14:paraId="7A1A8023" w14:textId="042ADD35" w:rsidR="009B0E9D" w:rsidRPr="003E0B7B" w:rsidRDefault="009B0E9D" w:rsidP="009B0E9D">
      <w:pPr>
        <w:widowControl w:val="0"/>
        <w:rPr>
          <w:iCs/>
        </w:rPr>
      </w:pPr>
      <w:r>
        <w:rPr>
          <w:iCs/>
        </w:rPr>
        <w:t>Kolik nás může pracovat z</w:t>
      </w:r>
      <w:r w:rsidR="007D2710">
        <w:rPr>
          <w:iCs/>
        </w:rPr>
        <w:t> </w:t>
      </w:r>
      <w:r>
        <w:rPr>
          <w:iCs/>
        </w:rPr>
        <w:t>domova</w:t>
      </w:r>
      <w:r w:rsidR="007D2710">
        <w:rPr>
          <w:iCs/>
        </w:rPr>
        <w:t>?</w:t>
      </w:r>
    </w:p>
    <w:p w14:paraId="65B2B22E" w14:textId="3C0987F1" w:rsidR="009B0E9D" w:rsidRPr="003E0B7B" w:rsidRDefault="009B0E9D" w:rsidP="009B0E9D">
      <w:pPr>
        <w:widowControl w:val="0"/>
        <w:rPr>
          <w:iCs/>
        </w:rPr>
      </w:pPr>
      <w:r w:rsidRPr="003E0B7B">
        <w:rPr>
          <w:iCs/>
        </w:rPr>
        <w:t xml:space="preserve">Studie IDEA anti COVID-19 # </w:t>
      </w:r>
      <w:r>
        <w:rPr>
          <w:iCs/>
        </w:rPr>
        <w:t xml:space="preserve">23 </w:t>
      </w:r>
      <w:r w:rsidRPr="003E0B7B">
        <w:rPr>
          <w:iCs/>
        </w:rPr>
        <w:t>/ 2020</w:t>
      </w:r>
    </w:p>
    <w:p w14:paraId="136A737E" w14:textId="3D3EB316" w:rsidR="009B0E9D" w:rsidRPr="003E0B7B" w:rsidRDefault="009B0E9D" w:rsidP="009B0E9D">
      <w:pPr>
        <w:widowControl w:val="0"/>
      </w:pPr>
      <w:r>
        <w:t>© Matěj Bajgar, Petr Janský, Marek Šedivý</w:t>
      </w:r>
    </w:p>
    <w:p w14:paraId="75DD6803" w14:textId="77777777" w:rsidR="009B0E9D" w:rsidRPr="003E0B7B" w:rsidRDefault="009B0E9D" w:rsidP="009B0E9D">
      <w:pPr>
        <w:widowControl w:val="0"/>
      </w:pPr>
      <w:r w:rsidRPr="003E0B7B">
        <w:t>Národohospodářský ústav AV ČR, v. v. i., 2020</w:t>
      </w:r>
    </w:p>
    <w:p w14:paraId="5DC015EE" w14:textId="2198DC37" w:rsidR="00BD67FF" w:rsidRDefault="009B0E9D" w:rsidP="009B0E9D">
      <w:pPr>
        <w:tabs>
          <w:tab w:val="decimal" w:pos="142"/>
        </w:tabs>
        <w:suppressAutoHyphens/>
        <w:ind w:left="426" w:hanging="426"/>
      </w:pPr>
      <w:r w:rsidRPr="003E0B7B">
        <w:t>ISBN 978-80-7344-5</w:t>
      </w:r>
      <w:r>
        <w:t>41</w:t>
      </w:r>
      <w:r w:rsidRPr="003E0B7B">
        <w:t>-</w:t>
      </w:r>
      <w:r>
        <w:t>6</w:t>
      </w:r>
      <w:r w:rsidRPr="003E0B7B">
        <w:t xml:space="preserve"> (Národohospodářský ústav AV ČR, v. v. i.)</w:t>
      </w:r>
    </w:p>
    <w:sectPr w:rsidR="00BD67FF" w:rsidSect="001F36C6">
      <w:headerReference w:type="default" r:id="rId48"/>
      <w:footerReference w:type="default" r:id="rId49"/>
      <w:headerReference w:type="first" r:id="rId50"/>
      <w:footerReference w:type="first" r:id="rId51"/>
      <w:pgSz w:w="11906" w:h="16838" w:code="9"/>
      <w:pgMar w:top="1247" w:right="1247" w:bottom="1247" w:left="1247"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3EAA5" w14:textId="77777777" w:rsidR="008A1560" w:rsidRDefault="008A1560" w:rsidP="009D3AC0">
      <w:pPr>
        <w:spacing w:after="0" w:line="240" w:lineRule="auto"/>
      </w:pPr>
      <w:r>
        <w:separator/>
      </w:r>
    </w:p>
  </w:endnote>
  <w:endnote w:type="continuationSeparator" w:id="0">
    <w:p w14:paraId="6745FE23" w14:textId="77777777" w:rsidR="008A1560" w:rsidRDefault="008A1560" w:rsidP="009D3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121001"/>
      <w:docPartObj>
        <w:docPartGallery w:val="Page Numbers (Bottom of Page)"/>
        <w:docPartUnique/>
      </w:docPartObj>
    </w:sdtPr>
    <w:sdtEndPr/>
    <w:sdtContent>
      <w:p w14:paraId="66BB5873" w14:textId="685C41AE" w:rsidR="008223EA" w:rsidRDefault="008223EA" w:rsidP="004350A4">
        <w:pPr>
          <w:pStyle w:val="Footer"/>
          <w:jc w:val="center"/>
        </w:pPr>
        <w:r>
          <w:fldChar w:fldCharType="begin"/>
        </w:r>
        <w:r>
          <w:instrText>PAGE   \* MERGEFORMAT</w:instrText>
        </w:r>
        <w:r>
          <w:fldChar w:fldCharType="separate"/>
        </w:r>
        <w:r>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8481179"/>
      <w:docPartObj>
        <w:docPartGallery w:val="Page Numbers (Bottom of Page)"/>
        <w:docPartUnique/>
      </w:docPartObj>
    </w:sdtPr>
    <w:sdtEndPr/>
    <w:sdtContent>
      <w:p w14:paraId="1B1C2C3A" w14:textId="19303108" w:rsidR="008223EA" w:rsidRDefault="008223EA" w:rsidP="004350A4">
        <w:pPr>
          <w:pStyle w:val="Footer"/>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247BC" w14:textId="77777777" w:rsidR="008A1560" w:rsidRDefault="008A1560" w:rsidP="009D3AC0">
      <w:pPr>
        <w:spacing w:after="0" w:line="240" w:lineRule="auto"/>
      </w:pPr>
      <w:r>
        <w:separator/>
      </w:r>
    </w:p>
  </w:footnote>
  <w:footnote w:type="continuationSeparator" w:id="0">
    <w:p w14:paraId="2518FC5B" w14:textId="77777777" w:rsidR="008A1560" w:rsidRDefault="008A1560" w:rsidP="009D3AC0">
      <w:pPr>
        <w:spacing w:after="0" w:line="240" w:lineRule="auto"/>
      </w:pPr>
      <w:r>
        <w:continuationSeparator/>
      </w:r>
    </w:p>
  </w:footnote>
  <w:footnote w:id="1">
    <w:p w14:paraId="094C0587" w14:textId="3D7D5613" w:rsidR="008223EA" w:rsidRPr="00D54A04" w:rsidRDefault="008223EA" w:rsidP="00E345C9">
      <w:pPr>
        <w:pStyle w:val="FootnoteText"/>
      </w:pPr>
      <w:r w:rsidRPr="00D54A04">
        <w:rPr>
          <w:rStyle w:val="FootnoteReference"/>
        </w:rPr>
        <w:footnoteRef/>
      </w:r>
      <w:r w:rsidRPr="00D54A04">
        <w:t xml:space="preserve"> </w:t>
      </w:r>
      <w:r w:rsidRPr="00B76C8E">
        <w:rPr>
          <w:rFonts w:eastAsia="Georgia" w:cs="Georgia"/>
          <w:color w:val="000000"/>
          <w:szCs w:val="18"/>
        </w:rPr>
        <w:t>Tato studie reprezentuje pouze názor</w:t>
      </w:r>
      <w:r>
        <w:rPr>
          <w:rFonts w:eastAsia="Georgia" w:cs="Georgia"/>
          <w:color w:val="000000"/>
          <w:szCs w:val="18"/>
        </w:rPr>
        <w:t>y</w:t>
      </w:r>
      <w:r w:rsidRPr="00B76C8E">
        <w:rPr>
          <w:rFonts w:eastAsia="Georgia" w:cs="Georgia"/>
          <w:color w:val="000000"/>
          <w:szCs w:val="18"/>
        </w:rPr>
        <w:t xml:space="preserve"> autor</w:t>
      </w:r>
      <w:r>
        <w:rPr>
          <w:rFonts w:eastAsia="Georgia" w:cs="Georgia"/>
          <w:color w:val="000000"/>
          <w:szCs w:val="18"/>
        </w:rPr>
        <w:t>ů</w:t>
      </w:r>
      <w:r w:rsidRPr="00B76C8E">
        <w:rPr>
          <w:rFonts w:eastAsia="Georgia" w:cs="Georgia"/>
          <w:color w:val="000000"/>
          <w:szCs w:val="18"/>
        </w:rPr>
        <w:t>, a nikoli oficiální stanovisko Národohospodářského ústavu AV ČR, v.</w:t>
      </w:r>
      <w:r>
        <w:rPr>
          <w:rFonts w:eastAsia="Georgia" w:cs="Georgia"/>
          <w:color w:val="000000"/>
          <w:szCs w:val="18"/>
        </w:rPr>
        <w:t> </w:t>
      </w:r>
      <w:r w:rsidRPr="00B76C8E">
        <w:rPr>
          <w:rFonts w:eastAsia="Georgia" w:cs="Georgia"/>
          <w:color w:val="000000"/>
          <w:szCs w:val="18"/>
        </w:rPr>
        <w:t>v.</w:t>
      </w:r>
      <w:r>
        <w:rPr>
          <w:rFonts w:eastAsia="Georgia" w:cs="Georgia"/>
          <w:color w:val="000000"/>
          <w:szCs w:val="18"/>
        </w:rPr>
        <w:t> </w:t>
      </w:r>
      <w:r w:rsidRPr="00B76C8E">
        <w:rPr>
          <w:rFonts w:eastAsia="Georgia" w:cs="Georgia"/>
          <w:color w:val="000000"/>
          <w:szCs w:val="18"/>
        </w:rPr>
        <w:t>i. či Centra pro ekonomický výzkum a doktorské studium UK (CERGE). Za cenné komentáře a rady auto</w:t>
      </w:r>
      <w:r>
        <w:rPr>
          <w:rFonts w:eastAsia="Georgia" w:cs="Georgia"/>
          <w:color w:val="000000"/>
          <w:szCs w:val="18"/>
        </w:rPr>
        <w:t>ři</w:t>
      </w:r>
      <w:r w:rsidRPr="00B76C8E">
        <w:rPr>
          <w:rFonts w:eastAsia="Georgia" w:cs="Georgia"/>
          <w:color w:val="000000"/>
          <w:szCs w:val="18"/>
        </w:rPr>
        <w:t xml:space="preserve"> děkuj</w:t>
      </w:r>
      <w:r>
        <w:rPr>
          <w:rFonts w:eastAsia="Georgia" w:cs="Georgia"/>
          <w:color w:val="000000"/>
          <w:szCs w:val="18"/>
        </w:rPr>
        <w:t>í</w:t>
      </w:r>
      <w:r w:rsidRPr="00B76C8E">
        <w:rPr>
          <w:rFonts w:eastAsia="Georgia" w:cs="Georgia"/>
          <w:color w:val="000000"/>
          <w:szCs w:val="18"/>
        </w:rPr>
        <w:t xml:space="preserve"> </w:t>
      </w:r>
      <w:r>
        <w:rPr>
          <w:rFonts w:eastAsia="Georgia" w:cs="Georgia"/>
          <w:color w:val="000000"/>
          <w:szCs w:val="18"/>
        </w:rPr>
        <w:t xml:space="preserve">Danielu </w:t>
      </w:r>
      <w:proofErr w:type="spellStart"/>
      <w:r>
        <w:rPr>
          <w:rFonts w:eastAsia="Georgia" w:cs="Georgia"/>
          <w:color w:val="000000"/>
          <w:szCs w:val="18"/>
        </w:rPr>
        <w:t>Münichovi</w:t>
      </w:r>
      <w:proofErr w:type="spellEnd"/>
      <w:r>
        <w:rPr>
          <w:rFonts w:eastAsia="Georgia" w:cs="Georgia"/>
          <w:color w:val="000000"/>
          <w:szCs w:val="18"/>
        </w:rPr>
        <w:t>.</w:t>
      </w:r>
      <w:r w:rsidRPr="00B76C8E">
        <w:rPr>
          <w:rFonts w:eastAsia="Georgia" w:cs="Georgia"/>
          <w:color w:val="000000"/>
          <w:szCs w:val="18"/>
        </w:rPr>
        <w:t xml:space="preserve"> Studie byla vydána i díky podpoře Akademie</w:t>
      </w:r>
      <w:r>
        <w:rPr>
          <w:rFonts w:eastAsia="Georgia" w:cs="Georgia"/>
          <w:color w:val="000000"/>
          <w:szCs w:val="18"/>
        </w:rPr>
        <w:t xml:space="preserve"> </w:t>
      </w:r>
      <w:r w:rsidRPr="00B76C8E">
        <w:rPr>
          <w:rFonts w:eastAsia="Georgia" w:cs="Georgia"/>
          <w:color w:val="000000"/>
          <w:szCs w:val="18"/>
        </w:rPr>
        <w:t xml:space="preserve">věd ČR </w:t>
      </w:r>
      <w:r>
        <w:rPr>
          <w:rFonts w:eastAsia="Georgia" w:cs="Georgia"/>
          <w:color w:val="000000"/>
          <w:szCs w:val="18"/>
        </w:rPr>
        <w:t>v rámci programu Strategie AV21 a</w:t>
      </w:r>
      <w:r w:rsidRPr="00B76C8E">
        <w:rPr>
          <w:rFonts w:eastAsia="Georgia" w:cs="Georgia"/>
          <w:color w:val="000000"/>
          <w:szCs w:val="18"/>
        </w:rPr>
        <w:t xml:space="preserve"> Nadaci </w:t>
      </w:r>
      <w:proofErr w:type="spellStart"/>
      <w:r>
        <w:rPr>
          <w:rFonts w:eastAsia="Georgia" w:cs="Georgia"/>
          <w:color w:val="000000"/>
          <w:szCs w:val="18"/>
        </w:rPr>
        <w:t>Experientia</w:t>
      </w:r>
      <w:proofErr w:type="spellEnd"/>
      <w:r w:rsidRPr="00B76C8E">
        <w:rPr>
          <w:rFonts w:eastAsia="Georgia" w:cs="Georgia"/>
          <w:color w:val="000000"/>
          <w:szCs w:val="18"/>
        </w:rPr>
        <w:t>.</w:t>
      </w:r>
    </w:p>
  </w:footnote>
  <w:footnote w:id="2">
    <w:p w14:paraId="1031EEA3" w14:textId="77777777" w:rsidR="008223EA" w:rsidRDefault="008223EA" w:rsidP="0009642F">
      <w:pPr>
        <w:pStyle w:val="FootnoteText"/>
        <w:spacing w:after="80"/>
      </w:pPr>
      <w:r>
        <w:rPr>
          <w:rStyle w:val="FootnoteReference"/>
        </w:rPr>
        <w:footnoteRef/>
      </w:r>
      <w:r>
        <w:t xml:space="preserve"> </w:t>
      </w:r>
      <w:r>
        <w:t xml:space="preserve">Výzkum na základě longitudinálního sledování </w:t>
      </w:r>
      <w:r w:rsidRPr="00282FEA">
        <w:t>panelu osob</w:t>
      </w:r>
      <w:r>
        <w:t xml:space="preserve">, které </w:t>
      </w:r>
      <w:r w:rsidRPr="00282FEA">
        <w:t xml:space="preserve">před příchodem </w:t>
      </w:r>
      <w:r>
        <w:t>covid-19 pracovaly.</w:t>
      </w:r>
    </w:p>
  </w:footnote>
  <w:footnote w:id="3">
    <w:p w14:paraId="669C9CC2" w14:textId="77777777" w:rsidR="008223EA" w:rsidRDefault="008223EA" w:rsidP="00646746">
      <w:pPr>
        <w:pStyle w:val="FootnoteText"/>
        <w:spacing w:after="80"/>
        <w:jc w:val="left"/>
      </w:pPr>
      <w:r>
        <w:rPr>
          <w:rStyle w:val="FootnoteReference"/>
        </w:rPr>
        <w:footnoteRef/>
      </w:r>
      <w:r>
        <w:t xml:space="preserve"> </w:t>
      </w:r>
      <w:hyperlink r:id="rId1" w:history="1">
        <w:r>
          <w:rPr>
            <w:rStyle w:val="Hyperlink"/>
          </w:rPr>
          <w:t>http://www.t-press.cz/cs/tiskove-materialy/tiskove-zpravy-t-mobile/pruzkum-jak-si-vedou-lide-a-firmy-v-dobe-prace-z-domova.html</w:t>
        </w:r>
      </w:hyperlink>
    </w:p>
  </w:footnote>
  <w:footnote w:id="4">
    <w:p w14:paraId="2136AB80" w14:textId="77777777" w:rsidR="008223EA" w:rsidRDefault="008223EA" w:rsidP="00646746">
      <w:pPr>
        <w:pStyle w:val="FootnoteText"/>
        <w:spacing w:after="80"/>
        <w:jc w:val="left"/>
      </w:pPr>
      <w:r>
        <w:rPr>
          <w:rStyle w:val="FootnoteReference"/>
        </w:rPr>
        <w:footnoteRef/>
      </w:r>
      <w:r>
        <w:t xml:space="preserve"> </w:t>
      </w:r>
      <w:hyperlink r:id="rId2" w:history="1">
        <w:r>
          <w:rPr>
            <w:rStyle w:val="Hyperlink"/>
          </w:rPr>
          <w:t>https://wave.rozhlas.cz/pruzkum-odhalil-vysokou-spokojenost-s-praci-z-domova-lide-na-home-officu-zustali-8193753</w:t>
        </w:r>
      </w:hyperlink>
    </w:p>
  </w:footnote>
  <w:footnote w:id="5">
    <w:p w14:paraId="495E0BFD" w14:textId="77777777" w:rsidR="008223EA" w:rsidRDefault="008223EA" w:rsidP="00646746">
      <w:pPr>
        <w:pStyle w:val="FootnoteText"/>
        <w:jc w:val="left"/>
      </w:pPr>
      <w:r>
        <w:rPr>
          <w:rStyle w:val="FootnoteReference"/>
        </w:rPr>
        <w:footnoteRef/>
      </w:r>
      <w:r>
        <w:t xml:space="preserve"> </w:t>
      </w:r>
      <w:hyperlink r:id="rId3" w:history="1">
        <w:r>
          <w:rPr>
            <w:rStyle w:val="Hyperlink"/>
          </w:rPr>
          <w:t>https://ct24.ceskatelevize.cz/ekonomika/3096716-zkusenost-s-home-office-se-vyrazne-lisi-pruzkum-v-cesku-naznacil-pokles</w:t>
        </w:r>
      </w:hyperlink>
    </w:p>
  </w:footnote>
  <w:footnote w:id="6">
    <w:p w14:paraId="4B8F031F" w14:textId="7BF92798" w:rsidR="008223EA" w:rsidRDefault="008223EA" w:rsidP="00083AD2">
      <w:pPr>
        <w:pStyle w:val="FootnoteText"/>
        <w:spacing w:after="80"/>
      </w:pPr>
      <w:r>
        <w:rPr>
          <w:rStyle w:val="FootnoteReference"/>
        </w:rPr>
        <w:footnoteRef/>
      </w:r>
      <w:r>
        <w:t xml:space="preserve"> Viz například zjištění měsíčních přehledů o vývoji registrované nezaměstnanosti IDEA </w:t>
      </w:r>
      <w:hyperlink r:id="rId4" w:history="1">
        <w:r w:rsidRPr="00911047">
          <w:rPr>
            <w:rStyle w:val="Hyperlink"/>
          </w:rPr>
          <w:t>https://idea.cerge-ei.cz/ostatni/</w:t>
        </w:r>
      </w:hyperlink>
    </w:p>
  </w:footnote>
  <w:footnote w:id="7">
    <w:p w14:paraId="41CDB998" w14:textId="77777777" w:rsidR="008223EA" w:rsidRDefault="008223EA" w:rsidP="009E3A6B">
      <w:pPr>
        <w:pStyle w:val="FootnoteText"/>
      </w:pPr>
      <w:r>
        <w:rPr>
          <w:rStyle w:val="FootnoteReference"/>
        </w:rPr>
        <w:footnoteRef/>
      </w:r>
      <w:r>
        <w:t xml:space="preserve"> </w:t>
      </w:r>
      <w:proofErr w:type="spellStart"/>
      <w:r>
        <w:t>Dingel</w:t>
      </w:r>
      <w:proofErr w:type="spellEnd"/>
      <w:r>
        <w:t xml:space="preserve"> a </w:t>
      </w:r>
      <w:proofErr w:type="spellStart"/>
      <w:r>
        <w:t>Neiman</w:t>
      </w:r>
      <w:proofErr w:type="spellEnd"/>
      <w:r w:rsidRPr="00777378">
        <w:t xml:space="preserve"> (2020) pro Česko uvádí pouze agregátní odhad, podle kterého zhruba třetina českých pracovníků může vykonávat své povolání z domova.</w:t>
      </w:r>
      <w:r>
        <w:t xml:space="preserve"> To je v souladu s našimi výsledky, které představujeme níže.</w:t>
      </w:r>
    </w:p>
  </w:footnote>
  <w:footnote w:id="8">
    <w:p w14:paraId="3FF5CB92" w14:textId="77777777" w:rsidR="008223EA" w:rsidRDefault="008223EA" w:rsidP="00AB458B">
      <w:pPr>
        <w:pStyle w:val="FootnoteText"/>
        <w:spacing w:after="80"/>
      </w:pPr>
      <w:r>
        <w:rPr>
          <w:rStyle w:val="FootnoteReference"/>
        </w:rPr>
        <w:footnoteRef/>
      </w:r>
      <w:r>
        <w:t xml:space="preserve"> </w:t>
      </w:r>
      <w:hyperlink r:id="rId5" w:history="1">
        <w:r>
          <w:rPr>
            <w:rStyle w:val="Hyperlink"/>
          </w:rPr>
          <w:t>https://news.stanford.edu/2020/03/30/productivity-pitfalls-working-home-age-covid-19/</w:t>
        </w:r>
      </w:hyperlink>
    </w:p>
  </w:footnote>
  <w:footnote w:id="9">
    <w:p w14:paraId="538F7F32" w14:textId="77777777" w:rsidR="008223EA" w:rsidRDefault="008223EA" w:rsidP="00AB458B">
      <w:pPr>
        <w:pStyle w:val="FootnoteText"/>
        <w:jc w:val="left"/>
      </w:pPr>
      <w:r>
        <w:rPr>
          <w:rStyle w:val="FootnoteReference"/>
        </w:rPr>
        <w:footnoteRef/>
      </w:r>
      <w:r>
        <w:t xml:space="preserve"> </w:t>
      </w:r>
      <w:hyperlink r:id="rId6" w:history="1">
        <w:r>
          <w:rPr>
            <w:rStyle w:val="Hyperlink"/>
          </w:rPr>
          <w:t>https://ct24.ceskatelevize.cz/ekonomika/3096716-zkusenost-s-home-office-se-vyrazne-lisi-pruzkum-v-cesku-naznacil-pokles</w:t>
        </w:r>
      </w:hyperlink>
    </w:p>
  </w:footnote>
  <w:footnote w:id="10">
    <w:p w14:paraId="04315820" w14:textId="77777777" w:rsidR="008223EA" w:rsidRDefault="008223EA" w:rsidP="00AB458B">
      <w:pPr>
        <w:pStyle w:val="FootnoteText"/>
        <w:jc w:val="left"/>
      </w:pPr>
      <w:r>
        <w:rPr>
          <w:rStyle w:val="FootnoteReference"/>
        </w:rPr>
        <w:footnoteRef/>
      </w:r>
      <w:r>
        <w:t xml:space="preserve"> </w:t>
      </w:r>
      <w:hyperlink r:id="rId7" w:history="1">
        <w:r>
          <w:rPr>
            <w:rStyle w:val="Hyperlink"/>
          </w:rPr>
          <w:t>https://wave.rozhlas.cz/pruzkum-odhalil-vysokou-spokojenost-s-praci-z-domova-lide-na-home-officu-zustali-8193753</w:t>
        </w:r>
      </w:hyperlink>
    </w:p>
  </w:footnote>
  <w:footnote w:id="11">
    <w:p w14:paraId="00AAFB62" w14:textId="77777777" w:rsidR="008223EA" w:rsidRDefault="008223EA" w:rsidP="00EF3AB0">
      <w:pPr>
        <w:pStyle w:val="FootnoteText"/>
      </w:pPr>
      <w:r>
        <w:rPr>
          <w:rStyle w:val="FootnoteReference"/>
        </w:rPr>
        <w:footnoteRef/>
      </w:r>
      <w:r>
        <w:t xml:space="preserve"> „Pracovníci“ v této studii zahrnují jak zaměstnance, tak podnikatele. Výpočty uvažují pouze primární zaměstnání.</w:t>
      </w:r>
    </w:p>
  </w:footnote>
  <w:footnote w:id="12">
    <w:p w14:paraId="5D2DED60" w14:textId="074E2D05" w:rsidR="008223EA" w:rsidRDefault="008223EA" w:rsidP="005A4A4A">
      <w:pPr>
        <w:pStyle w:val="FootnoteText"/>
        <w:spacing w:after="80"/>
      </w:pPr>
      <w:r>
        <w:rPr>
          <w:rStyle w:val="FootnoteReference"/>
        </w:rPr>
        <w:footnoteRef/>
      </w:r>
      <w:r>
        <w:t xml:space="preserve"> </w:t>
      </w:r>
      <w:r w:rsidRPr="00633666">
        <w:t>VŠPS je průzkum organizovaný Českým statistickým úřadem (ČSÚ). Výběr vzorku pro šetření je uskutečněn na úrovni bytů. Každý byt je ve vzorku po dobu pěti po sobě jdoucích čtvrtletí, přičemž každé čtvrtletí dochází k obměně 20</w:t>
      </w:r>
      <w:r>
        <w:t> </w:t>
      </w:r>
      <w:r w:rsidRPr="00633666">
        <w:t>% vzorku. Celkově šetření pokrývá více než 40 tisíc respondentů ve věku 15 a více let VŠPS obsahuje detailní informace o</w:t>
      </w:r>
      <w:r>
        <w:t> </w:t>
      </w:r>
      <w:r w:rsidRPr="00633666">
        <w:t>respondentech a jejich pracovní aktivitě. Tím nám umožňuje analyzovat podíl pracovníků schopných pracovat z</w:t>
      </w:r>
      <w:r>
        <w:t> </w:t>
      </w:r>
      <w:r w:rsidRPr="00633666">
        <w:t>dom</w:t>
      </w:r>
      <w:r>
        <w:t>ova</w:t>
      </w:r>
      <w:r w:rsidRPr="00633666">
        <w:t xml:space="preserve"> dle věku, vzdělání, místa bydliště i odvětví, ve kterém pracuje.</w:t>
      </w:r>
    </w:p>
  </w:footnote>
  <w:footnote w:id="13">
    <w:p w14:paraId="45F86FDD" w14:textId="77777777" w:rsidR="008223EA" w:rsidRDefault="008223EA" w:rsidP="005A4A4A">
      <w:pPr>
        <w:pStyle w:val="FootnoteText"/>
        <w:spacing w:after="80"/>
      </w:pPr>
      <w:r>
        <w:rPr>
          <w:rStyle w:val="FootnoteReference"/>
        </w:rPr>
        <w:footnoteRef/>
      </w:r>
      <w:r>
        <w:t xml:space="preserve"> </w:t>
      </w:r>
      <w:hyperlink r:id="rId8" w:history="1">
        <w:r>
          <w:rPr>
            <w:rStyle w:val="Hyperlink"/>
          </w:rPr>
          <w:t>https://ibs.org.pl/en/resources/occupation-classifications-crosswalks-from-onet-soc-to-isco/</w:t>
        </w:r>
      </w:hyperlink>
    </w:p>
  </w:footnote>
  <w:footnote w:id="14">
    <w:p w14:paraId="66E85204" w14:textId="77777777" w:rsidR="008223EA" w:rsidRDefault="008223EA" w:rsidP="005A4A4A">
      <w:pPr>
        <w:pStyle w:val="FootnoteText"/>
        <w:spacing w:after="80"/>
      </w:pPr>
      <w:r>
        <w:rPr>
          <w:rStyle w:val="FootnoteReference"/>
        </w:rPr>
        <w:footnoteRef/>
      </w:r>
      <w:r>
        <w:t xml:space="preserve"> </w:t>
      </w:r>
      <w:hyperlink r:id="rId9" w:anchor="soc" w:history="1">
        <w:r>
          <w:rPr>
            <w:rStyle w:val="Hyperlink"/>
          </w:rPr>
          <w:t>https://www.onetcenter.org/crosswalks.html#soc</w:t>
        </w:r>
      </w:hyperlink>
    </w:p>
  </w:footnote>
  <w:footnote w:id="15">
    <w:p w14:paraId="799F5065" w14:textId="77777777" w:rsidR="008223EA" w:rsidRDefault="008223EA" w:rsidP="00EF3AB0">
      <w:pPr>
        <w:pStyle w:val="FootnoteText"/>
      </w:pPr>
      <w:r>
        <w:rPr>
          <w:rStyle w:val="FootnoteReference"/>
        </w:rPr>
        <w:footnoteRef/>
      </w:r>
      <w:r>
        <w:t xml:space="preserve"> Podrobnosti tohoto výpočtu uvádíme v Technické příloze.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6679" w14:textId="2D64FBC3" w:rsidR="008223EA" w:rsidRPr="00D751F2" w:rsidRDefault="008223EA" w:rsidP="00D751F2">
    <w:pPr>
      <w:pBdr>
        <w:bottom w:val="single" w:sz="4" w:space="1" w:color="auto"/>
      </w:pBdr>
      <w:spacing w:line="312" w:lineRule="auto"/>
      <w:rPr>
        <w:rFonts w:cs="Helvetica"/>
        <w:bCs/>
        <w:color w:val="000000" w:themeColor="text1"/>
        <w:sz w:val="16"/>
        <w:szCs w:val="16"/>
      </w:rPr>
    </w:pPr>
    <w:r>
      <w:rPr>
        <w:rFonts w:cs="Helvetica"/>
        <w:bCs/>
        <w:color w:val="000000" w:themeColor="text1"/>
        <w:sz w:val="16"/>
        <w:szCs w:val="16"/>
      </w:rPr>
      <w:t xml:space="preserve">KOLIK NÁS MŮŽE PRACOVAT Z DOMOVA?                                                                                                                          </w:t>
    </w:r>
    <w:r w:rsidRPr="00D73630">
      <w:rPr>
        <w:rFonts w:cs="Helvetica"/>
        <w:bCs/>
        <w:color w:val="000000" w:themeColor="text1"/>
        <w:sz w:val="16"/>
        <w:szCs w:val="16"/>
      </w:rPr>
      <w:t xml:space="preserve">                </w:t>
    </w:r>
    <w:r w:rsidRPr="00D73630">
      <w:rPr>
        <w:rFonts w:cs="Helvetica"/>
        <w:b/>
        <w:color w:val="C00000"/>
        <w:sz w:val="16"/>
        <w:szCs w:val="16"/>
      </w:rPr>
      <w:t>IDEA</w:t>
    </w:r>
    <w:r w:rsidRPr="00D73630">
      <w:rPr>
        <w:rFonts w:cs="Helvetica"/>
        <w:bCs/>
        <w:color w:val="000000" w:themeColor="text1"/>
        <w:sz w:val="16"/>
        <w:szCs w:val="16"/>
      </w:rPr>
      <w:t xml:space="preserve"> 2020</w:t>
    </w:r>
  </w:p>
  <w:p w14:paraId="4A0F9717" w14:textId="77777777" w:rsidR="008223EA" w:rsidRDefault="008223EA" w:rsidP="0051260A">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88478" w14:textId="77777777" w:rsidR="008223EA" w:rsidRDefault="008223EA" w:rsidP="0051260A">
    <w:pPr>
      <w:pStyle w:val="Header"/>
      <w:spacing w:after="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455C341"/>
    <w:multiLevelType w:val="multilevel"/>
    <w:tmpl w:val="386E59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9F9469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064440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24893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51A1A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AB68EE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743D6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C7CE10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1DADC0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3A880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E04E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04ED9"/>
    <w:multiLevelType w:val="multilevel"/>
    <w:tmpl w:val="26807968"/>
    <w:lvl w:ilvl="0">
      <w:start w:val="1"/>
      <w:numFmt w:val="bullet"/>
      <w:lvlText w:val=""/>
      <w:lvlJc w:val="left"/>
      <w:pPr>
        <w:tabs>
          <w:tab w:val="num" w:pos="0"/>
        </w:tabs>
        <w:ind w:left="480" w:hanging="480"/>
      </w:pPr>
      <w:rPr>
        <w:rFonts w:ascii="Symbol" w:hAnsi="Symbol" w:hint="default"/>
        <w:color w:val="2526A9"/>
        <w:sz w:val="32"/>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04987C3E"/>
    <w:multiLevelType w:val="hybridMultilevel"/>
    <w:tmpl w:val="74A8C594"/>
    <w:lvl w:ilvl="0" w:tplc="02DAA6C6">
      <w:start w:val="1"/>
      <w:numFmt w:val="bullet"/>
      <w:lvlText w:val=""/>
      <w:lvlJc w:val="left"/>
      <w:pPr>
        <w:ind w:left="720" w:hanging="360"/>
      </w:pPr>
      <w:rPr>
        <w:rFonts w:ascii="Symbol" w:hAnsi="Symbol" w:hint="default"/>
        <w:color w:val="2526A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FE2B3E"/>
    <w:multiLevelType w:val="hybridMultilevel"/>
    <w:tmpl w:val="49526746"/>
    <w:lvl w:ilvl="0" w:tplc="99003382">
      <w:start w:val="1"/>
      <w:numFmt w:val="bullet"/>
      <w:lvlText w:val=""/>
      <w:lvlJc w:val="left"/>
      <w:pPr>
        <w:ind w:left="720" w:hanging="360"/>
      </w:pPr>
      <w:rPr>
        <w:rFonts w:ascii="Symbol" w:hAnsi="Symbol" w:hint="default"/>
        <w:caps w:val="0"/>
        <w:strike w:val="0"/>
        <w:dstrike w:val="0"/>
        <w:vanish w:val="0"/>
        <w:color w:val="0070C0"/>
        <w:u w:val="none"/>
        <w:vertAlign w:val="baseline"/>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831483D"/>
    <w:multiLevelType w:val="multilevel"/>
    <w:tmpl w:val="23CEF48A"/>
    <w:lvl w:ilvl="0">
      <w:start w:val="1"/>
      <w:numFmt w:val="bullet"/>
      <w:lvlText w:val=""/>
      <w:lvlJc w:val="left"/>
      <w:pPr>
        <w:tabs>
          <w:tab w:val="num" w:pos="0"/>
        </w:tabs>
        <w:ind w:left="480" w:hanging="480"/>
      </w:pPr>
      <w:rPr>
        <w:rFonts w:ascii="Symbol" w:hAnsi="Symbol" w:hint="default"/>
        <w:color w:val="2526A9"/>
        <w:sz w:val="32"/>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A683556"/>
    <w:multiLevelType w:val="hybridMultilevel"/>
    <w:tmpl w:val="A03CB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871671"/>
    <w:multiLevelType w:val="hybridMultilevel"/>
    <w:tmpl w:val="0378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0A17052"/>
    <w:multiLevelType w:val="hybridMultilevel"/>
    <w:tmpl w:val="B296B990"/>
    <w:lvl w:ilvl="0" w:tplc="B85AEE4A">
      <w:start w:val="1"/>
      <w:numFmt w:val="bullet"/>
      <w:lvlText w:val=""/>
      <w:lvlJc w:val="left"/>
      <w:pPr>
        <w:ind w:left="720" w:hanging="360"/>
      </w:pPr>
      <w:rPr>
        <w:rFonts w:ascii="Symbol" w:hAnsi="Symbol" w:hint="default"/>
        <w:caps w:val="0"/>
        <w:strike w:val="0"/>
        <w:dstrike w:val="0"/>
        <w:vanish w:val="0"/>
        <w:color w:val="2526A9"/>
        <w:sz w:val="32"/>
        <w:u w:val="none"/>
        <w:vertAlign w:val="baseline"/>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3F4136D"/>
    <w:multiLevelType w:val="hybridMultilevel"/>
    <w:tmpl w:val="CD48EFD4"/>
    <w:lvl w:ilvl="0" w:tplc="5396F106">
      <w:start w:val="1"/>
      <w:numFmt w:val="bullet"/>
      <w:lvlText w:val=""/>
      <w:lvlJc w:val="left"/>
      <w:pPr>
        <w:ind w:left="720" w:hanging="360"/>
      </w:pPr>
      <w:rPr>
        <w:rFonts w:ascii="Symbol" w:hAnsi="Symbol" w:hint="default"/>
        <w:color w:val="2526A9"/>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71214A"/>
    <w:multiLevelType w:val="hybridMultilevel"/>
    <w:tmpl w:val="A45CCB1C"/>
    <w:lvl w:ilvl="0" w:tplc="02DAA6C6">
      <w:start w:val="1"/>
      <w:numFmt w:val="bullet"/>
      <w:lvlText w:val=""/>
      <w:lvlJc w:val="left"/>
      <w:pPr>
        <w:ind w:left="720" w:hanging="360"/>
      </w:pPr>
      <w:rPr>
        <w:rFonts w:ascii="Symbol" w:hAnsi="Symbol" w:hint="default"/>
        <w:color w:val="2526A9"/>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0A3796"/>
    <w:multiLevelType w:val="hybridMultilevel"/>
    <w:tmpl w:val="76EC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7C562F"/>
    <w:multiLevelType w:val="hybridMultilevel"/>
    <w:tmpl w:val="562076FC"/>
    <w:lvl w:ilvl="0" w:tplc="229E4DBA">
      <w:start w:val="1"/>
      <w:numFmt w:val="bullet"/>
      <w:pStyle w:val="ListParagraph"/>
      <w:lvlText w:val=""/>
      <w:lvlJc w:val="left"/>
      <w:pPr>
        <w:ind w:left="720" w:hanging="360"/>
      </w:pPr>
      <w:rPr>
        <w:rFonts w:ascii="Symbol" w:hAnsi="Symbol" w:hint="default"/>
        <w:color w:val="2526A9"/>
        <w:sz w:val="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ABD7719"/>
    <w:multiLevelType w:val="hybridMultilevel"/>
    <w:tmpl w:val="A86E0218"/>
    <w:lvl w:ilvl="0" w:tplc="99003382">
      <w:start w:val="1"/>
      <w:numFmt w:val="bullet"/>
      <w:lvlText w:val=""/>
      <w:lvlJc w:val="left"/>
      <w:pPr>
        <w:ind w:left="1080" w:hanging="360"/>
      </w:pPr>
      <w:rPr>
        <w:rFonts w:ascii="Symbol" w:hAnsi="Symbol" w:hint="default"/>
        <w:caps w:val="0"/>
        <w:strike w:val="0"/>
        <w:dstrike w:val="0"/>
        <w:vanish w:val="0"/>
        <w:color w:val="0070C0"/>
        <w:u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D247D0"/>
    <w:multiLevelType w:val="hybridMultilevel"/>
    <w:tmpl w:val="7B807722"/>
    <w:lvl w:ilvl="0" w:tplc="D9F0452E">
      <w:start w:val="1"/>
      <w:numFmt w:val="bullet"/>
      <w:pStyle w:val="IDEAseznam"/>
      <w:lvlText w:val=""/>
      <w:lvlJc w:val="left"/>
      <w:pPr>
        <w:ind w:left="720" w:hanging="360"/>
      </w:pPr>
      <w:rPr>
        <w:rFonts w:ascii="Symbol" w:hAnsi="Symbol" w:hint="default"/>
        <w:color w:val="2526A9"/>
        <w:sz w:val="32"/>
        <w:szCs w:val="3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4741CF7"/>
    <w:multiLevelType w:val="hybridMultilevel"/>
    <w:tmpl w:val="F0EAC25E"/>
    <w:lvl w:ilvl="0" w:tplc="0409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50B5D70"/>
    <w:multiLevelType w:val="multilevel"/>
    <w:tmpl w:val="B4E41376"/>
    <w:lvl w:ilvl="0">
      <w:start w:val="1"/>
      <w:numFmt w:val="bullet"/>
      <w:lvlText w:val=""/>
      <w:lvlJc w:val="left"/>
      <w:pPr>
        <w:tabs>
          <w:tab w:val="num" w:pos="0"/>
        </w:tabs>
        <w:ind w:left="480" w:hanging="480"/>
      </w:pPr>
      <w:rPr>
        <w:rFonts w:ascii="Symbol" w:hAnsi="Symbol" w:hint="default"/>
        <w:color w:val="2526A9"/>
        <w:sz w:val="32"/>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55EE46DA"/>
    <w:multiLevelType w:val="hybridMultilevel"/>
    <w:tmpl w:val="BCB4EAF8"/>
    <w:lvl w:ilvl="0" w:tplc="B85AEE4A">
      <w:start w:val="1"/>
      <w:numFmt w:val="bullet"/>
      <w:lvlText w:val=""/>
      <w:lvlJc w:val="left"/>
      <w:pPr>
        <w:ind w:left="720" w:hanging="360"/>
      </w:pPr>
      <w:rPr>
        <w:rFonts w:ascii="Symbol" w:hAnsi="Symbol" w:hint="default"/>
        <w:color w:val="2526A9"/>
        <w:sz w:val="3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620411B"/>
    <w:multiLevelType w:val="hybridMultilevel"/>
    <w:tmpl w:val="7368BAB6"/>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AA924F9"/>
    <w:multiLevelType w:val="hybridMultilevel"/>
    <w:tmpl w:val="454CD6A6"/>
    <w:lvl w:ilvl="0" w:tplc="B85AEE4A">
      <w:start w:val="1"/>
      <w:numFmt w:val="bullet"/>
      <w:lvlText w:val=""/>
      <w:lvlJc w:val="left"/>
      <w:pPr>
        <w:ind w:left="1080" w:hanging="360"/>
      </w:pPr>
      <w:rPr>
        <w:rFonts w:ascii="Symbol" w:hAnsi="Symbol" w:hint="default"/>
        <w:caps w:val="0"/>
        <w:strike w:val="0"/>
        <w:dstrike w:val="0"/>
        <w:vanish w:val="0"/>
        <w:color w:val="2526A9"/>
        <w:sz w:val="32"/>
        <w:u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67B3B"/>
    <w:multiLevelType w:val="multilevel"/>
    <w:tmpl w:val="D1B6B0D8"/>
    <w:lvl w:ilvl="0">
      <w:start w:val="1"/>
      <w:numFmt w:val="bullet"/>
      <w:lvlText w:val=""/>
      <w:lvlJc w:val="left"/>
      <w:pPr>
        <w:tabs>
          <w:tab w:val="num" w:pos="0"/>
        </w:tabs>
        <w:ind w:left="480" w:hanging="480"/>
      </w:pPr>
      <w:rPr>
        <w:rFonts w:ascii="Symbol" w:hAnsi="Symbol" w:hint="default"/>
        <w:color w:val="2526A9"/>
        <w:sz w:val="32"/>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0"/>
  </w:num>
  <w:num w:numId="2">
    <w:abstractNumId w:val="15"/>
  </w:num>
  <w:num w:numId="3">
    <w:abstractNumId w:val="12"/>
  </w:num>
  <w:num w:numId="4">
    <w:abstractNumId w:val="0"/>
  </w:num>
  <w:num w:numId="5">
    <w:abstractNumId w:val="11"/>
  </w:num>
  <w:num w:numId="6">
    <w:abstractNumId w:val="14"/>
  </w:num>
  <w:num w:numId="7">
    <w:abstractNumId w:val="29"/>
  </w:num>
  <w:num w:numId="8">
    <w:abstractNumId w:val="25"/>
  </w:num>
  <w:num w:numId="9">
    <w:abstractNumId w:val="26"/>
  </w:num>
  <w:num w:numId="10">
    <w:abstractNumId w:val="24"/>
  </w:num>
  <w:num w:numId="11">
    <w:abstractNumId w:val="21"/>
  </w:num>
  <w:num w:numId="12">
    <w:abstractNumId w:val="23"/>
  </w:num>
  <w:num w:numId="13">
    <w:abstractNumId w:val="27"/>
  </w:num>
  <w:num w:numId="14">
    <w:abstractNumId w:val="16"/>
  </w:num>
  <w:num w:numId="15">
    <w:abstractNumId w:val="13"/>
  </w:num>
  <w:num w:numId="16">
    <w:abstractNumId w:val="17"/>
  </w:num>
  <w:num w:numId="17">
    <w:abstractNumId w:val="22"/>
  </w:num>
  <w:num w:numId="18">
    <w:abstractNumId w:val="28"/>
  </w:num>
  <w:num w:numId="19">
    <w:abstractNumId w:val="18"/>
  </w:num>
  <w:num w:numId="20">
    <w:abstractNumId w:val="19"/>
  </w:num>
  <w:num w:numId="21">
    <w:abstractNumId w:val="1"/>
  </w:num>
  <w:num w:numId="22">
    <w:abstractNumId w:val="2"/>
  </w:num>
  <w:num w:numId="23">
    <w:abstractNumId w:val="3"/>
  </w:num>
  <w:num w:numId="24">
    <w:abstractNumId w:val="4"/>
  </w:num>
  <w:num w:numId="25">
    <w:abstractNumId w:val="9"/>
  </w:num>
  <w:num w:numId="26">
    <w:abstractNumId w:val="5"/>
  </w:num>
  <w:num w:numId="27">
    <w:abstractNumId w:val="6"/>
  </w:num>
  <w:num w:numId="28">
    <w:abstractNumId w:val="7"/>
  </w:num>
  <w:num w:numId="29">
    <w:abstractNumId w:val="8"/>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9D"/>
    <w:rsid w:val="000225FD"/>
    <w:rsid w:val="00033878"/>
    <w:rsid w:val="000359D8"/>
    <w:rsid w:val="00043509"/>
    <w:rsid w:val="0004402E"/>
    <w:rsid w:val="00083AD2"/>
    <w:rsid w:val="0009642F"/>
    <w:rsid w:val="00097314"/>
    <w:rsid w:val="000A4D18"/>
    <w:rsid w:val="000A6E8D"/>
    <w:rsid w:val="000B39A9"/>
    <w:rsid w:val="000B64FE"/>
    <w:rsid w:val="000D0741"/>
    <w:rsid w:val="000E2141"/>
    <w:rsid w:val="000E2A9A"/>
    <w:rsid w:val="000F5248"/>
    <w:rsid w:val="00112A86"/>
    <w:rsid w:val="00117C78"/>
    <w:rsid w:val="0012084F"/>
    <w:rsid w:val="00127039"/>
    <w:rsid w:val="00150383"/>
    <w:rsid w:val="00165DF5"/>
    <w:rsid w:val="00180B5E"/>
    <w:rsid w:val="001858EF"/>
    <w:rsid w:val="00192FD4"/>
    <w:rsid w:val="001936A8"/>
    <w:rsid w:val="00193927"/>
    <w:rsid w:val="00196A8E"/>
    <w:rsid w:val="001A4B6C"/>
    <w:rsid w:val="001B71FB"/>
    <w:rsid w:val="001D12B9"/>
    <w:rsid w:val="001F36C6"/>
    <w:rsid w:val="001F405F"/>
    <w:rsid w:val="001F4B2A"/>
    <w:rsid w:val="0020169B"/>
    <w:rsid w:val="0021210E"/>
    <w:rsid w:val="002372D4"/>
    <w:rsid w:val="00242B9C"/>
    <w:rsid w:val="00245726"/>
    <w:rsid w:val="0024769A"/>
    <w:rsid w:val="002645A1"/>
    <w:rsid w:val="00265EA6"/>
    <w:rsid w:val="002728C6"/>
    <w:rsid w:val="002A0CA8"/>
    <w:rsid w:val="002B1526"/>
    <w:rsid w:val="002C570D"/>
    <w:rsid w:val="002E1A5A"/>
    <w:rsid w:val="002F2B1F"/>
    <w:rsid w:val="00301D02"/>
    <w:rsid w:val="0030573E"/>
    <w:rsid w:val="00312E7D"/>
    <w:rsid w:val="00314546"/>
    <w:rsid w:val="00327B77"/>
    <w:rsid w:val="0033118B"/>
    <w:rsid w:val="003460BB"/>
    <w:rsid w:val="003507DA"/>
    <w:rsid w:val="003626A7"/>
    <w:rsid w:val="003735F3"/>
    <w:rsid w:val="0038388E"/>
    <w:rsid w:val="00391A7B"/>
    <w:rsid w:val="003A5C58"/>
    <w:rsid w:val="003B637D"/>
    <w:rsid w:val="003C7E96"/>
    <w:rsid w:val="003F043A"/>
    <w:rsid w:val="003F2908"/>
    <w:rsid w:val="00402A59"/>
    <w:rsid w:val="00403147"/>
    <w:rsid w:val="004078A7"/>
    <w:rsid w:val="004350A4"/>
    <w:rsid w:val="004A3BC9"/>
    <w:rsid w:val="004A6DE4"/>
    <w:rsid w:val="004C6D43"/>
    <w:rsid w:val="004C762D"/>
    <w:rsid w:val="00507711"/>
    <w:rsid w:val="00511A8C"/>
    <w:rsid w:val="0051260A"/>
    <w:rsid w:val="00516B64"/>
    <w:rsid w:val="00531BF5"/>
    <w:rsid w:val="00533A7E"/>
    <w:rsid w:val="00546D38"/>
    <w:rsid w:val="00547700"/>
    <w:rsid w:val="00547D82"/>
    <w:rsid w:val="00550386"/>
    <w:rsid w:val="00553D5F"/>
    <w:rsid w:val="0056535A"/>
    <w:rsid w:val="00580ED2"/>
    <w:rsid w:val="00587391"/>
    <w:rsid w:val="00592E7D"/>
    <w:rsid w:val="005A4A4A"/>
    <w:rsid w:val="005B3CE7"/>
    <w:rsid w:val="005D14F3"/>
    <w:rsid w:val="005D6EAC"/>
    <w:rsid w:val="005E18B8"/>
    <w:rsid w:val="005F2978"/>
    <w:rsid w:val="005F40BF"/>
    <w:rsid w:val="005F5975"/>
    <w:rsid w:val="00606A1F"/>
    <w:rsid w:val="00613DD4"/>
    <w:rsid w:val="0062108F"/>
    <w:rsid w:val="00622EAD"/>
    <w:rsid w:val="00631363"/>
    <w:rsid w:val="00632CE1"/>
    <w:rsid w:val="00643529"/>
    <w:rsid w:val="00646746"/>
    <w:rsid w:val="006575C2"/>
    <w:rsid w:val="0067718F"/>
    <w:rsid w:val="006918EE"/>
    <w:rsid w:val="006A45DE"/>
    <w:rsid w:val="006A7B15"/>
    <w:rsid w:val="006A7B4A"/>
    <w:rsid w:val="006C35F7"/>
    <w:rsid w:val="006E37B8"/>
    <w:rsid w:val="007019DB"/>
    <w:rsid w:val="00701DA8"/>
    <w:rsid w:val="00714D0A"/>
    <w:rsid w:val="00725EA2"/>
    <w:rsid w:val="00726DAC"/>
    <w:rsid w:val="00740229"/>
    <w:rsid w:val="00767EDF"/>
    <w:rsid w:val="00774412"/>
    <w:rsid w:val="0078559A"/>
    <w:rsid w:val="007A04B7"/>
    <w:rsid w:val="007B1071"/>
    <w:rsid w:val="007B122D"/>
    <w:rsid w:val="007B1632"/>
    <w:rsid w:val="007B4C61"/>
    <w:rsid w:val="007B6E6B"/>
    <w:rsid w:val="007C6457"/>
    <w:rsid w:val="007D2710"/>
    <w:rsid w:val="007D7669"/>
    <w:rsid w:val="007E42CE"/>
    <w:rsid w:val="007E48A0"/>
    <w:rsid w:val="007F3FBF"/>
    <w:rsid w:val="007F64E9"/>
    <w:rsid w:val="008008AD"/>
    <w:rsid w:val="0081178D"/>
    <w:rsid w:val="00816772"/>
    <w:rsid w:val="008223EA"/>
    <w:rsid w:val="00822DCD"/>
    <w:rsid w:val="00841BC6"/>
    <w:rsid w:val="00843B35"/>
    <w:rsid w:val="00846E58"/>
    <w:rsid w:val="00861C94"/>
    <w:rsid w:val="0086291E"/>
    <w:rsid w:val="00867B6C"/>
    <w:rsid w:val="00873114"/>
    <w:rsid w:val="00877291"/>
    <w:rsid w:val="00884710"/>
    <w:rsid w:val="00884F74"/>
    <w:rsid w:val="00894A41"/>
    <w:rsid w:val="008A1560"/>
    <w:rsid w:val="008B291A"/>
    <w:rsid w:val="008C1C4D"/>
    <w:rsid w:val="008E1F14"/>
    <w:rsid w:val="00905ABA"/>
    <w:rsid w:val="009124B3"/>
    <w:rsid w:val="00924279"/>
    <w:rsid w:val="00945A47"/>
    <w:rsid w:val="009619B6"/>
    <w:rsid w:val="00962386"/>
    <w:rsid w:val="00973DEE"/>
    <w:rsid w:val="009A152A"/>
    <w:rsid w:val="009A2341"/>
    <w:rsid w:val="009B0E9D"/>
    <w:rsid w:val="009B3225"/>
    <w:rsid w:val="009D3AC0"/>
    <w:rsid w:val="009E3A6B"/>
    <w:rsid w:val="009F7152"/>
    <w:rsid w:val="009F753B"/>
    <w:rsid w:val="00A00ED4"/>
    <w:rsid w:val="00A03D34"/>
    <w:rsid w:val="00A36CC8"/>
    <w:rsid w:val="00A441C7"/>
    <w:rsid w:val="00A55136"/>
    <w:rsid w:val="00A56A7D"/>
    <w:rsid w:val="00A802CB"/>
    <w:rsid w:val="00A923B4"/>
    <w:rsid w:val="00AB458B"/>
    <w:rsid w:val="00AD529E"/>
    <w:rsid w:val="00AF641B"/>
    <w:rsid w:val="00B14284"/>
    <w:rsid w:val="00B337ED"/>
    <w:rsid w:val="00B46EB6"/>
    <w:rsid w:val="00B6479C"/>
    <w:rsid w:val="00B66633"/>
    <w:rsid w:val="00B76C8E"/>
    <w:rsid w:val="00B806C1"/>
    <w:rsid w:val="00B93C67"/>
    <w:rsid w:val="00BA6CFE"/>
    <w:rsid w:val="00BB291E"/>
    <w:rsid w:val="00BB6C0F"/>
    <w:rsid w:val="00BB7808"/>
    <w:rsid w:val="00BC5061"/>
    <w:rsid w:val="00BD67FF"/>
    <w:rsid w:val="00C00727"/>
    <w:rsid w:val="00C00B4C"/>
    <w:rsid w:val="00C10348"/>
    <w:rsid w:val="00C115F7"/>
    <w:rsid w:val="00C20E21"/>
    <w:rsid w:val="00C330D1"/>
    <w:rsid w:val="00C40B13"/>
    <w:rsid w:val="00C40EE3"/>
    <w:rsid w:val="00C5442D"/>
    <w:rsid w:val="00C569E9"/>
    <w:rsid w:val="00C610B4"/>
    <w:rsid w:val="00C71574"/>
    <w:rsid w:val="00C73301"/>
    <w:rsid w:val="00C9337E"/>
    <w:rsid w:val="00C96AAA"/>
    <w:rsid w:val="00CA0687"/>
    <w:rsid w:val="00CA1392"/>
    <w:rsid w:val="00CA1C75"/>
    <w:rsid w:val="00CB6855"/>
    <w:rsid w:val="00CF0920"/>
    <w:rsid w:val="00CF17F8"/>
    <w:rsid w:val="00D205C6"/>
    <w:rsid w:val="00D2684F"/>
    <w:rsid w:val="00D46378"/>
    <w:rsid w:val="00D47753"/>
    <w:rsid w:val="00D65AA0"/>
    <w:rsid w:val="00D73630"/>
    <w:rsid w:val="00D751F2"/>
    <w:rsid w:val="00D75D24"/>
    <w:rsid w:val="00D768D8"/>
    <w:rsid w:val="00D9106D"/>
    <w:rsid w:val="00D92F24"/>
    <w:rsid w:val="00DC6B0A"/>
    <w:rsid w:val="00DD12F9"/>
    <w:rsid w:val="00DF5770"/>
    <w:rsid w:val="00E02B5F"/>
    <w:rsid w:val="00E24670"/>
    <w:rsid w:val="00E27C5B"/>
    <w:rsid w:val="00E33B9D"/>
    <w:rsid w:val="00E345C9"/>
    <w:rsid w:val="00E45760"/>
    <w:rsid w:val="00E7090D"/>
    <w:rsid w:val="00E97405"/>
    <w:rsid w:val="00EB1959"/>
    <w:rsid w:val="00EC11D4"/>
    <w:rsid w:val="00EC5EF6"/>
    <w:rsid w:val="00EC6702"/>
    <w:rsid w:val="00EE5509"/>
    <w:rsid w:val="00EE704A"/>
    <w:rsid w:val="00EF3AB0"/>
    <w:rsid w:val="00EF6ED8"/>
    <w:rsid w:val="00EF77FE"/>
    <w:rsid w:val="00F028D5"/>
    <w:rsid w:val="00F20A94"/>
    <w:rsid w:val="00F23C28"/>
    <w:rsid w:val="00F427E9"/>
    <w:rsid w:val="00F5313E"/>
    <w:rsid w:val="00F6331C"/>
    <w:rsid w:val="00F90B52"/>
    <w:rsid w:val="00F91907"/>
    <w:rsid w:val="00F92106"/>
    <w:rsid w:val="00F97A38"/>
    <w:rsid w:val="00FA177B"/>
    <w:rsid w:val="00FB410E"/>
    <w:rsid w:val="00FC6618"/>
    <w:rsid w:val="00FE2252"/>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23E7"/>
  <w15:docId w15:val="{CFD1B034-0216-4968-9935-33C89C18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IDEA normální"/>
    <w:qFormat/>
    <w:rsid w:val="005E18B8"/>
    <w:pPr>
      <w:spacing w:after="200" w:line="360" w:lineRule="auto"/>
    </w:pPr>
    <w:rPr>
      <w:rFonts w:ascii="Georgia" w:hAnsi="Georgia"/>
      <w:sz w:val="24"/>
      <w:lang w:val="cs-CZ"/>
    </w:rPr>
  </w:style>
  <w:style w:type="paragraph" w:styleId="Heading1">
    <w:name w:val="heading 1"/>
    <w:aliases w:val="IDEA Nadpis 1"/>
    <w:basedOn w:val="Heading3"/>
    <w:next w:val="Normal"/>
    <w:link w:val="Heading1Char"/>
    <w:uiPriority w:val="9"/>
    <w:qFormat/>
    <w:rsid w:val="00F97A38"/>
    <w:pPr>
      <w:spacing w:after="240" w:line="276" w:lineRule="auto"/>
      <w:outlineLvl w:val="0"/>
    </w:pPr>
    <w:rPr>
      <w:b/>
      <w:sz w:val="28"/>
      <w:lang w:val="cs-CZ"/>
    </w:rPr>
  </w:style>
  <w:style w:type="paragraph" w:styleId="Heading2">
    <w:name w:val="heading 2"/>
    <w:aliases w:val="IDEA nadpis grafu"/>
    <w:basedOn w:val="Caption"/>
    <w:next w:val="Normal"/>
    <w:link w:val="Heading2Char"/>
    <w:uiPriority w:val="9"/>
    <w:unhideWhenUsed/>
    <w:qFormat/>
    <w:rsid w:val="00E345C9"/>
    <w:pPr>
      <w:keepNext/>
      <w:spacing w:after="0"/>
      <w:jc w:val="center"/>
      <w:outlineLvl w:val="1"/>
    </w:pPr>
    <w:rPr>
      <w:rFonts w:cs="Times New Roman"/>
      <w:b/>
      <w:bCs/>
      <w:i w:val="0"/>
      <w:iCs w:val="0"/>
      <w:color w:val="2526A9"/>
      <w:sz w:val="24"/>
      <w:szCs w:val="24"/>
    </w:rPr>
  </w:style>
  <w:style w:type="paragraph" w:styleId="Heading3">
    <w:name w:val="heading 3"/>
    <w:aliases w:val="IDEA podnadpis"/>
    <w:basedOn w:val="Normal"/>
    <w:next w:val="BodyText"/>
    <w:link w:val="Heading3Char"/>
    <w:uiPriority w:val="9"/>
    <w:unhideWhenUsed/>
    <w:qFormat/>
    <w:rsid w:val="0062108F"/>
    <w:pPr>
      <w:keepNext/>
      <w:keepLines/>
      <w:spacing w:after="0" w:line="240" w:lineRule="auto"/>
      <w:outlineLvl w:val="2"/>
    </w:pPr>
    <w:rPr>
      <w:rFonts w:eastAsiaTheme="majorEastAsia" w:cstheme="majorBidi"/>
      <w:bCs/>
      <w:color w:val="2526A9"/>
      <w:szCs w:val="28"/>
      <w:lang w:val="en-US"/>
    </w:rPr>
  </w:style>
  <w:style w:type="paragraph" w:styleId="Heading4">
    <w:name w:val="heading 4"/>
    <w:basedOn w:val="Normal"/>
    <w:next w:val="BodyText"/>
    <w:link w:val="Heading4Char"/>
    <w:uiPriority w:val="9"/>
    <w:unhideWhenUsed/>
    <w:rsid w:val="00D47753"/>
    <w:pPr>
      <w:keepNext/>
      <w:keepLines/>
      <w:spacing w:before="200" w:after="0" w:line="240" w:lineRule="auto"/>
      <w:outlineLvl w:val="3"/>
    </w:pPr>
    <w:rPr>
      <w:rFonts w:asciiTheme="majorHAnsi" w:eastAsiaTheme="majorEastAsia" w:hAnsiTheme="majorHAnsi" w:cstheme="majorBidi"/>
      <w:b/>
      <w:bCs/>
      <w:color w:val="4472C4" w:themeColor="accent1"/>
      <w:szCs w:val="24"/>
      <w:lang w:val="en-US"/>
    </w:rPr>
  </w:style>
  <w:style w:type="paragraph" w:styleId="Heading8">
    <w:name w:val="heading 8"/>
    <w:basedOn w:val="Normal"/>
    <w:next w:val="Normal"/>
    <w:link w:val="Heading8Char"/>
    <w:uiPriority w:val="9"/>
    <w:semiHidden/>
    <w:unhideWhenUsed/>
    <w:qFormat/>
    <w:rsid w:val="003B637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IDEA pozn. pod čarou"/>
    <w:basedOn w:val="Normal"/>
    <w:link w:val="FootnoteTextChar"/>
    <w:uiPriority w:val="99"/>
    <w:unhideWhenUsed/>
    <w:rsid w:val="00BB6C0F"/>
    <w:pPr>
      <w:spacing w:after="0" w:line="240" w:lineRule="auto"/>
      <w:jc w:val="both"/>
    </w:pPr>
    <w:rPr>
      <w:sz w:val="18"/>
      <w:szCs w:val="20"/>
    </w:rPr>
  </w:style>
  <w:style w:type="character" w:customStyle="1" w:styleId="FootnoteTextChar">
    <w:name w:val="Footnote Text Char"/>
    <w:aliases w:val="IDEA pozn. pod čarou Char"/>
    <w:basedOn w:val="DefaultParagraphFont"/>
    <w:link w:val="FootnoteText"/>
    <w:uiPriority w:val="99"/>
    <w:rsid w:val="00BB6C0F"/>
    <w:rPr>
      <w:rFonts w:ascii="Georgia" w:hAnsi="Georgia"/>
      <w:sz w:val="18"/>
      <w:szCs w:val="20"/>
    </w:rPr>
  </w:style>
  <w:style w:type="character" w:styleId="FootnoteReference">
    <w:name w:val="footnote reference"/>
    <w:basedOn w:val="DefaultParagraphFont"/>
    <w:uiPriority w:val="99"/>
    <w:unhideWhenUsed/>
    <w:rsid w:val="009D3AC0"/>
    <w:rPr>
      <w:vertAlign w:val="superscript"/>
    </w:rPr>
  </w:style>
  <w:style w:type="character" w:styleId="Hyperlink">
    <w:name w:val="Hyperlink"/>
    <w:basedOn w:val="DefaultParagraphFont"/>
    <w:unhideWhenUsed/>
    <w:rsid w:val="009D3AC0"/>
    <w:rPr>
      <w:color w:val="0563C1" w:themeColor="hyperlink"/>
      <w:u w:val="single"/>
    </w:rPr>
  </w:style>
  <w:style w:type="character" w:customStyle="1" w:styleId="UnresolvedMention1">
    <w:name w:val="Unresolved Mention1"/>
    <w:basedOn w:val="DefaultParagraphFont"/>
    <w:uiPriority w:val="99"/>
    <w:semiHidden/>
    <w:unhideWhenUsed/>
    <w:rsid w:val="009D3AC0"/>
    <w:rPr>
      <w:color w:val="605E5C"/>
      <w:shd w:val="clear" w:color="auto" w:fill="E1DFDD"/>
    </w:rPr>
  </w:style>
  <w:style w:type="paragraph" w:styleId="BalloonText">
    <w:name w:val="Balloon Text"/>
    <w:basedOn w:val="Normal"/>
    <w:link w:val="BalloonTextChar"/>
    <w:uiPriority w:val="99"/>
    <w:semiHidden/>
    <w:unhideWhenUsed/>
    <w:rsid w:val="00185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EF"/>
    <w:rPr>
      <w:rFonts w:ascii="Tahoma" w:hAnsi="Tahoma" w:cs="Tahoma"/>
      <w:sz w:val="16"/>
      <w:szCs w:val="16"/>
    </w:rPr>
  </w:style>
  <w:style w:type="paragraph" w:customStyle="1" w:styleId="zfr3q">
    <w:name w:val="zfr3q"/>
    <w:basedOn w:val="Normal"/>
    <w:rsid w:val="00507711"/>
    <w:pPr>
      <w:spacing w:before="100" w:beforeAutospacing="1" w:after="100" w:afterAutospacing="1" w:line="240" w:lineRule="auto"/>
    </w:pPr>
    <w:rPr>
      <w:rFonts w:ascii="Times New Roman" w:eastAsia="Times New Roman" w:hAnsi="Times New Roman" w:cs="Times New Roman"/>
      <w:szCs w:val="24"/>
      <w:lang w:val="en-US"/>
    </w:rPr>
  </w:style>
  <w:style w:type="character" w:styleId="CommentReference">
    <w:name w:val="annotation reference"/>
    <w:basedOn w:val="DefaultParagraphFont"/>
    <w:uiPriority w:val="99"/>
    <w:semiHidden/>
    <w:unhideWhenUsed/>
    <w:rsid w:val="00DC6B0A"/>
    <w:rPr>
      <w:sz w:val="16"/>
      <w:szCs w:val="16"/>
    </w:rPr>
  </w:style>
  <w:style w:type="paragraph" w:styleId="CommentText">
    <w:name w:val="annotation text"/>
    <w:basedOn w:val="Normal"/>
    <w:link w:val="CommentTextChar"/>
    <w:uiPriority w:val="99"/>
    <w:semiHidden/>
    <w:unhideWhenUsed/>
    <w:rsid w:val="00DC6B0A"/>
    <w:pPr>
      <w:spacing w:line="240" w:lineRule="auto"/>
    </w:pPr>
    <w:rPr>
      <w:sz w:val="20"/>
      <w:szCs w:val="20"/>
    </w:rPr>
  </w:style>
  <w:style w:type="character" w:customStyle="1" w:styleId="CommentTextChar">
    <w:name w:val="Comment Text Char"/>
    <w:basedOn w:val="DefaultParagraphFont"/>
    <w:link w:val="CommentText"/>
    <w:uiPriority w:val="99"/>
    <w:semiHidden/>
    <w:rsid w:val="00DC6B0A"/>
    <w:rPr>
      <w:sz w:val="20"/>
      <w:szCs w:val="20"/>
    </w:rPr>
  </w:style>
  <w:style w:type="paragraph" w:styleId="CommentSubject">
    <w:name w:val="annotation subject"/>
    <w:basedOn w:val="CommentText"/>
    <w:next w:val="CommentText"/>
    <w:link w:val="CommentSubjectChar"/>
    <w:uiPriority w:val="99"/>
    <w:semiHidden/>
    <w:unhideWhenUsed/>
    <w:rsid w:val="00DC6B0A"/>
    <w:rPr>
      <w:b/>
      <w:bCs/>
    </w:rPr>
  </w:style>
  <w:style w:type="character" w:customStyle="1" w:styleId="CommentSubjectChar">
    <w:name w:val="Comment Subject Char"/>
    <w:basedOn w:val="CommentTextChar"/>
    <w:link w:val="CommentSubject"/>
    <w:uiPriority w:val="99"/>
    <w:semiHidden/>
    <w:rsid w:val="00DC6B0A"/>
    <w:rPr>
      <w:b/>
      <w:bCs/>
      <w:sz w:val="20"/>
      <w:szCs w:val="20"/>
    </w:rPr>
  </w:style>
  <w:style w:type="paragraph" w:styleId="ListParagraph">
    <w:name w:val="List Paragraph"/>
    <w:aliases w:val="IDEA shrnutí seznam"/>
    <w:basedOn w:val="Normal"/>
    <w:uiPriority w:val="34"/>
    <w:qFormat/>
    <w:rsid w:val="005E18B8"/>
    <w:pPr>
      <w:numPr>
        <w:numId w:val="11"/>
      </w:numPr>
      <w:spacing w:after="120" w:line="276" w:lineRule="auto"/>
      <w:ind w:left="340" w:hanging="340"/>
      <w:jc w:val="both"/>
    </w:pPr>
    <w:rPr>
      <w:rFonts w:cs="Tahoma"/>
      <w:sz w:val="22"/>
      <w:szCs w:val="24"/>
    </w:rPr>
  </w:style>
  <w:style w:type="character" w:customStyle="1" w:styleId="UnresolvedMention2">
    <w:name w:val="Unresolved Mention2"/>
    <w:basedOn w:val="DefaultParagraphFont"/>
    <w:uiPriority w:val="99"/>
    <w:semiHidden/>
    <w:unhideWhenUsed/>
    <w:rsid w:val="00DD12F9"/>
    <w:rPr>
      <w:color w:val="605E5C"/>
      <w:shd w:val="clear" w:color="auto" w:fill="E1DFDD"/>
    </w:rPr>
  </w:style>
  <w:style w:type="paragraph" w:styleId="Header">
    <w:name w:val="header"/>
    <w:basedOn w:val="Normal"/>
    <w:link w:val="HeaderChar"/>
    <w:uiPriority w:val="99"/>
    <w:unhideWhenUsed/>
    <w:rsid w:val="00035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9D8"/>
  </w:style>
  <w:style w:type="paragraph" w:styleId="Footer">
    <w:name w:val="footer"/>
    <w:basedOn w:val="Normal"/>
    <w:link w:val="FooterChar"/>
    <w:uiPriority w:val="99"/>
    <w:unhideWhenUsed/>
    <w:rsid w:val="00035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9D8"/>
  </w:style>
  <w:style w:type="paragraph" w:styleId="BodyText">
    <w:name w:val="Body Text"/>
    <w:basedOn w:val="Normal"/>
    <w:link w:val="BodyTextChar"/>
    <w:rsid w:val="00A56A7D"/>
    <w:pPr>
      <w:spacing w:after="120"/>
      <w:jc w:val="both"/>
    </w:pPr>
    <w:rPr>
      <w:rFonts w:eastAsia="SimSun" w:cs="Times New Roman"/>
      <w:szCs w:val="24"/>
      <w:lang w:eastAsia="en-GB" w:bidi="ar-AE"/>
    </w:rPr>
  </w:style>
  <w:style w:type="character" w:customStyle="1" w:styleId="BodyTextChar">
    <w:name w:val="Body Text Char"/>
    <w:basedOn w:val="DefaultParagraphFont"/>
    <w:link w:val="BodyText"/>
    <w:rsid w:val="00A56A7D"/>
    <w:rPr>
      <w:rFonts w:ascii="Georgia" w:eastAsia="SimSun" w:hAnsi="Georgia" w:cs="Times New Roman"/>
      <w:sz w:val="24"/>
      <w:szCs w:val="24"/>
      <w:lang w:eastAsia="en-GB" w:bidi="ar-AE"/>
    </w:rPr>
  </w:style>
  <w:style w:type="character" w:customStyle="1" w:styleId="Nevyeenzmnka1">
    <w:name w:val="Nevyřešená zmínka1"/>
    <w:basedOn w:val="DefaultParagraphFont"/>
    <w:uiPriority w:val="99"/>
    <w:semiHidden/>
    <w:unhideWhenUsed/>
    <w:rsid w:val="00D768D8"/>
    <w:rPr>
      <w:color w:val="605E5C"/>
      <w:shd w:val="clear" w:color="auto" w:fill="E1DFDD"/>
    </w:rPr>
  </w:style>
  <w:style w:type="character" w:customStyle="1" w:styleId="Heading3Char">
    <w:name w:val="Heading 3 Char"/>
    <w:aliases w:val="IDEA podnadpis Char"/>
    <w:basedOn w:val="DefaultParagraphFont"/>
    <w:link w:val="Heading3"/>
    <w:uiPriority w:val="9"/>
    <w:rsid w:val="0062108F"/>
    <w:rPr>
      <w:rFonts w:ascii="Georgia" w:eastAsiaTheme="majorEastAsia" w:hAnsi="Georgia" w:cstheme="majorBidi"/>
      <w:bCs/>
      <w:color w:val="2526A9"/>
      <w:sz w:val="24"/>
      <w:szCs w:val="28"/>
      <w:lang w:val="en-US"/>
    </w:rPr>
  </w:style>
  <w:style w:type="character" w:customStyle="1" w:styleId="Heading4Char">
    <w:name w:val="Heading 4 Char"/>
    <w:basedOn w:val="DefaultParagraphFont"/>
    <w:link w:val="Heading4"/>
    <w:uiPriority w:val="9"/>
    <w:rsid w:val="00D47753"/>
    <w:rPr>
      <w:rFonts w:asciiTheme="majorHAnsi" w:eastAsiaTheme="majorEastAsia" w:hAnsiTheme="majorHAnsi" w:cstheme="majorBidi"/>
      <w:b/>
      <w:bCs/>
      <w:color w:val="4472C4" w:themeColor="accent1"/>
      <w:sz w:val="24"/>
      <w:szCs w:val="24"/>
      <w:lang w:val="en-US"/>
    </w:rPr>
  </w:style>
  <w:style w:type="paragraph" w:customStyle="1" w:styleId="FirstParagraph">
    <w:name w:val="First Paragraph"/>
    <w:basedOn w:val="BodyText"/>
    <w:next w:val="BodyText"/>
    <w:rsid w:val="00D47753"/>
    <w:pPr>
      <w:spacing w:before="180" w:after="180" w:line="240" w:lineRule="auto"/>
      <w:jc w:val="left"/>
    </w:pPr>
    <w:rPr>
      <w:rFonts w:asciiTheme="minorHAnsi" w:eastAsiaTheme="minorHAnsi" w:hAnsiTheme="minorHAnsi" w:cstheme="minorBidi"/>
      <w:lang w:val="en-US" w:eastAsia="en-US" w:bidi="ar-SA"/>
    </w:rPr>
  </w:style>
  <w:style w:type="paragraph" w:customStyle="1" w:styleId="Compact">
    <w:name w:val="Compact"/>
    <w:basedOn w:val="BodyText"/>
    <w:rsid w:val="00D47753"/>
    <w:pPr>
      <w:spacing w:before="36" w:after="36" w:line="240" w:lineRule="auto"/>
      <w:jc w:val="left"/>
    </w:pPr>
    <w:rPr>
      <w:rFonts w:asciiTheme="minorHAnsi" w:eastAsiaTheme="minorHAnsi" w:hAnsiTheme="minorHAnsi" w:cstheme="minorBidi"/>
      <w:lang w:val="en-US" w:eastAsia="en-US" w:bidi="ar-SA"/>
    </w:rPr>
  </w:style>
  <w:style w:type="paragraph" w:styleId="Caption">
    <w:name w:val="caption"/>
    <w:basedOn w:val="Normal"/>
    <w:next w:val="Normal"/>
    <w:uiPriority w:val="35"/>
    <w:unhideWhenUsed/>
    <w:qFormat/>
    <w:rsid w:val="004350A4"/>
    <w:pPr>
      <w:spacing w:line="240" w:lineRule="auto"/>
    </w:pPr>
    <w:rPr>
      <w:i/>
      <w:iCs/>
      <w:color w:val="44546A" w:themeColor="text2"/>
      <w:sz w:val="18"/>
      <w:szCs w:val="18"/>
    </w:rPr>
  </w:style>
  <w:style w:type="paragraph" w:styleId="NoSpacing">
    <w:name w:val="No Spacing"/>
    <w:uiPriority w:val="1"/>
    <w:rsid w:val="008C1C4D"/>
    <w:pPr>
      <w:spacing w:after="0" w:line="240" w:lineRule="auto"/>
    </w:pPr>
  </w:style>
  <w:style w:type="character" w:customStyle="1" w:styleId="Heading1Char">
    <w:name w:val="Heading 1 Char"/>
    <w:aliases w:val="IDEA Nadpis 1 Char"/>
    <w:basedOn w:val="DefaultParagraphFont"/>
    <w:link w:val="Heading1"/>
    <w:uiPriority w:val="9"/>
    <w:rsid w:val="00F97A38"/>
    <w:rPr>
      <w:rFonts w:ascii="Georgia" w:eastAsiaTheme="majorEastAsia" w:hAnsi="Georgia" w:cstheme="majorBidi"/>
      <w:b/>
      <w:bCs/>
      <w:color w:val="2526A9"/>
      <w:sz w:val="28"/>
      <w:szCs w:val="28"/>
      <w:lang w:val="cs-CZ"/>
    </w:rPr>
  </w:style>
  <w:style w:type="character" w:customStyle="1" w:styleId="Heading2Char">
    <w:name w:val="Heading 2 Char"/>
    <w:aliases w:val="IDEA nadpis grafu Char"/>
    <w:basedOn w:val="DefaultParagraphFont"/>
    <w:link w:val="Heading2"/>
    <w:uiPriority w:val="9"/>
    <w:rsid w:val="00E345C9"/>
    <w:rPr>
      <w:rFonts w:ascii="Georgia" w:hAnsi="Georgia" w:cs="Times New Roman"/>
      <w:b/>
      <w:bCs/>
      <w:color w:val="2526A9"/>
      <w:sz w:val="24"/>
      <w:szCs w:val="24"/>
      <w:lang w:val="cs-CZ"/>
    </w:rPr>
  </w:style>
  <w:style w:type="paragraph" w:customStyle="1" w:styleId="IDEAseznam">
    <w:name w:val="IDEA seznam"/>
    <w:basedOn w:val="ListParagraph"/>
    <w:qFormat/>
    <w:rsid w:val="00EF6ED8"/>
    <w:pPr>
      <w:numPr>
        <w:numId w:val="12"/>
      </w:numPr>
      <w:ind w:left="568" w:right="284" w:hanging="284"/>
    </w:pPr>
    <w:rPr>
      <w:sz w:val="24"/>
    </w:rPr>
  </w:style>
  <w:style w:type="table" w:styleId="TableGrid">
    <w:name w:val="Table Grid"/>
    <w:basedOn w:val="TableNormal"/>
    <w:uiPriority w:val="39"/>
    <w:rsid w:val="001B71FB"/>
    <w:pPr>
      <w:spacing w:after="0" w:line="240" w:lineRule="auto"/>
      <w:jc w:val="both"/>
    </w:pPr>
    <w:rPr>
      <w:rFonts w:eastAsiaTheme="minorEastAsia"/>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3B637D"/>
    <w:rPr>
      <w:rFonts w:asciiTheme="majorHAnsi" w:eastAsiaTheme="majorEastAsia" w:hAnsiTheme="majorHAnsi" w:cstheme="majorBidi"/>
      <w:color w:val="272727" w:themeColor="text1" w:themeTint="D8"/>
      <w:sz w:val="21"/>
      <w:szCs w:val="21"/>
      <w:lang w:val="cs-CZ"/>
    </w:rPr>
  </w:style>
  <w:style w:type="paragraph" w:styleId="Title">
    <w:name w:val="Title"/>
    <w:basedOn w:val="Normal"/>
    <w:next w:val="Normal"/>
    <w:link w:val="TitleChar"/>
    <w:uiPriority w:val="10"/>
    <w:rsid w:val="009A152A"/>
    <w:pPr>
      <w:spacing w:after="0" w:line="276" w:lineRule="auto"/>
      <w:jc w:val="center"/>
    </w:pPr>
    <w:rPr>
      <w:sz w:val="52"/>
      <w:szCs w:val="52"/>
    </w:rPr>
  </w:style>
  <w:style w:type="character" w:customStyle="1" w:styleId="TitleChar">
    <w:name w:val="Title Char"/>
    <w:basedOn w:val="DefaultParagraphFont"/>
    <w:link w:val="Title"/>
    <w:uiPriority w:val="10"/>
    <w:rsid w:val="009A152A"/>
    <w:rPr>
      <w:rFonts w:ascii="Georgia" w:hAnsi="Georgia"/>
      <w:sz w:val="52"/>
      <w:szCs w:val="52"/>
      <w:lang w:val="cs-CZ"/>
    </w:rPr>
  </w:style>
  <w:style w:type="paragraph" w:styleId="Subtitle">
    <w:name w:val="Subtitle"/>
    <w:basedOn w:val="Normal"/>
    <w:next w:val="Normal"/>
    <w:link w:val="SubtitleChar"/>
    <w:uiPriority w:val="11"/>
    <w:rsid w:val="009A152A"/>
    <w:pPr>
      <w:pBdr>
        <w:bottom w:val="single" w:sz="4" w:space="1" w:color="auto"/>
      </w:pBdr>
      <w:spacing w:after="120"/>
      <w:jc w:val="center"/>
      <w:outlineLvl w:val="0"/>
    </w:pPr>
    <w:rPr>
      <w:b/>
      <w:bCs/>
      <w:i/>
      <w:sz w:val="20"/>
      <w:szCs w:val="20"/>
    </w:rPr>
  </w:style>
  <w:style w:type="character" w:customStyle="1" w:styleId="SubtitleChar">
    <w:name w:val="Subtitle Char"/>
    <w:basedOn w:val="DefaultParagraphFont"/>
    <w:link w:val="Subtitle"/>
    <w:uiPriority w:val="11"/>
    <w:rsid w:val="009A152A"/>
    <w:rPr>
      <w:rFonts w:ascii="Georgia" w:hAnsi="Georgia"/>
      <w:b/>
      <w:bCs/>
      <w:i/>
      <w:sz w:val="20"/>
      <w:szCs w:val="20"/>
      <w:lang w:val="cs-CZ"/>
    </w:rPr>
  </w:style>
  <w:style w:type="paragraph" w:styleId="Date">
    <w:name w:val="Date"/>
    <w:basedOn w:val="Normal"/>
    <w:next w:val="Normal"/>
    <w:link w:val="DateChar"/>
    <w:uiPriority w:val="99"/>
    <w:semiHidden/>
    <w:unhideWhenUsed/>
    <w:rsid w:val="009A152A"/>
  </w:style>
  <w:style w:type="character" w:customStyle="1" w:styleId="DateChar">
    <w:name w:val="Date Char"/>
    <w:basedOn w:val="DefaultParagraphFont"/>
    <w:link w:val="Date"/>
    <w:uiPriority w:val="99"/>
    <w:semiHidden/>
    <w:rsid w:val="009A152A"/>
    <w:rPr>
      <w:rFonts w:ascii="Georgia" w:hAnsi="Georgia"/>
      <w:sz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idea.cerge-ei.cz/images/COVID/IDEA_Dusevni_zdravi_covid-19_cervenec2020_22.pdf" TargetMode="External"/><Relationship Id="rId39" Type="http://schemas.openxmlformats.org/officeDocument/2006/relationships/hyperlink" Target="https://idea.cerge-ei.cz/files/IDEA_Jak_komunikovat_Covid19_brezen2020_9/IDEA_Jak_komunikovat_Covid19_brezen2020_9.html" TargetMode="External"/><Relationship Id="rId21" Type="http://schemas.openxmlformats.org/officeDocument/2006/relationships/chart" Target="charts/chart11.xml"/><Relationship Id="rId34" Type="http://schemas.openxmlformats.org/officeDocument/2006/relationships/hyperlink" Target="https://idea.cerge-ei.cz/files/IDEA_Trasovani_covid19_duben2020_14/IDEA_Trasovani_covid19_duben2020_14.html" TargetMode="External"/><Relationship Id="rId42" Type="http://schemas.openxmlformats.org/officeDocument/2006/relationships/hyperlink" Target="https://idea.cerge-ei.cz/files/IDEA_Behavioralni_prevence_Covid19_brezen2020_6/IDEA_Behavioralni_prevence_Covid19_brezen2020_6.html" TargetMode="External"/><Relationship Id="rId47" Type="http://schemas.openxmlformats.org/officeDocument/2006/relationships/hyperlink" Target="https://idea.cerge-ei.cz/files/IDEA_Pripad_Covid_19_brezen_2020_1/IDEA_Pripad_Covid_19_brezen_2020_1.html"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hyperlink" Target="https://idea.cerge-ei.cz/images/COVID/IDEA_Startupy_Covid19_kveten2020_19.pdf" TargetMode="External"/><Relationship Id="rId11" Type="http://schemas.openxmlformats.org/officeDocument/2006/relationships/hyperlink" Target="https://www.sciencedirect.com/science/article/pii/S0047272720300992" TargetMode="External"/><Relationship Id="rId24" Type="http://schemas.openxmlformats.org/officeDocument/2006/relationships/chart" Target="charts/chart14.xml"/><Relationship Id="rId32" Type="http://schemas.openxmlformats.org/officeDocument/2006/relationships/hyperlink" Target="https://idea.cerge-ei.cz/images/COVID/IDEA_Makro_politika_COVID-19_Duben2020_16.pdf" TargetMode="External"/><Relationship Id="rId37" Type="http://schemas.openxmlformats.org/officeDocument/2006/relationships/hyperlink" Target="https://idea.cerge-ei.cz/files/IDEA_Sber_dat_COVID19_duben2020_11/IDEA_Sber_dat_COVID19_duben2020_11.html" TargetMode="External"/><Relationship Id="rId40" Type="http://schemas.openxmlformats.org/officeDocument/2006/relationships/hyperlink" Target="https://idea.cerge-ei.cz/files/IDEA_Prehled_zahranicni_testovaci_praxe_Covid19_brezen2020_8/IDEA_Prehled_zahranicni_testovaci_praxe_Covid19_brezen2020_8.html" TargetMode="External"/><Relationship Id="rId45" Type="http://schemas.openxmlformats.org/officeDocument/2006/relationships/hyperlink" Target="https://idea.cerge-ei.cz/files/IDEA_Rychle_jednoduse_ekonomicky_Covid19_brezen2020_3/IDEA_Rychle_jednoduse_ekonomicky_Covid19_brezen2020_3.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chart" Target="charts/chart2.xml"/><Relationship Id="rId19" Type="http://schemas.openxmlformats.org/officeDocument/2006/relationships/chart" Target="charts/chart9.xml"/><Relationship Id="rId31" Type="http://schemas.openxmlformats.org/officeDocument/2006/relationships/hyperlink" Target="https://idea.cerge-ei.cz/images/COVID/IDEA_Jak_probudit_ekonomiku_Covid19_kveten_17.pdf" TargetMode="External"/><Relationship Id="rId44" Type="http://schemas.openxmlformats.org/officeDocument/2006/relationships/hyperlink" Target="https://idea.cerge-ei.cz/files/IDEA_Zmeny_insolvencni_zakon_Covid-19_4_brezen_2020/IDEA_Zmeny_insolvencni_zakon_Covid-19_4_brezen_2020.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yperlink" Target="https://idea.cerge-ei.cz/images/COVID/IDEA_Gender_dopady_covid-19_cerven_21.pdf" TargetMode="External"/><Relationship Id="rId30" Type="http://schemas.openxmlformats.org/officeDocument/2006/relationships/hyperlink" Target="https://idea.cerge-ei.cz/images/COVID/IDEA_Nerovnosti_ve_vzdelavani_COVID-19_kveten2020_18.pdf" TargetMode="External"/><Relationship Id="rId35" Type="http://schemas.openxmlformats.org/officeDocument/2006/relationships/hyperlink" Target="https://idea.cerge-ei.cz/files/IDEA_Kurzarbeit_zahranicni_zkusenost_Covid19_duben2020_13/IDEA_Kurzarbeit_zahranicni_zkusenost_Covid19_duben2020_13.html" TargetMode="External"/><Relationship Id="rId43" Type="http://schemas.openxmlformats.org/officeDocument/2006/relationships/hyperlink" Target="https://idea.cerge-ei.cz/files/IDEA_Testovani_na_Covid19_brezen2020_5/IDEA_Testovani_na_Covid19_brezen2020_5.html"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onetcenter.org/database.html" TargetMode="Externa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hyperlink" Target="https://idea.cerge-ei.cz/images/COVID/IDEA_Serologicke_testy_COVID19_duben2020_15.pdf" TargetMode="External"/><Relationship Id="rId38" Type="http://schemas.openxmlformats.org/officeDocument/2006/relationships/hyperlink" Target="https://idea.cerge-ei.cz/files/IDEA_Efektivni_zpusob_komunikace_vladnich_pokynu_COVID19_duben2020_10/IDEA_Efektivni_zpusob_komunikace_vladnich_pokynu_COVID19_duben2020_10.html" TargetMode="External"/><Relationship Id="rId46" Type="http://schemas.openxmlformats.org/officeDocument/2006/relationships/hyperlink" Target="https://idea.cerge-ei.cz/files/IDEA_Ekonomicky_sok_Covid19_brezen_2020_2/IDEA_Ekonomicky_sok_Covid19_brezen_2020_2.html" TargetMode="External"/><Relationship Id="rId20" Type="http://schemas.openxmlformats.org/officeDocument/2006/relationships/chart" Target="charts/chart10.xml"/><Relationship Id="rId41" Type="http://schemas.openxmlformats.org/officeDocument/2006/relationships/hyperlink" Target="https://idea.cerge-ei.cz/files/IDEA_Pristup_domacnosti_k_nakaze_a_vladnim_opatrenim_Covid19_brezen2020_7/IDEA_Pristup_domacnosti_k_nakaze_a_vladnim_opatrenim_Covid19_brezen2020_7.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hyperlink" Target="https://idea.cerge-ei.cz/images/COVID/IDEA_Kriza_a_straty_na_zivotoch_Cerven2020_covid19_20.pdf" TargetMode="External"/><Relationship Id="rId36" Type="http://schemas.openxmlformats.org/officeDocument/2006/relationships/hyperlink" Target="https://idea.cerge-ei.cz/files/IDEA_Vymahani_koronavirovych_omezeni_COVID19_duben2020_12/IDEA_Vymahani_koronavirovych_omezeni_COVID19_duben2020_12.html" TargetMode="External"/><Relationship Id="rId4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ibs.org.pl/en/resources/occupation-classifications-crosswalks-from-onet-soc-to-isco/" TargetMode="External"/><Relationship Id="rId3" Type="http://schemas.openxmlformats.org/officeDocument/2006/relationships/hyperlink" Target="https://ct24.ceskatelevize.cz/ekonomika/3096716-zkusenost-s-home-office-se-vyrazne-lisi-pruzkum-v-cesku-naznacil-pokles" TargetMode="External"/><Relationship Id="rId7" Type="http://schemas.openxmlformats.org/officeDocument/2006/relationships/hyperlink" Target="https://wave.rozhlas.cz/pruzkum-odhalil-vysokou-spokojenost-s-praci-z-domova-lide-na-home-officu-zustali-8193753" TargetMode="External"/><Relationship Id="rId2" Type="http://schemas.openxmlformats.org/officeDocument/2006/relationships/hyperlink" Target="https://wave.rozhlas.cz/pruzkum-odhalil-vysokou-spokojenost-s-praci-z-domova-lide-na-home-officu-zustali-8193753" TargetMode="External"/><Relationship Id="rId1" Type="http://schemas.openxmlformats.org/officeDocument/2006/relationships/hyperlink" Target="http://www.t-press.cz/cs/tiskove-materialy/tiskove-zpravy-t-mobile/pruzkum-jak-si-vedou-lide-a-firmy-v-dobe-prace-z-domova.html" TargetMode="External"/><Relationship Id="rId6" Type="http://schemas.openxmlformats.org/officeDocument/2006/relationships/hyperlink" Target="https://ct24.ceskatelevize.cz/ekonomika/3096716-zkusenost-s-home-office-se-vyrazne-lisi-pruzkum-v-cesku-naznacil-pokles" TargetMode="External"/><Relationship Id="rId5" Type="http://schemas.openxmlformats.org/officeDocument/2006/relationships/hyperlink" Target="https://news.stanford.edu/2020/03/30/productivity-pitfalls-working-home-age-covid-19/" TargetMode="External"/><Relationship Id="rId4" Type="http://schemas.openxmlformats.org/officeDocument/2006/relationships/hyperlink" Target="https://idea.cerge-ei.cz/ostatni/" TargetMode="External"/><Relationship Id="rId9" Type="http://schemas.openxmlformats.org/officeDocument/2006/relationships/hyperlink" Target="https://www.onetcenter.org/crosswalk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ajgar_M\Downloads\results_homejob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cs-CZ" sz="1000"/>
              <a:t>Podíl pracovníků schopných</a:t>
            </a:r>
            <a:r>
              <a:rPr lang="cs-CZ" sz="1000" baseline="0"/>
              <a:t> pracovat z domova (%)</a:t>
            </a:r>
            <a:endParaRPr lang="en-GB"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48044086403707514"/>
          <c:y val="8.6460280881777471E-2"/>
          <c:w val="0.46680751933784775"/>
          <c:h val="0.85597638860552461"/>
        </c:manualLayout>
      </c:layout>
      <c:barChart>
        <c:barDir val="bar"/>
        <c:grouping val="stacked"/>
        <c:varyColors val="0"/>
        <c:ser>
          <c:idx val="0"/>
          <c:order val="0"/>
          <c:spPr>
            <a:noFill/>
            <a:ln w="19050">
              <a:solidFill>
                <a:srgbClr val="0070C0"/>
              </a:solidFill>
            </a:ln>
            <a:effectLst/>
          </c:spPr>
          <c:invertIfNegative val="0"/>
          <c:dPt>
            <c:idx val="9"/>
            <c:invertIfNegative val="0"/>
            <c:bubble3D val="0"/>
            <c:spPr>
              <a:noFill/>
              <a:ln w="19050">
                <a:solidFill>
                  <a:srgbClr val="FF0000"/>
                </a:solidFill>
              </a:ln>
              <a:effectLst/>
            </c:spPr>
            <c:extLst>
              <c:ext xmlns:c16="http://schemas.microsoft.com/office/drawing/2014/chart" uri="{C3380CC4-5D6E-409C-BE32-E72D297353CC}">
                <c16:uniqueId val="{00000001-B1EA-40B3-A70C-2B382D637706}"/>
              </c:ext>
            </c:extLst>
          </c:dPt>
          <c:cat>
            <c:strRef>
              <c:f>'[results_homejobs.xlsx]Multi-Country'!$G$3:$G$31</c:f>
              <c:strCache>
                <c:ptCount val="29"/>
                <c:pt idx="0">
                  <c:v>Ghana</c:v>
                </c:pt>
                <c:pt idx="1">
                  <c:v>Romania</c:v>
                </c:pt>
                <c:pt idx="2">
                  <c:v>Mexico</c:v>
                </c:pt>
                <c:pt idx="3">
                  <c:v>Bulgaria</c:v>
                </c:pt>
                <c:pt idx="4">
                  <c:v>Slovakia</c:v>
                </c:pt>
                <c:pt idx="5">
                  <c:v>Hungary</c:v>
                </c:pt>
                <c:pt idx="6">
                  <c:v>Spain</c:v>
                </c:pt>
                <c:pt idx="7">
                  <c:v>Greece</c:v>
                </c:pt>
                <c:pt idx="8">
                  <c:v>Croatia</c:v>
                </c:pt>
                <c:pt idx="9">
                  <c:v>Czechia</c:v>
                </c:pt>
                <c:pt idx="10">
                  <c:v>Portugal</c:v>
                </c:pt>
                <c:pt idx="11">
                  <c:v>Poland</c:v>
                </c:pt>
                <c:pt idx="12">
                  <c:v>Russian Federation</c:v>
                </c:pt>
                <c:pt idx="13">
                  <c:v>Italy</c:v>
                </c:pt>
                <c:pt idx="14">
                  <c:v>Austria</c:v>
                </c:pt>
                <c:pt idx="15">
                  <c:v>Germany</c:v>
                </c:pt>
                <c:pt idx="16">
                  <c:v>France</c:v>
                </c:pt>
                <c:pt idx="17">
                  <c:v>Slovenia</c:v>
                </c:pt>
                <c:pt idx="18">
                  <c:v>Ireland</c:v>
                </c:pt>
                <c:pt idx="19">
                  <c:v>Finland</c:v>
                </c:pt>
                <c:pt idx="20">
                  <c:v>Estonia</c:v>
                </c:pt>
                <c:pt idx="21">
                  <c:v>Denmark</c:v>
                </c:pt>
                <c:pt idx="22">
                  <c:v>Netherlands</c:v>
                </c:pt>
                <c:pt idx="23">
                  <c:v>United States</c:v>
                </c:pt>
                <c:pt idx="24">
                  <c:v>Norway</c:v>
                </c:pt>
                <c:pt idx="25">
                  <c:v>Belgium</c:v>
                </c:pt>
                <c:pt idx="26">
                  <c:v>United Kingdom</c:v>
                </c:pt>
                <c:pt idx="27">
                  <c:v>Sweden</c:v>
                </c:pt>
                <c:pt idx="28">
                  <c:v>Switzerland</c:v>
                </c:pt>
              </c:strCache>
            </c:strRef>
          </c:cat>
          <c:val>
            <c:numRef>
              <c:f>'[results_homejobs.xlsx]Multi-Country'!$I$3:$I$31</c:f>
              <c:numCache>
                <c:formatCode>0%</c:formatCode>
                <c:ptCount val="29"/>
                <c:pt idx="0">
                  <c:v>0.15197946000000001</c:v>
                </c:pt>
                <c:pt idx="1">
                  <c:v>0.21756523999999999</c:v>
                </c:pt>
                <c:pt idx="2">
                  <c:v>0.22319770999999999</c:v>
                </c:pt>
                <c:pt idx="3">
                  <c:v>0.28902095999999999</c:v>
                </c:pt>
                <c:pt idx="4">
                  <c:v>0.29041317</c:v>
                </c:pt>
                <c:pt idx="5">
                  <c:v>0.30920234000000002</c:v>
                </c:pt>
                <c:pt idx="6">
                  <c:v>0.31690371000000001</c:v>
                </c:pt>
                <c:pt idx="7">
                  <c:v>0.32338822</c:v>
                </c:pt>
                <c:pt idx="8">
                  <c:v>0.32696210999999997</c:v>
                </c:pt>
                <c:pt idx="9">
                  <c:v>0.32994013999999999</c:v>
                </c:pt>
                <c:pt idx="10">
                  <c:v>0.33162573000000001</c:v>
                </c:pt>
                <c:pt idx="11">
                  <c:v>0.33345813000000002</c:v>
                </c:pt>
                <c:pt idx="12">
                  <c:v>0.33923315999999998</c:v>
                </c:pt>
                <c:pt idx="13">
                  <c:v>0.34985268000000003</c:v>
                </c:pt>
                <c:pt idx="14">
                  <c:v>0.36692569000000003</c:v>
                </c:pt>
                <c:pt idx="15">
                  <c:v>0.36728251000000001</c:v>
                </c:pt>
                <c:pt idx="16">
                  <c:v>0.37736346999999998</c:v>
                </c:pt>
                <c:pt idx="17">
                  <c:v>0.37825024000000002</c:v>
                </c:pt>
                <c:pt idx="18">
                  <c:v>0.38710697999999999</c:v>
                </c:pt>
                <c:pt idx="19">
                  <c:v>0.38919126999999998</c:v>
                </c:pt>
                <c:pt idx="20">
                  <c:v>0.39750791000000002</c:v>
                </c:pt>
                <c:pt idx="21">
                  <c:v>0.41422671</c:v>
                </c:pt>
                <c:pt idx="22">
                  <c:v>0.41546675999999999</c:v>
                </c:pt>
                <c:pt idx="23">
                  <c:v>0.41574552999999997</c:v>
                </c:pt>
                <c:pt idx="24">
                  <c:v>0.41718485999999999</c:v>
                </c:pt>
                <c:pt idx="25">
                  <c:v>0.42335179000000001</c:v>
                </c:pt>
                <c:pt idx="26">
                  <c:v>0.43502079999999999</c:v>
                </c:pt>
                <c:pt idx="27">
                  <c:v>0.44198968999999999</c:v>
                </c:pt>
                <c:pt idx="28">
                  <c:v>0.44855413</c:v>
                </c:pt>
              </c:numCache>
            </c:numRef>
          </c:val>
          <c:extLst>
            <c:ext xmlns:c16="http://schemas.microsoft.com/office/drawing/2014/chart" uri="{C3380CC4-5D6E-409C-BE32-E72D297353CC}">
              <c16:uniqueId val="{00000002-B1EA-40B3-A70C-2B382D637706}"/>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sz="1000" i="1"/>
              <a:t>Podíl všech pracovníků </a:t>
            </a:r>
            <a:r>
              <a:rPr lang="cs-CZ" sz="1000" b="0" i="1" u="none" strike="noStrike" baseline="0">
                <a:effectLst/>
              </a:rPr>
              <a:t> (%)</a:t>
            </a:r>
            <a:endParaRPr lang="en-GB" sz="10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15646315183684212"/>
          <c:y val="0.11160121665596127"/>
          <c:w val="0.76387107525163322"/>
          <c:h val="0.78877257326658401"/>
        </c:manualLayout>
      </c:layout>
      <c:barChart>
        <c:barDir val="bar"/>
        <c:grouping val="stacked"/>
        <c:varyColors val="0"/>
        <c:ser>
          <c:idx val="0"/>
          <c:order val="0"/>
          <c:spPr>
            <a:noFill/>
            <a:ln w="19050">
              <a:solidFill>
                <a:schemeClr val="tx1">
                  <a:lumMod val="65000"/>
                  <a:lumOff val="35000"/>
                </a:schemeClr>
              </a:solidFill>
            </a:ln>
            <a:effectLst/>
          </c:spPr>
          <c:invertIfNegative val="0"/>
          <c:val>
            <c:numRef>
              <c:f>[results_homejobs.xlsx]Vzdělání!$G$2:$G$11</c:f>
              <c:numCache>
                <c:formatCode>0%</c:formatCode>
                <c:ptCount val="10"/>
                <c:pt idx="0">
                  <c:v>9.8302255464670273E-5</c:v>
                </c:pt>
                <c:pt idx="1">
                  <c:v>3.8761328970822358E-2</c:v>
                </c:pt>
                <c:pt idx="2">
                  <c:v>0.35519874850421518</c:v>
                </c:pt>
                <c:pt idx="3">
                  <c:v>1.3107783551111175E-4</c:v>
                </c:pt>
                <c:pt idx="4">
                  <c:v>0.3692383381099234</c:v>
                </c:pt>
                <c:pt idx="5">
                  <c:v>1.7449927998883296E-2</c:v>
                </c:pt>
                <c:pt idx="6">
                  <c:v>2.0277808102221991E-3</c:v>
                </c:pt>
                <c:pt idx="7">
                  <c:v>3.521458893329564E-2</c:v>
                </c:pt>
                <c:pt idx="8">
                  <c:v>0.17354041714421081</c:v>
                </c:pt>
                <c:pt idx="9">
                  <c:v>8.2381721713252077E-3</c:v>
                </c:pt>
              </c:numCache>
            </c:numRef>
          </c:val>
          <c:extLst>
            <c:ext xmlns:c16="http://schemas.microsoft.com/office/drawing/2014/chart" uri="{C3380CC4-5D6E-409C-BE32-E72D297353CC}">
              <c16:uniqueId val="{00000000-C104-461E-B8AA-802D3B65C24D}"/>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1"/>
        <c:axPos val="l"/>
        <c:numFmt formatCode="General" sourceLinked="1"/>
        <c:majorTickMark val="none"/>
        <c:minorTickMark val="none"/>
        <c:tickLblPos val="nextTo"/>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cs-CZ" sz="1000"/>
              <a:t>Podíl pracovníků schopných</a:t>
            </a:r>
            <a:r>
              <a:rPr lang="cs-CZ" sz="1000" baseline="0"/>
              <a:t> pracovat z domova (%)</a:t>
            </a:r>
            <a:endParaRPr lang="en-GB" sz="10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50940786140543004"/>
          <c:y val="0.18819234495558487"/>
          <c:w val="0.43784054405507827"/>
          <c:h val="0.67691755477477267"/>
        </c:manualLayout>
      </c:layout>
      <c:barChart>
        <c:barDir val="bar"/>
        <c:grouping val="stacked"/>
        <c:varyColors val="0"/>
        <c:ser>
          <c:idx val="0"/>
          <c:order val="0"/>
          <c:spPr>
            <a:noFill/>
            <a:ln w="19050">
              <a:solidFill>
                <a:srgbClr val="0070C0"/>
              </a:solidFill>
            </a:ln>
            <a:effectLst/>
          </c:spPr>
          <c:invertIfNegative val="0"/>
          <c:cat>
            <c:strRef>
              <c:f>[results_homejobs.xlsx]Zam_Pod!$B$3:$B$5</c:f>
              <c:strCache>
                <c:ptCount val="3"/>
                <c:pt idx="0">
                  <c:v>Zaměstnanec</c:v>
                </c:pt>
                <c:pt idx="1">
                  <c:v>Podnikatel bez zaměstnanců</c:v>
                </c:pt>
                <c:pt idx="2">
                  <c:v>Podnikatel se zaměstnanci</c:v>
                </c:pt>
              </c:strCache>
            </c:strRef>
          </c:cat>
          <c:val>
            <c:numRef>
              <c:f>[results_homejobs.xlsx]Zam_Pod!$E$3:$E$5</c:f>
              <c:numCache>
                <c:formatCode>0%</c:formatCode>
                <c:ptCount val="3"/>
                <c:pt idx="0">
                  <c:v>0.33369861108471099</c:v>
                </c:pt>
                <c:pt idx="1">
                  <c:v>0.36791818403756898</c:v>
                </c:pt>
                <c:pt idx="2">
                  <c:v>0.45436184391741802</c:v>
                </c:pt>
              </c:numCache>
            </c:numRef>
          </c:val>
          <c:extLst>
            <c:ext xmlns:c16="http://schemas.microsoft.com/office/drawing/2014/chart" uri="{C3380CC4-5D6E-409C-BE32-E72D297353CC}">
              <c16:uniqueId val="{00000000-C668-421F-A022-4D8813A532EC}"/>
            </c:ext>
          </c:extLst>
        </c:ser>
        <c:dLbls>
          <c:showLegendKey val="0"/>
          <c:showVal val="0"/>
          <c:showCatName val="0"/>
          <c:showSerName val="0"/>
          <c:showPercent val="0"/>
          <c:showBubbleSize val="0"/>
        </c:dLbls>
        <c:gapWidth val="7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sz="1000" i="1"/>
              <a:t>Podíl všech pracovníků </a:t>
            </a:r>
            <a:r>
              <a:rPr lang="cs-CZ" sz="1000" b="0" i="1" u="none" strike="noStrike" baseline="0">
                <a:effectLst/>
              </a:rPr>
              <a:t> (%)</a:t>
            </a:r>
            <a:endParaRPr lang="en-GB" sz="10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15646315183684212"/>
          <c:y val="0.19235371585260982"/>
          <c:w val="0.76387107525163322"/>
          <c:h val="0.65139848131662492"/>
        </c:manualLayout>
      </c:layout>
      <c:barChart>
        <c:barDir val="bar"/>
        <c:grouping val="stacked"/>
        <c:varyColors val="0"/>
        <c:ser>
          <c:idx val="0"/>
          <c:order val="0"/>
          <c:spPr>
            <a:noFill/>
            <a:ln w="19050">
              <a:solidFill>
                <a:schemeClr val="tx1">
                  <a:lumMod val="65000"/>
                  <a:lumOff val="35000"/>
                </a:schemeClr>
              </a:solidFill>
            </a:ln>
            <a:effectLst/>
          </c:spPr>
          <c:invertIfNegative val="0"/>
          <c:val>
            <c:numRef>
              <c:f>[results_homejobs.xlsx]Zam_Pod!$F$3:$F$5</c:f>
              <c:numCache>
                <c:formatCode>0%</c:formatCode>
                <c:ptCount val="3"/>
                <c:pt idx="0">
                  <c:v>0.81161384421884708</c:v>
                </c:pt>
                <c:pt idx="1">
                  <c:v>0.14030113990670837</c:v>
                </c:pt>
                <c:pt idx="2">
                  <c:v>4.1631362538010308E-2</c:v>
                </c:pt>
              </c:numCache>
            </c:numRef>
          </c:val>
          <c:extLst>
            <c:ext xmlns:c16="http://schemas.microsoft.com/office/drawing/2014/chart" uri="{C3380CC4-5D6E-409C-BE32-E72D297353CC}">
              <c16:uniqueId val="{00000000-E2B1-4B2F-AD03-48A29708E371}"/>
            </c:ext>
          </c:extLst>
        </c:ser>
        <c:dLbls>
          <c:showLegendKey val="0"/>
          <c:showVal val="0"/>
          <c:showCatName val="0"/>
          <c:showSerName val="0"/>
          <c:showPercent val="0"/>
          <c:showBubbleSize val="0"/>
        </c:dLbls>
        <c:gapWidth val="70"/>
        <c:overlap val="100"/>
        <c:axId val="219972264"/>
        <c:axId val="219977184"/>
      </c:barChart>
      <c:catAx>
        <c:axId val="219972264"/>
        <c:scaling>
          <c:orientation val="minMax"/>
        </c:scaling>
        <c:delete val="1"/>
        <c:axPos val="l"/>
        <c:numFmt formatCode="General" sourceLinked="1"/>
        <c:majorTickMark val="none"/>
        <c:minorTickMark val="none"/>
        <c:tickLblPos val="nextTo"/>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000"/>
              <a:t>Podl</a:t>
            </a:r>
            <a:r>
              <a:rPr lang="cs-CZ" sz="1000"/>
              <a:t>e pohlaví</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13283680771069717"/>
          <c:y val="0.20760406898159295"/>
          <c:w val="0.8144115977498112"/>
          <c:h val="0.61459685217823445"/>
        </c:manualLayout>
      </c:layout>
      <c:barChart>
        <c:barDir val="bar"/>
        <c:grouping val="stacked"/>
        <c:varyColors val="0"/>
        <c:ser>
          <c:idx val="0"/>
          <c:order val="0"/>
          <c:spPr>
            <a:noFill/>
            <a:ln w="19050">
              <a:solidFill>
                <a:srgbClr val="0070C0"/>
              </a:solidFill>
            </a:ln>
            <a:effectLst/>
          </c:spPr>
          <c:invertIfNegative val="0"/>
          <c:cat>
            <c:strRef>
              <c:f>[results_homejobs.xlsx]Sex!$B$2:$B$3</c:f>
              <c:strCache>
                <c:ptCount val="2"/>
                <c:pt idx="0">
                  <c:v>Muži</c:v>
                </c:pt>
                <c:pt idx="1">
                  <c:v>Ženy</c:v>
                </c:pt>
              </c:strCache>
            </c:strRef>
          </c:cat>
          <c:val>
            <c:numRef>
              <c:f>[results_homejobs.xlsx]Sex!$E$2:$E$3</c:f>
              <c:numCache>
                <c:formatCode>0%</c:formatCode>
                <c:ptCount val="2"/>
                <c:pt idx="0">
                  <c:v>0.30028576203002699</c:v>
                </c:pt>
                <c:pt idx="1">
                  <c:v>0.39287430982937099</c:v>
                </c:pt>
              </c:numCache>
            </c:numRef>
          </c:val>
          <c:extLst>
            <c:ext xmlns:c16="http://schemas.microsoft.com/office/drawing/2014/chart" uri="{C3380CC4-5D6E-409C-BE32-E72D297353CC}">
              <c16:uniqueId val="{00000000-7564-457D-A93D-1F4F3A9C6ACB}"/>
            </c:ext>
          </c:extLst>
        </c:ser>
        <c:dLbls>
          <c:showLegendKey val="0"/>
          <c:showVal val="0"/>
          <c:showCatName val="0"/>
          <c:showSerName val="0"/>
          <c:showPercent val="0"/>
          <c:showBubbleSize val="0"/>
        </c:dLbls>
        <c:gapWidth val="9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max val="0.4"/>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cs-CZ" sz="1000"/>
              <a:t>Podle typu úvazku</a:t>
            </a:r>
            <a:endParaRPr lang="en-GB" sz="10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2379947086295085"/>
          <c:y val="0.18819234495558487"/>
          <c:w val="0.70692766283223474"/>
          <c:h val="0.67691755477477267"/>
        </c:manualLayout>
      </c:layout>
      <c:barChart>
        <c:barDir val="bar"/>
        <c:grouping val="stacked"/>
        <c:varyColors val="0"/>
        <c:ser>
          <c:idx val="0"/>
          <c:order val="0"/>
          <c:spPr>
            <a:noFill/>
            <a:ln w="19050">
              <a:solidFill>
                <a:srgbClr val="0070C0"/>
              </a:solidFill>
            </a:ln>
            <a:effectLst/>
          </c:spPr>
          <c:invertIfNegative val="0"/>
          <c:cat>
            <c:strRef>
              <c:f>[results_homejobs.xlsx]Full_Parttime!$B$3:$B$4</c:f>
              <c:strCache>
                <c:ptCount val="2"/>
                <c:pt idx="0">
                  <c:v>Plný úvazek</c:v>
                </c:pt>
                <c:pt idx="1">
                  <c:v>Částečný úvazek</c:v>
                </c:pt>
              </c:strCache>
            </c:strRef>
          </c:cat>
          <c:val>
            <c:numRef>
              <c:f>[results_homejobs.xlsx]Full_Parttime!$E$3:$E$4</c:f>
              <c:numCache>
                <c:formatCode>0%</c:formatCode>
                <c:ptCount val="2"/>
                <c:pt idx="0">
                  <c:v>0.33448866835684299</c:v>
                </c:pt>
                <c:pt idx="1">
                  <c:v>0.39242369245925002</c:v>
                </c:pt>
              </c:numCache>
            </c:numRef>
          </c:val>
          <c:extLst>
            <c:ext xmlns:c16="http://schemas.microsoft.com/office/drawing/2014/chart" uri="{C3380CC4-5D6E-409C-BE32-E72D297353CC}">
              <c16:uniqueId val="{00000000-86A9-450F-8148-D23B2D640428}"/>
            </c:ext>
          </c:extLst>
        </c:ser>
        <c:dLbls>
          <c:showLegendKey val="0"/>
          <c:showVal val="0"/>
          <c:showCatName val="0"/>
          <c:showSerName val="0"/>
          <c:showPercent val="0"/>
          <c:showBubbleSize val="0"/>
        </c:dLbls>
        <c:gapWidth val="9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max val="0.4"/>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cs-CZ" sz="1000"/>
              <a:t>Podnikatelé vs.</a:t>
            </a:r>
            <a:r>
              <a:rPr lang="cs-CZ" sz="1000" baseline="0"/>
              <a:t> zaměstnanci</a:t>
            </a:r>
            <a:endParaRPr lang="en-GB" sz="1000"/>
          </a:p>
        </c:rich>
      </c:tx>
      <c:layout>
        <c:manualLayout>
          <c:xMode val="edge"/>
          <c:yMode val="edge"/>
          <c:x val="0.12127321348982321"/>
          <c:y val="2.5402201524132091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50940786140543004"/>
          <c:y val="0.18819234495558487"/>
          <c:w val="0.43784054405507827"/>
          <c:h val="0.67691755477477267"/>
        </c:manualLayout>
      </c:layout>
      <c:barChart>
        <c:barDir val="bar"/>
        <c:grouping val="stacked"/>
        <c:varyColors val="0"/>
        <c:ser>
          <c:idx val="0"/>
          <c:order val="0"/>
          <c:spPr>
            <a:noFill/>
            <a:ln w="19050">
              <a:solidFill>
                <a:srgbClr val="0070C0"/>
              </a:solidFill>
            </a:ln>
            <a:effectLst/>
          </c:spPr>
          <c:invertIfNegative val="0"/>
          <c:cat>
            <c:strRef>
              <c:f>[results_homejobs.xlsx]Zam_Pod!$B$3:$B$5</c:f>
              <c:strCache>
                <c:ptCount val="3"/>
                <c:pt idx="0">
                  <c:v>Zaměstnanec</c:v>
                </c:pt>
                <c:pt idx="1">
                  <c:v>Podnikatel bez zaměstnanců</c:v>
                </c:pt>
                <c:pt idx="2">
                  <c:v>Podnikatel se zaměstnanci</c:v>
                </c:pt>
              </c:strCache>
            </c:strRef>
          </c:cat>
          <c:val>
            <c:numRef>
              <c:f>[results_homejobs.xlsx]Zam_Pod!$E$3:$E$5</c:f>
              <c:numCache>
                <c:formatCode>0%</c:formatCode>
                <c:ptCount val="3"/>
                <c:pt idx="0">
                  <c:v>0.33369861108471099</c:v>
                </c:pt>
                <c:pt idx="1">
                  <c:v>0.36791818403756898</c:v>
                </c:pt>
                <c:pt idx="2">
                  <c:v>0.45436184391741802</c:v>
                </c:pt>
              </c:numCache>
            </c:numRef>
          </c:val>
          <c:extLst>
            <c:ext xmlns:c16="http://schemas.microsoft.com/office/drawing/2014/chart" uri="{C3380CC4-5D6E-409C-BE32-E72D297353CC}">
              <c16:uniqueId val="{00000000-5781-4CEE-AE27-C2F9D37FA657}"/>
            </c:ext>
          </c:extLst>
        </c:ser>
        <c:dLbls>
          <c:showLegendKey val="0"/>
          <c:showVal val="0"/>
          <c:showCatName val="0"/>
          <c:showSerName val="0"/>
          <c:showPercent val="0"/>
          <c:showBubbleSize val="0"/>
        </c:dLbls>
        <c:gapWidth val="7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cs-CZ" sz="1000" i="1"/>
              <a:t>HDP</a:t>
            </a:r>
            <a:r>
              <a:rPr lang="cs-CZ" sz="1000" i="1" baseline="0"/>
              <a:t> na obyvatele </a:t>
            </a:r>
            <a:endParaRPr lang="en-GB" sz="1000" i="1"/>
          </a:p>
        </c:rich>
      </c:tx>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9.3149880330135632E-2"/>
          <c:y val="8.1258250927057504E-2"/>
          <c:w val="0.82718456986150379"/>
          <c:h val="0.85959378311106704"/>
        </c:manualLayout>
      </c:layout>
      <c:barChart>
        <c:barDir val="bar"/>
        <c:grouping val="stacked"/>
        <c:varyColors val="0"/>
        <c:ser>
          <c:idx val="0"/>
          <c:order val="0"/>
          <c:spPr>
            <a:noFill/>
            <a:ln w="19050">
              <a:solidFill>
                <a:schemeClr val="tx1">
                  <a:lumMod val="65000"/>
                  <a:lumOff val="35000"/>
                </a:schemeClr>
              </a:solidFill>
            </a:ln>
            <a:effectLst/>
          </c:spPr>
          <c:invertIfNegative val="0"/>
          <c:dPt>
            <c:idx val="9"/>
            <c:invertIfNegative val="0"/>
            <c:bubble3D val="0"/>
            <c:spPr>
              <a:noFill/>
              <a:ln w="19050">
                <a:solidFill>
                  <a:srgbClr val="FF0000"/>
                </a:solidFill>
              </a:ln>
              <a:effectLst/>
            </c:spPr>
            <c:extLst>
              <c:ext xmlns:c16="http://schemas.microsoft.com/office/drawing/2014/chart" uri="{C3380CC4-5D6E-409C-BE32-E72D297353CC}">
                <c16:uniqueId val="{00000001-CA86-4D69-AEE2-88F93F71C511}"/>
              </c:ext>
            </c:extLst>
          </c:dPt>
          <c:val>
            <c:numRef>
              <c:f>'[results_homejobs.xlsx]Multi-Country'!$J$3:$J$31</c:f>
              <c:numCache>
                <c:formatCode>General</c:formatCode>
                <c:ptCount val="29"/>
                <c:pt idx="0">
                  <c:v>5256.94</c:v>
                </c:pt>
                <c:pt idx="1">
                  <c:v>27066.453000000001</c:v>
                </c:pt>
                <c:pt idx="2">
                  <c:v>20735.558000000001</c:v>
                </c:pt>
                <c:pt idx="3">
                  <c:v>24132.358</c:v>
                </c:pt>
                <c:pt idx="4">
                  <c:v>36835.230000000003</c:v>
                </c:pt>
                <c:pt idx="5">
                  <c:v>32130.987000000001</c:v>
                </c:pt>
                <c:pt idx="6">
                  <c:v>41677.974000000002</c:v>
                </c:pt>
                <c:pt idx="7">
                  <c:v>30305.133000000002</c:v>
                </c:pt>
                <c:pt idx="8">
                  <c:v>26528.775000000001</c:v>
                </c:pt>
                <c:pt idx="9">
                  <c:v>38376.214999999997</c:v>
                </c:pt>
                <c:pt idx="10">
                  <c:v>32910.230000000003</c:v>
                </c:pt>
                <c:pt idx="11">
                  <c:v>32447.186000000002</c:v>
                </c:pt>
                <c:pt idx="12">
                  <c:v>30011.705999999998</c:v>
                </c:pt>
                <c:pt idx="13">
                  <c:v>40350.731</c:v>
                </c:pt>
                <c:pt idx="14">
                  <c:v>52202.92</c:v>
                </c:pt>
                <c:pt idx="15">
                  <c:v>53886.815000000002</c:v>
                </c:pt>
                <c:pt idx="16">
                  <c:v>46590.277000000002</c:v>
                </c:pt>
                <c:pt idx="17">
                  <c:v>37070.383999999998</c:v>
                </c:pt>
                <c:pt idx="18">
                  <c:v>78949.532000000007</c:v>
                </c:pt>
                <c:pt idx="19">
                  <c:v>47452.584999999999</c:v>
                </c:pt>
                <c:pt idx="20">
                  <c:v>35214.923000000003</c:v>
                </c:pt>
                <c:pt idx="21">
                  <c:v>52745.642</c:v>
                </c:pt>
                <c:pt idx="22">
                  <c:v>57956.076999999997</c:v>
                </c:pt>
                <c:pt idx="23">
                  <c:v>63809.637000000002</c:v>
                </c:pt>
                <c:pt idx="24">
                  <c:v>74293.813999999998</c:v>
                </c:pt>
                <c:pt idx="25">
                  <c:v>49220.512000000002</c:v>
                </c:pt>
                <c:pt idx="26">
                  <c:v>46188.046000000002</c:v>
                </c:pt>
                <c:pt idx="27">
                  <c:v>54556.288999999997</c:v>
                </c:pt>
                <c:pt idx="28">
                  <c:v>64283.928</c:v>
                </c:pt>
              </c:numCache>
            </c:numRef>
          </c:val>
          <c:extLst>
            <c:ext xmlns:c16="http://schemas.microsoft.com/office/drawing/2014/chart" uri="{C3380CC4-5D6E-409C-BE32-E72D297353CC}">
              <c16:uniqueId val="{00000002-CA86-4D69-AEE2-88F93F71C511}"/>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1"/>
        <c:axPos val="l"/>
        <c:numFmt formatCode="General" sourceLinked="1"/>
        <c:majorTickMark val="none"/>
        <c:minorTickMark val="none"/>
        <c:tickLblPos val="nextTo"/>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cs-CZ" sz="1000"/>
              <a:t>Podíl pracovníků schopných</a:t>
            </a:r>
            <a:r>
              <a:rPr lang="cs-CZ" sz="1000" baseline="0"/>
              <a:t> pracovat z domova (%)</a:t>
            </a:r>
            <a:endParaRPr lang="en-GB" sz="10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50940786140543004"/>
          <c:y val="0.11968470730171647"/>
          <c:w val="0.43784054405507827"/>
          <c:h val="0.78068900434805688"/>
        </c:manualLayout>
      </c:layout>
      <c:barChart>
        <c:barDir val="bar"/>
        <c:grouping val="stacked"/>
        <c:varyColors val="0"/>
        <c:ser>
          <c:idx val="0"/>
          <c:order val="0"/>
          <c:spPr>
            <a:solidFill>
              <a:schemeClr val="bg1"/>
            </a:solidFill>
            <a:ln w="19050" cap="sq">
              <a:solidFill>
                <a:schemeClr val="accent1"/>
              </a:solidFill>
              <a:round/>
            </a:ln>
            <a:effectLst/>
          </c:spPr>
          <c:invertIfNegative val="0"/>
          <c:cat>
            <c:strRef>
              <c:f>'[results_homejobs.xlsx]Typ práce'!$B$2:$B$10</c:f>
              <c:strCache>
                <c:ptCount val="9"/>
                <c:pt idx="0">
                  <c:v>Řemeslníci a opraváři</c:v>
                </c:pt>
                <c:pt idx="1">
                  <c:v>Pomocní a nekvalifikovaní pracovníci</c:v>
                </c:pt>
                <c:pt idx="2">
                  <c:v>Kvalifikovaní pracovníci v zemědělství lesnictví a rybářství</c:v>
                </c:pt>
                <c:pt idx="3">
                  <c:v>Pracovníci ve službách a prodeji</c:v>
                </c:pt>
                <c:pt idx="4">
                  <c:v>Obsluha strojů a zařízení, montéři</c:v>
                </c:pt>
                <c:pt idx="5">
                  <c:v>Techničtí a odborní pracovníci</c:v>
                </c:pt>
                <c:pt idx="6">
                  <c:v>Úředníci</c:v>
                </c:pt>
                <c:pt idx="7">
                  <c:v>Zákonodárci a řídící pracovníci</c:v>
                </c:pt>
                <c:pt idx="8">
                  <c:v>Specialisté</c:v>
                </c:pt>
              </c:strCache>
            </c:strRef>
          </c:cat>
          <c:val>
            <c:numRef>
              <c:f>'[results_homejobs.xlsx]Typ práce'!$E$2:$E$10</c:f>
              <c:numCache>
                <c:formatCode>0%</c:formatCode>
                <c:ptCount val="9"/>
                <c:pt idx="0">
                  <c:v>1.3571855720885101E-2</c:v>
                </c:pt>
                <c:pt idx="1">
                  <c:v>2.53363426871628E-2</c:v>
                </c:pt>
                <c:pt idx="2">
                  <c:v>7.5051346006669295E-2</c:v>
                </c:pt>
                <c:pt idx="3">
                  <c:v>0.14715723060191899</c:v>
                </c:pt>
                <c:pt idx="4">
                  <c:v>0.17531328636378099</c:v>
                </c:pt>
                <c:pt idx="5">
                  <c:v>0.46671760208693802</c:v>
                </c:pt>
                <c:pt idx="6">
                  <c:v>0.65214925420430903</c:v>
                </c:pt>
                <c:pt idx="7">
                  <c:v>0.68308804614316998</c:v>
                </c:pt>
                <c:pt idx="8">
                  <c:v>0.74254444991532897</c:v>
                </c:pt>
              </c:numCache>
            </c:numRef>
          </c:val>
          <c:extLst>
            <c:ext xmlns:c16="http://schemas.microsoft.com/office/drawing/2014/chart" uri="{C3380CC4-5D6E-409C-BE32-E72D297353CC}">
              <c16:uniqueId val="{00000000-2B7C-4043-9084-BD2312299C8D}"/>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sz="1000" i="1"/>
              <a:t>Podíl všech pracovníků </a:t>
            </a:r>
            <a:r>
              <a:rPr lang="cs-CZ" sz="1000" b="0" i="1" u="none" strike="noStrike" baseline="0">
                <a:effectLst/>
              </a:rPr>
              <a:t> (%)</a:t>
            </a:r>
            <a:endParaRPr lang="en-GB" sz="10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15646315183684212"/>
          <c:y val="0.11160121665596127"/>
          <c:w val="0.76387107525163322"/>
          <c:h val="0.78877257326658401"/>
        </c:manualLayout>
      </c:layout>
      <c:barChart>
        <c:barDir val="bar"/>
        <c:grouping val="stacked"/>
        <c:varyColors val="0"/>
        <c:ser>
          <c:idx val="0"/>
          <c:order val="0"/>
          <c:spPr>
            <a:solidFill>
              <a:schemeClr val="bg1"/>
            </a:solidFill>
            <a:ln w="19050">
              <a:solidFill>
                <a:schemeClr val="tx1">
                  <a:lumMod val="65000"/>
                  <a:lumOff val="35000"/>
                </a:schemeClr>
              </a:solidFill>
            </a:ln>
            <a:effectLst/>
          </c:spPr>
          <c:invertIfNegative val="0"/>
          <c:cat>
            <c:strRef>
              <c:f>'[results_homejobs.xlsx]Typ práce'!$B$2:$B$10</c:f>
              <c:strCache>
                <c:ptCount val="9"/>
                <c:pt idx="0">
                  <c:v>Řemeslníci a opraváři</c:v>
                </c:pt>
                <c:pt idx="1">
                  <c:v>Pomocní a nekvalifikovaní pracovníci</c:v>
                </c:pt>
                <c:pt idx="2">
                  <c:v>Kvalifikovaní pracovníci v zemědělství lesnictví a rybářství</c:v>
                </c:pt>
                <c:pt idx="3">
                  <c:v>Pracovníci ve službách a prodeji</c:v>
                </c:pt>
                <c:pt idx="4">
                  <c:v>Obsluha strojů a zařízení, montéři</c:v>
                </c:pt>
                <c:pt idx="5">
                  <c:v>Techničtí a odborní pracovníci</c:v>
                </c:pt>
                <c:pt idx="6">
                  <c:v>Úředníci</c:v>
                </c:pt>
                <c:pt idx="7">
                  <c:v>Zákonodárci a řídící pracovníci</c:v>
                </c:pt>
                <c:pt idx="8">
                  <c:v>Specialisté</c:v>
                </c:pt>
              </c:strCache>
            </c:strRef>
          </c:cat>
          <c:val>
            <c:numRef>
              <c:f>'[results_homejobs.xlsx]Typ práce'!$F$2:$F$10</c:f>
              <c:numCache>
                <c:formatCode>0%</c:formatCode>
                <c:ptCount val="9"/>
                <c:pt idx="0">
                  <c:v>0.17436995741515596</c:v>
                </c:pt>
                <c:pt idx="1">
                  <c:v>5.3501532663249397E-2</c:v>
                </c:pt>
                <c:pt idx="2">
                  <c:v>1.1675486281360798E-2</c:v>
                </c:pt>
                <c:pt idx="3">
                  <c:v>0.15374943455803158</c:v>
                </c:pt>
                <c:pt idx="4">
                  <c:v>0.1338581147902988</c:v>
                </c:pt>
                <c:pt idx="5">
                  <c:v>0.17277317614503993</c:v>
                </c:pt>
                <c:pt idx="6">
                  <c:v>9.4273501270525042E-2</c:v>
                </c:pt>
                <c:pt idx="7">
                  <c:v>5.373135100600019E-2</c:v>
                </c:pt>
                <c:pt idx="8">
                  <c:v>0.15182744298898665</c:v>
                </c:pt>
              </c:numCache>
            </c:numRef>
          </c:val>
          <c:extLst>
            <c:ext xmlns:c16="http://schemas.microsoft.com/office/drawing/2014/chart" uri="{C3380CC4-5D6E-409C-BE32-E72D297353CC}">
              <c16:uniqueId val="{00000000-FBF4-4D8E-BC6B-EAF7CCE15057}"/>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1"/>
        <c:axPos val="l"/>
        <c:numFmt formatCode="General" sourceLinked="1"/>
        <c:majorTickMark val="none"/>
        <c:minorTickMark val="none"/>
        <c:tickLblPos val="nextTo"/>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5.000000000000001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cs-CZ" sz="1000"/>
              <a:t>Podíl pracovníků schopných</a:t>
            </a:r>
            <a:r>
              <a:rPr lang="cs-CZ" sz="1000" baseline="0"/>
              <a:t> pracovat z domova (%)</a:t>
            </a:r>
            <a:endParaRPr lang="en-GB"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48044086403707514"/>
          <c:y val="8.6460280881777471E-2"/>
          <c:w val="0.46680751933784775"/>
          <c:h val="0.85597638860552461"/>
        </c:manualLayout>
      </c:layout>
      <c:barChart>
        <c:barDir val="bar"/>
        <c:grouping val="stacked"/>
        <c:varyColors val="0"/>
        <c:ser>
          <c:idx val="0"/>
          <c:order val="0"/>
          <c:spPr>
            <a:solidFill>
              <a:schemeClr val="bg1"/>
            </a:solidFill>
            <a:ln w="19050" cap="sq">
              <a:solidFill>
                <a:schemeClr val="accent1"/>
              </a:solidFill>
              <a:round/>
            </a:ln>
            <a:effectLst/>
          </c:spPr>
          <c:invertIfNegative val="0"/>
          <c:cat>
            <c:strRef>
              <c:f>[results_homejobs.xlsx]Odvětví!$C$2:$C$22</c:f>
              <c:strCache>
                <c:ptCount val="21"/>
                <c:pt idx="0">
                  <c:v>Ubytování, stravování a pohostinství</c:v>
                </c:pt>
                <c:pt idx="1">
                  <c:v>Těžba a dobývání</c:v>
                </c:pt>
                <c:pt idx="2">
                  <c:v>Zdravotní a sociální péče</c:v>
                </c:pt>
                <c:pt idx="3">
                  <c:v>Zpracovatelský průmysl</c:v>
                </c:pt>
                <c:pt idx="4">
                  <c:v>Zemědělství, lesnictví a rybářství</c:v>
                </c:pt>
                <c:pt idx="5">
                  <c:v>Stavebnictví</c:v>
                </c:pt>
                <c:pt idx="6">
                  <c:v>Činnosti domácností jako zaměst.</c:v>
                </c:pt>
                <c:pt idx="7">
                  <c:v>Ostatní činnosti</c:v>
                </c:pt>
                <c:pt idx="8">
                  <c:v>Výroba a rozvod elektřiny/plynu/tepla</c:v>
                </c:pt>
                <c:pt idx="9">
                  <c:v>Administrativní a podpůrné činnosti</c:v>
                </c:pt>
                <c:pt idx="10">
                  <c:v>Obchod</c:v>
                </c:pt>
                <c:pt idx="11">
                  <c:v>Zásobování vodou, odpadní vody</c:v>
                </c:pt>
                <c:pt idx="12">
                  <c:v>Kulturní zábavní a rekreační činnosti</c:v>
                </c:pt>
                <c:pt idx="13">
                  <c:v>Veřejná správa a sociální zabezpečení</c:v>
                </c:pt>
                <c:pt idx="14">
                  <c:v>Doprava a skladování</c:v>
                </c:pt>
                <c:pt idx="15">
                  <c:v>Činnosti v oblasti nemovitostí</c:v>
                </c:pt>
                <c:pt idx="16">
                  <c:v>Profesní vědecké a technické činnosti</c:v>
                </c:pt>
                <c:pt idx="17">
                  <c:v>Činnosti exteritoriálních organizací</c:v>
                </c:pt>
                <c:pt idx="18">
                  <c:v>Vzdělávání</c:v>
                </c:pt>
                <c:pt idx="19">
                  <c:v>Peněžnictví a pojišťovnictví</c:v>
                </c:pt>
                <c:pt idx="20">
                  <c:v>Informační a komunikační činnosti</c:v>
                </c:pt>
              </c:strCache>
            </c:strRef>
          </c:cat>
          <c:val>
            <c:numRef>
              <c:f>[results_homejobs.xlsx]Odvětví!$F$2:$F$22</c:f>
              <c:numCache>
                <c:formatCode>0%</c:formatCode>
                <c:ptCount val="21"/>
                <c:pt idx="0">
                  <c:v>0.106360413091681</c:v>
                </c:pt>
                <c:pt idx="1">
                  <c:v>0.107989582984634</c:v>
                </c:pt>
                <c:pt idx="2">
                  <c:v>0.154905449886693</c:v>
                </c:pt>
                <c:pt idx="3">
                  <c:v>0.16634995655145501</c:v>
                </c:pt>
                <c:pt idx="4">
                  <c:v>0.174004573180147</c:v>
                </c:pt>
                <c:pt idx="5">
                  <c:v>0.196381867371206</c:v>
                </c:pt>
                <c:pt idx="6">
                  <c:v>0.22573970384356001</c:v>
                </c:pt>
                <c:pt idx="7">
                  <c:v>0.29662820306926502</c:v>
                </c:pt>
                <c:pt idx="8">
                  <c:v>0.33418994584927603</c:v>
                </c:pt>
                <c:pt idx="9">
                  <c:v>0.33592706017645502</c:v>
                </c:pt>
                <c:pt idx="10">
                  <c:v>0.35449990696323302</c:v>
                </c:pt>
                <c:pt idx="11">
                  <c:v>0.35654449661658899</c:v>
                </c:pt>
                <c:pt idx="12">
                  <c:v>0.40267891250474902</c:v>
                </c:pt>
                <c:pt idx="13">
                  <c:v>0.46020302488348103</c:v>
                </c:pt>
                <c:pt idx="14">
                  <c:v>0.46321489756901302</c:v>
                </c:pt>
                <c:pt idx="15">
                  <c:v>0.57777685785898303</c:v>
                </c:pt>
                <c:pt idx="16">
                  <c:v>0.69840749196071295</c:v>
                </c:pt>
                <c:pt idx="17">
                  <c:v>0.72191387073911095</c:v>
                </c:pt>
                <c:pt idx="18">
                  <c:v>0.79460666778525602</c:v>
                </c:pt>
                <c:pt idx="19">
                  <c:v>0.81246045042275605</c:v>
                </c:pt>
                <c:pt idx="20">
                  <c:v>0.83236312444351701</c:v>
                </c:pt>
              </c:numCache>
            </c:numRef>
          </c:val>
          <c:extLst>
            <c:ext xmlns:c16="http://schemas.microsoft.com/office/drawing/2014/chart" uri="{C3380CC4-5D6E-409C-BE32-E72D297353CC}">
              <c16:uniqueId val="{00000000-C702-496D-88C2-5F3A9C2001CC}"/>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r>
              <a:rPr lang="cs-CZ" sz="1000" i="1"/>
              <a:t>Podíl všech pracovníků </a:t>
            </a:r>
            <a:r>
              <a:rPr lang="cs-CZ" sz="1000" b="0" i="1" u="none" strike="noStrike" baseline="0">
                <a:effectLst/>
              </a:rPr>
              <a:t> (%)</a:t>
            </a:r>
            <a:endParaRPr lang="en-GB" sz="1000" i="1"/>
          </a:p>
        </c:rich>
      </c:tx>
      <c:overlay val="0"/>
      <c:spPr>
        <a:noFill/>
        <a:ln>
          <a:noFill/>
        </a:ln>
        <a:effectLst/>
      </c:spPr>
      <c:txPr>
        <a:bodyPr rot="0" spcFirstLastPara="1" vertOverflow="ellipsis" vert="horz" wrap="square" anchor="ctr" anchorCtr="1"/>
        <a:lstStyle/>
        <a:p>
          <a:pPr>
            <a:defRPr sz="1400" b="0" i="1"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9.3149880330135632E-2"/>
          <c:y val="8.1258250927057504E-2"/>
          <c:w val="0.82718456986150379"/>
          <c:h val="0.85959378311106704"/>
        </c:manualLayout>
      </c:layout>
      <c:barChart>
        <c:barDir val="bar"/>
        <c:grouping val="stacked"/>
        <c:varyColors val="0"/>
        <c:ser>
          <c:idx val="0"/>
          <c:order val="0"/>
          <c:spPr>
            <a:solidFill>
              <a:schemeClr val="bg1"/>
            </a:solidFill>
            <a:ln w="19050">
              <a:solidFill>
                <a:schemeClr val="tx1">
                  <a:lumMod val="65000"/>
                  <a:lumOff val="35000"/>
                </a:schemeClr>
              </a:solidFill>
            </a:ln>
            <a:effectLst/>
          </c:spPr>
          <c:invertIfNegative val="0"/>
          <c:cat>
            <c:strRef>
              <c:f>[results_homejobs.xlsx]Odvětví!$B$2:$B$22</c:f>
              <c:strCache>
                <c:ptCount val="21"/>
                <c:pt idx="0">
                  <c:v>Ubytování stravování a pohostinství</c:v>
                </c:pt>
                <c:pt idx="1">
                  <c:v>Těžba a dobývání</c:v>
                </c:pt>
                <c:pt idx="2">
                  <c:v>Zdravotní a sociální péče</c:v>
                </c:pt>
                <c:pt idx="3">
                  <c:v>Zpracovatelský průmysl</c:v>
                </c:pt>
                <c:pt idx="4">
                  <c:v>Zemědělství lesnictví a rybářství</c:v>
                </c:pt>
                <c:pt idx="5">
                  <c:v>Stavebnictví</c:v>
                </c:pt>
                <c:pt idx="6">
                  <c:v>Činnosti domácností jako zaměstnavatelů</c:v>
                </c:pt>
                <c:pt idx="7">
                  <c:v>Ostatní činnosti</c:v>
                </c:pt>
                <c:pt idx="8">
                  <c:v>Výroba a rozvod elektřiny/plynu/tepla a klimatizovaného vzduchu</c:v>
                </c:pt>
                <c:pt idx="9">
                  <c:v>Administrativní a podpůrné činnosti</c:v>
                </c:pt>
                <c:pt idx="10">
                  <c:v>Velkoobchod a maloobchod opravy a údržba motorových vozidel</c:v>
                </c:pt>
                <c:pt idx="11">
                  <c:v>Zásobování vodou činnosti související s odpadními vodami odpady a sanacemi</c:v>
                </c:pt>
                <c:pt idx="12">
                  <c:v>Kulturní zábavní a rekreační činnosti</c:v>
                </c:pt>
                <c:pt idx="13">
                  <c:v>Veřejná správa a obrana povinné sociální zabezpečení</c:v>
                </c:pt>
                <c:pt idx="14">
                  <c:v>Doprava a skladování</c:v>
                </c:pt>
                <c:pt idx="15">
                  <c:v>Činnosti v oblasti nemovitostí</c:v>
                </c:pt>
                <c:pt idx="16">
                  <c:v>Profesní vědecké a technické činnosti</c:v>
                </c:pt>
                <c:pt idx="17">
                  <c:v>Činnosti exteritoriálních organizací a orgánů</c:v>
                </c:pt>
                <c:pt idx="18">
                  <c:v>Vzdělávání</c:v>
                </c:pt>
                <c:pt idx="19">
                  <c:v>Peněžnictví a pojišťovnictví</c:v>
                </c:pt>
                <c:pt idx="20">
                  <c:v>Informační a komunikační činnosti</c:v>
                </c:pt>
              </c:strCache>
            </c:strRef>
          </c:cat>
          <c:val>
            <c:numRef>
              <c:f>[results_homejobs.xlsx]Odvětví!$G$2:$G$22</c:f>
              <c:numCache>
                <c:formatCode>0%</c:formatCode>
                <c:ptCount val="21"/>
                <c:pt idx="0">
                  <c:v>3.8408518970038885E-2</c:v>
                </c:pt>
                <c:pt idx="1">
                  <c:v>8.0105354414182674E-3</c:v>
                </c:pt>
                <c:pt idx="2">
                  <c:v>7.0519078332629839E-2</c:v>
                </c:pt>
                <c:pt idx="3">
                  <c:v>0.27827918657808109</c:v>
                </c:pt>
                <c:pt idx="4">
                  <c:v>2.8408527609330343E-2</c:v>
                </c:pt>
                <c:pt idx="5">
                  <c:v>7.5891888001938274E-2</c:v>
                </c:pt>
                <c:pt idx="6">
                  <c:v>6.5722071572650934E-3</c:v>
                </c:pt>
                <c:pt idx="7">
                  <c:v>1.6502571050079261E-2</c:v>
                </c:pt>
                <c:pt idx="8">
                  <c:v>1.096819304790432E-2</c:v>
                </c:pt>
                <c:pt idx="9">
                  <c:v>2.6107363276617074E-2</c:v>
                </c:pt>
                <c:pt idx="10">
                  <c:v>0.11819636772233771</c:v>
                </c:pt>
                <c:pt idx="11">
                  <c:v>9.7544876473827716E-3</c:v>
                </c:pt>
                <c:pt idx="12">
                  <c:v>1.6767071796394757E-2</c:v>
                </c:pt>
                <c:pt idx="13">
                  <c:v>6.3968918618932447E-2</c:v>
                </c:pt>
                <c:pt idx="14">
                  <c:v>5.8720955077617557E-2</c:v>
                </c:pt>
                <c:pt idx="15">
                  <c:v>7.9803432525289934E-3</c:v>
                </c:pt>
                <c:pt idx="16">
                  <c:v>4.654133562236485E-2</c:v>
                </c:pt>
                <c:pt idx="17">
                  <c:v>3.411088568138458E-4</c:v>
                </c:pt>
                <c:pt idx="18">
                  <c:v>6.6029932935005836E-2</c:v>
                </c:pt>
                <c:pt idx="19">
                  <c:v>2.278689789304169E-2</c:v>
                </c:pt>
                <c:pt idx="20">
                  <c:v>2.924451111227739E-2</c:v>
                </c:pt>
              </c:numCache>
            </c:numRef>
          </c:val>
          <c:extLst>
            <c:ext xmlns:c16="http://schemas.microsoft.com/office/drawing/2014/chart" uri="{C3380CC4-5D6E-409C-BE32-E72D297353CC}">
              <c16:uniqueId val="{00000000-0185-491B-9029-79B9AD0D029B}"/>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1"/>
        <c:axPos val="l"/>
        <c:numFmt formatCode="General" sourceLinked="1"/>
        <c:majorTickMark val="none"/>
        <c:minorTickMark val="none"/>
        <c:tickLblPos val="nextTo"/>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cs-CZ" sz="1000"/>
              <a:t>Podíl pracovníků schopných</a:t>
            </a:r>
            <a:r>
              <a:rPr lang="cs-CZ" sz="1000" baseline="0"/>
              <a:t> pracovat z domova (%)</a:t>
            </a:r>
            <a:endParaRPr lang="en-GB" sz="10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50940786140543004"/>
          <c:y val="0.11968470730171647"/>
          <c:w val="0.43784054405507827"/>
          <c:h val="0.78068900434805688"/>
        </c:manualLayout>
      </c:layout>
      <c:barChart>
        <c:barDir val="bar"/>
        <c:grouping val="stacked"/>
        <c:varyColors val="0"/>
        <c:ser>
          <c:idx val="0"/>
          <c:order val="0"/>
          <c:spPr>
            <a:solidFill>
              <a:schemeClr val="bg1"/>
            </a:solidFill>
            <a:ln w="19050" cap="sq">
              <a:solidFill>
                <a:schemeClr val="accent1"/>
              </a:solidFill>
              <a:round/>
            </a:ln>
            <a:effectLst/>
          </c:spPr>
          <c:invertIfNegative val="0"/>
          <c:cat>
            <c:strRef>
              <c:f>[results_homejobs.xlsx]Region!$B$2:$B$15</c:f>
              <c:strCache>
                <c:ptCount val="14"/>
                <c:pt idx="0">
                  <c:v>Kraj Vysočina</c:v>
                </c:pt>
                <c:pt idx="1">
                  <c:v>Ústecký kraj</c:v>
                </c:pt>
                <c:pt idx="2">
                  <c:v>Karlovarský kraj</c:v>
                </c:pt>
                <c:pt idx="3">
                  <c:v>Plzeňský kraj</c:v>
                </c:pt>
                <c:pt idx="4">
                  <c:v>Královéhradecký kraj</c:v>
                </c:pt>
                <c:pt idx="5">
                  <c:v>Olomoucký kraj</c:v>
                </c:pt>
                <c:pt idx="6">
                  <c:v>Liberecký kraj</c:v>
                </c:pt>
                <c:pt idx="7">
                  <c:v>Zlínský kraj</c:v>
                </c:pt>
                <c:pt idx="8">
                  <c:v>Jihočeský kraj</c:v>
                </c:pt>
                <c:pt idx="9">
                  <c:v>Pardubický kraj</c:v>
                </c:pt>
                <c:pt idx="10">
                  <c:v>Moravskoslezský kraj</c:v>
                </c:pt>
                <c:pt idx="11">
                  <c:v>Středočeský kraj</c:v>
                </c:pt>
                <c:pt idx="12">
                  <c:v>Jihomoravský kraj</c:v>
                </c:pt>
                <c:pt idx="13">
                  <c:v>Hl. m. Praha</c:v>
                </c:pt>
              </c:strCache>
            </c:strRef>
          </c:cat>
          <c:val>
            <c:numRef>
              <c:f>[results_homejobs.xlsx]Region!$E$2:$E$15</c:f>
              <c:numCache>
                <c:formatCode>0%</c:formatCode>
                <c:ptCount val="14"/>
                <c:pt idx="0">
                  <c:v>0.25501592720780503</c:v>
                </c:pt>
                <c:pt idx="1">
                  <c:v>0.27372213218842401</c:v>
                </c:pt>
                <c:pt idx="2">
                  <c:v>0.27562700011001101</c:v>
                </c:pt>
                <c:pt idx="3">
                  <c:v>0.29078896507655499</c:v>
                </c:pt>
                <c:pt idx="4">
                  <c:v>0.29188817879398299</c:v>
                </c:pt>
                <c:pt idx="5">
                  <c:v>0.29204619973055701</c:v>
                </c:pt>
                <c:pt idx="6">
                  <c:v>0.299199407721499</c:v>
                </c:pt>
                <c:pt idx="7">
                  <c:v>0.30003601006067698</c:v>
                </c:pt>
                <c:pt idx="8">
                  <c:v>0.300964564139028</c:v>
                </c:pt>
                <c:pt idx="9">
                  <c:v>0.30217151406582499</c:v>
                </c:pt>
                <c:pt idx="10">
                  <c:v>0.30988897026134998</c:v>
                </c:pt>
                <c:pt idx="11">
                  <c:v>0.36009434672714102</c:v>
                </c:pt>
                <c:pt idx="12">
                  <c:v>0.37606543353724903</c:v>
                </c:pt>
                <c:pt idx="13">
                  <c:v>0.53736479150975203</c:v>
                </c:pt>
              </c:numCache>
            </c:numRef>
          </c:val>
          <c:extLst>
            <c:ext xmlns:c16="http://schemas.microsoft.com/office/drawing/2014/chart" uri="{C3380CC4-5D6E-409C-BE32-E72D297353CC}">
              <c16:uniqueId val="{00000000-60BF-452C-B909-8F48B5FE18BE}"/>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sz="1000" i="1"/>
              <a:t>Podíl všech pracovníků </a:t>
            </a:r>
            <a:r>
              <a:rPr lang="cs-CZ" sz="1000" b="0" i="1" u="none" strike="noStrike" baseline="0">
                <a:effectLst/>
              </a:rPr>
              <a:t> (%)</a:t>
            </a:r>
            <a:endParaRPr lang="en-GB" sz="10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15646315183684212"/>
          <c:y val="0.11160121665596127"/>
          <c:w val="0.76387107525163322"/>
          <c:h val="0.78877257326658401"/>
        </c:manualLayout>
      </c:layout>
      <c:barChart>
        <c:barDir val="bar"/>
        <c:grouping val="stacked"/>
        <c:varyColors val="0"/>
        <c:ser>
          <c:idx val="0"/>
          <c:order val="0"/>
          <c:spPr>
            <a:solidFill>
              <a:schemeClr val="bg1"/>
            </a:solidFill>
            <a:ln w="19050">
              <a:solidFill>
                <a:schemeClr val="tx1">
                  <a:lumMod val="65000"/>
                  <a:lumOff val="35000"/>
                </a:schemeClr>
              </a:solidFill>
            </a:ln>
            <a:effectLst/>
          </c:spPr>
          <c:invertIfNegative val="0"/>
          <c:val>
            <c:numRef>
              <c:f>[results_homejobs.xlsx]Region!$F$2:$F$15</c:f>
              <c:numCache>
                <c:formatCode>0%</c:formatCode>
                <c:ptCount val="14"/>
                <c:pt idx="0">
                  <c:v>4.7100900634324608E-2</c:v>
                </c:pt>
                <c:pt idx="1">
                  <c:v>7.2387651630145655E-2</c:v>
                </c:pt>
                <c:pt idx="2">
                  <c:v>2.8767228947921473E-2</c:v>
                </c:pt>
                <c:pt idx="3">
                  <c:v>5.6667994332798836E-2</c:v>
                </c:pt>
                <c:pt idx="4">
                  <c:v>5.1085254084213917E-2</c:v>
                </c:pt>
                <c:pt idx="5">
                  <c:v>5.7211233422494977E-2</c:v>
                </c:pt>
                <c:pt idx="6">
                  <c:v>4.0562085594605363E-2</c:v>
                </c:pt>
                <c:pt idx="7">
                  <c:v>5.559372571918425E-2</c:v>
                </c:pt>
                <c:pt idx="8">
                  <c:v>5.9930018843177849E-2</c:v>
                </c:pt>
                <c:pt idx="9">
                  <c:v>4.9361991203986925E-2</c:v>
                </c:pt>
                <c:pt idx="10">
                  <c:v>0.10930453917714986</c:v>
                </c:pt>
                <c:pt idx="11">
                  <c:v>0.12952757769824677</c:v>
                </c:pt>
                <c:pt idx="12">
                  <c:v>0.11281740220869448</c:v>
                </c:pt>
                <c:pt idx="13">
                  <c:v>0.12968239650305499</c:v>
                </c:pt>
              </c:numCache>
            </c:numRef>
          </c:val>
          <c:extLst>
            <c:ext xmlns:c16="http://schemas.microsoft.com/office/drawing/2014/chart" uri="{C3380CC4-5D6E-409C-BE32-E72D297353CC}">
              <c16:uniqueId val="{00000000-721A-4FE9-815D-488DBC12592A}"/>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1"/>
        <c:axPos val="l"/>
        <c:numFmt formatCode="General" sourceLinked="1"/>
        <c:majorTickMark val="none"/>
        <c:minorTickMark val="none"/>
        <c:tickLblPos val="nextTo"/>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5.000000000000001E-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cs-CZ" sz="1000"/>
              <a:t>Podíl pracovníků schopných</a:t>
            </a:r>
            <a:r>
              <a:rPr lang="cs-CZ" sz="1000" baseline="0"/>
              <a:t> pracovat z domova (%)</a:t>
            </a:r>
            <a:endParaRPr lang="en-GB" sz="10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CZ"/>
        </a:p>
      </c:txPr>
    </c:title>
    <c:autoTitleDeleted val="0"/>
    <c:plotArea>
      <c:layout>
        <c:manualLayout>
          <c:layoutTarget val="inner"/>
          <c:xMode val="edge"/>
          <c:yMode val="edge"/>
          <c:x val="0.50940786140543004"/>
          <c:y val="0.11968470730171647"/>
          <c:w val="0.43784054405507827"/>
          <c:h val="0.78068900434805688"/>
        </c:manualLayout>
      </c:layout>
      <c:barChart>
        <c:barDir val="bar"/>
        <c:grouping val="stacked"/>
        <c:varyColors val="0"/>
        <c:ser>
          <c:idx val="0"/>
          <c:order val="0"/>
          <c:spPr>
            <a:noFill/>
            <a:ln w="19050">
              <a:solidFill>
                <a:srgbClr val="0070C0"/>
              </a:solidFill>
            </a:ln>
            <a:effectLst/>
          </c:spPr>
          <c:invertIfNegative val="0"/>
          <c:cat>
            <c:strRef>
              <c:f>[results_homejobs.xlsx]Vzdělání!$C$2:$C$11</c:f>
              <c:strCache>
                <c:ptCount val="10"/>
                <c:pt idx="0">
                  <c:v>1. stupeň ZŠ</c:v>
                </c:pt>
                <c:pt idx="1">
                  <c:v>2. stupeň ZŠ</c:v>
                </c:pt>
                <c:pt idx="2">
                  <c:v>Vyučen, nižší střední bez maturity</c:v>
                </c:pt>
                <c:pt idx="3">
                  <c:v>Bez vdělání</c:v>
                </c:pt>
                <c:pt idx="4">
                  <c:v>Střední s maturitou, nástavby, pomaturitní</c:v>
                </c:pt>
                <c:pt idx="5">
                  <c:v>Vyšší odborné</c:v>
                </c:pt>
                <c:pt idx="6">
                  <c:v>Konzervatoře ukončené absolutoriem</c:v>
                </c:pt>
                <c:pt idx="7">
                  <c:v>VŠ bakalářské</c:v>
                </c:pt>
                <c:pt idx="8">
                  <c:v>VŠ magisterské</c:v>
                </c:pt>
                <c:pt idx="9">
                  <c:v>Doktorské</c:v>
                </c:pt>
              </c:strCache>
            </c:strRef>
          </c:cat>
          <c:val>
            <c:numRef>
              <c:f>[results_homejobs.xlsx]Vzdělání!$F$2:$F$11</c:f>
              <c:numCache>
                <c:formatCode>0%</c:formatCode>
                <c:ptCount val="10"/>
                <c:pt idx="0">
                  <c:v>5.2988193890056198E-2</c:v>
                </c:pt>
                <c:pt idx="1">
                  <c:v>9.4336264301565706E-2</c:v>
                </c:pt>
                <c:pt idx="2">
                  <c:v>0.121891931201124</c:v>
                </c:pt>
                <c:pt idx="3">
                  <c:v>0.138171217118018</c:v>
                </c:pt>
                <c:pt idx="4">
                  <c:v>0.37488924444006699</c:v>
                </c:pt>
                <c:pt idx="5">
                  <c:v>0.40593470235697099</c:v>
                </c:pt>
                <c:pt idx="6">
                  <c:v>0.54164240000625197</c:v>
                </c:pt>
                <c:pt idx="7">
                  <c:v>0.58939898801201696</c:v>
                </c:pt>
                <c:pt idx="8">
                  <c:v>0.69820252465703103</c:v>
                </c:pt>
                <c:pt idx="9">
                  <c:v>0.81528867600083299</c:v>
                </c:pt>
              </c:numCache>
            </c:numRef>
          </c:val>
          <c:extLst>
            <c:ext xmlns:c16="http://schemas.microsoft.com/office/drawing/2014/chart" uri="{C3380CC4-5D6E-409C-BE32-E72D297353CC}">
              <c16:uniqueId val="{00000000-B8FE-4ED0-93C8-99D13AE1FC3C}"/>
            </c:ext>
          </c:extLst>
        </c:ser>
        <c:dLbls>
          <c:showLegendKey val="0"/>
          <c:showVal val="0"/>
          <c:showCatName val="0"/>
          <c:showSerName val="0"/>
          <c:showPercent val="0"/>
          <c:showBubbleSize val="0"/>
        </c:dLbls>
        <c:gapWidth val="30"/>
        <c:overlap val="100"/>
        <c:axId val="219972264"/>
        <c:axId val="219977184"/>
      </c:barChart>
      <c:catAx>
        <c:axId val="219972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CZ"/>
          </a:p>
        </c:txPr>
        <c:crossAx val="219977184"/>
        <c:crosses val="autoZero"/>
        <c:auto val="1"/>
        <c:lblAlgn val="ctr"/>
        <c:lblOffset val="100"/>
        <c:noMultiLvlLbl val="0"/>
      </c:catAx>
      <c:valAx>
        <c:axId val="21997718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Z"/>
          </a:p>
        </c:txPr>
        <c:crossAx val="219972264"/>
        <c:crosses val="autoZero"/>
        <c:crossBetween val="between"/>
        <c:majorUnit val="0.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1E856-DED2-418D-9F11-8ACD7B616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5846</Words>
  <Characters>33325</Characters>
  <Application>Microsoft Office Word</Application>
  <DocSecurity>0</DocSecurity>
  <Lines>277</Lines>
  <Paragraphs>78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 Sedlacek</dc:creator>
  <cp:lastModifiedBy>Petr Bouchal</cp:lastModifiedBy>
  <cp:revision>22</cp:revision>
  <cp:lastPrinted>2020-05-13T20:27:00Z</cp:lastPrinted>
  <dcterms:created xsi:type="dcterms:W3CDTF">2020-10-14T09:19:00Z</dcterms:created>
  <dcterms:modified xsi:type="dcterms:W3CDTF">2020-11-20T12:30:00Z</dcterms:modified>
</cp:coreProperties>
</file>