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ome-energy-options-summary"/>
    <w:p>
      <w:pPr>
        <w:pStyle w:val="Heading1"/>
      </w:pPr>
      <w:r>
        <w:t xml:space="preserve">Home Energy Options Summary</w:t>
      </w:r>
    </w:p>
    <w:p>
      <w:pPr>
        <w:pStyle w:val="FirstParagraph"/>
      </w:pPr>
      <w:r>
        <w:t xml:space="preserve">Analysis period: 2025-05-16 to 2026-05-13 (363 complete days).</w:t>
      </w:r>
    </w:p>
    <w:bookmarkStart w:id="9" w:name="current-site"/>
    <w:p>
      <w:pPr>
        <w:pStyle w:val="Heading2"/>
      </w:pPr>
      <w:r>
        <w:t xml:space="preserve">Current Site</w:t>
      </w:r>
    </w:p>
    <w:p>
      <w:pPr>
        <w:numPr>
          <w:ilvl w:val="0"/>
          <w:numId w:val="1001"/>
        </w:numPr>
      </w:pPr>
      <w:r>
        <w:t xml:space="preserve">Actual metered import: 9,893 kWh.</w:t>
      </w:r>
    </w:p>
    <w:p>
      <w:pPr>
        <w:numPr>
          <w:ilvl w:val="0"/>
          <w:numId w:val="1001"/>
        </w:numPr>
      </w:pPr>
      <w:r>
        <w:t xml:space="preserve">Actual metered export: 1,607 kWh.</w:t>
      </w:r>
    </w:p>
    <w:p>
      <w:pPr>
        <w:numPr>
          <w:ilvl w:val="0"/>
          <w:numId w:val="1001"/>
        </w:numPr>
      </w:pPr>
      <w:r>
        <w:t xml:space="preserve">Solar production: 7,886 kWh.</w:t>
      </w:r>
    </w:p>
    <w:p>
      <w:pPr>
        <w:numPr>
          <w:ilvl w:val="0"/>
          <w:numId w:val="1001"/>
        </w:numPr>
      </w:pPr>
      <w:r>
        <w:t xml:space="preserve">Reconstructed household load: 16,197 kWh.</w:t>
      </w:r>
    </w:p>
    <w:p>
      <w:pPr>
        <w:numPr>
          <w:ilvl w:val="0"/>
          <w:numId w:val="1001"/>
        </w:numPr>
      </w:pPr>
      <w:r>
        <w:t xml:space="preserve">EV charging: 5,440 kWh, with 24.0% during peak hours.</w:t>
      </w:r>
    </w:p>
    <w:p>
      <w:pPr>
        <w:numPr>
          <w:ilvl w:val="0"/>
          <w:numId w:val="1001"/>
        </w:numPr>
      </w:pPr>
      <w:r>
        <w:t xml:space="preserve">Actual metered bill for the analysed period: $3,076; annualised: $3,095.</w:t>
      </w:r>
    </w:p>
    <w:bookmarkEnd w:id="9"/>
    <w:bookmarkStart w:id="10" w:name="battery-view"/>
    <w:p>
      <w:pPr>
        <w:pStyle w:val="Heading2"/>
      </w:pPr>
      <w:r>
        <w:t xml:space="preserve">Battery View</w:t>
      </w:r>
    </w:p>
    <w:p>
      <w:pPr>
        <w:numPr>
          <w:ilvl w:val="0"/>
          <w:numId w:val="1002"/>
        </w:numPr>
      </w:pPr>
      <w:r>
        <w:t xml:space="preserve">Pure ROI battery choice: HVM 8.28 kWh, about $476/year. A 10-year simple payback would need installed cost below $4,763.</w:t>
      </w:r>
    </w:p>
    <w:p>
      <w:pPr>
        <w:numPr>
          <w:ilvl w:val="0"/>
          <w:numId w:val="1002"/>
        </w:numPr>
      </w:pPr>
      <w:r>
        <w:t xml:space="preserve">Shoulder coverage sweet spot: HVM 13.80 kWh, about $568/year and 368 kWh residual peak import.</w:t>
      </w:r>
    </w:p>
    <w:p>
      <w:pPr>
        <w:numPr>
          <w:ilvl w:val="0"/>
          <w:numId w:val="1002"/>
        </w:numPr>
      </w:pPr>
      <w:r>
        <w:t xml:space="preserve">Max single HVM stack: HVM 22.08 kWh leaves 132 kWh residual peak import and saves about $616/year.</w:t>
      </w:r>
    </w:p>
    <w:p>
      <w:pPr>
        <w:pStyle w:val="FirstParagraph"/>
      </w:pPr>
      <w:r>
        <w:t xml:space="preserve">Battery-only scenarios, current array: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battery_kwh</w:t>
            </w:r>
          </w:p>
        </w:tc>
        <w:tc>
          <w:tcPr/>
          <w:p>
            <w:pPr>
              <w:pStyle w:val="Compact"/>
            </w:pPr>
            <w:r>
              <w:t xml:space="preserve">annualized_savings_nzd</w:t>
            </w:r>
          </w:p>
        </w:tc>
        <w:tc>
          <w:tcPr/>
          <w:p>
            <w:pPr>
              <w:pStyle w:val="Compact"/>
            </w:pPr>
            <w:r>
              <w:t xml:space="preserve">ten_year_break_even_capex_nzd</w:t>
            </w:r>
          </w:p>
        </w:tc>
        <w:tc>
          <w:tcPr/>
          <w:p>
            <w:pPr>
              <w:pStyle w:val="Compact"/>
            </w:pPr>
            <w:r>
              <w:t xml:space="preserve">peak_import_kwh</w:t>
            </w:r>
          </w:p>
        </w:tc>
        <w:tc>
          <w:tcPr/>
          <w:p>
            <w:pPr>
              <w:pStyle w:val="Compact"/>
            </w:pPr>
            <w:r>
              <w:t xml:space="preserve">export_kwh</w:t>
            </w:r>
          </w:p>
        </w:tc>
        <w:tc>
          <w:tcPr/>
          <w:p>
            <w:pPr>
              <w:pStyle w:val="Compact"/>
            </w:pPr>
            <w:r>
              <w:t xml:space="preserve">battery_charged_from_grid_kwh</w:t>
            </w:r>
          </w:p>
        </w:tc>
        <w:tc>
          <w:tcPr/>
          <w:p>
            <w:pPr>
              <w:pStyle w:val="Compact"/>
            </w:pPr>
            <w:r>
              <w:t xml:space="preserve">battery_charged_from_solar_kwh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8.28</w:t>
            </w:r>
          </w:p>
        </w:tc>
        <w:tc>
          <w:tcPr/>
          <w:p>
            <w:pPr>
              <w:pStyle w:val="Compact"/>
            </w:pPr>
            <w:r>
              <w:t xml:space="preserve">476.28</w:t>
            </w:r>
          </w:p>
        </w:tc>
        <w:tc>
          <w:tcPr/>
          <w:p>
            <w:pPr>
              <w:pStyle w:val="Compact"/>
            </w:pPr>
            <w:r>
              <w:t xml:space="preserve">4,762.76</w:t>
            </w:r>
          </w:p>
        </w:tc>
        <w:tc>
          <w:tcPr/>
          <w:p>
            <w:pPr>
              <w:pStyle w:val="Compact"/>
            </w:pPr>
            <w:r>
              <w:t xml:space="preserve">818.77</w:t>
            </w:r>
          </w:p>
        </w:tc>
        <w:tc>
          <w:tcPr/>
          <w:p>
            <w:pPr>
              <w:pStyle w:val="Compact"/>
            </w:pPr>
            <w:r>
              <w:t xml:space="preserve">495.14</w:t>
            </w:r>
          </w:p>
        </w:tc>
        <w:tc>
          <w:tcPr/>
          <w:p>
            <w:pPr>
              <w:pStyle w:val="Compact"/>
            </w:pPr>
            <w:r>
              <w:t xml:space="preserve">1,474.13</w:t>
            </w:r>
          </w:p>
        </w:tc>
        <w:tc>
          <w:tcPr/>
          <w:p>
            <w:pPr>
              <w:pStyle w:val="Compact"/>
            </w:pPr>
            <w:r>
              <w:t xml:space="preserve">997.13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11.04</w:t>
            </w:r>
          </w:p>
        </w:tc>
        <w:tc>
          <w:tcPr/>
          <w:p>
            <w:pPr>
              <w:pStyle w:val="Compact"/>
            </w:pPr>
            <w:r>
              <w:t xml:space="preserve">532.22</w:t>
            </w:r>
          </w:p>
        </w:tc>
        <w:tc>
          <w:tcPr/>
          <w:p>
            <w:pPr>
              <w:pStyle w:val="Compact"/>
            </w:pPr>
            <w:r>
              <w:t xml:space="preserve">5,322.22</w:t>
            </w:r>
          </w:p>
        </w:tc>
        <w:tc>
          <w:tcPr/>
          <w:p>
            <w:pPr>
              <w:pStyle w:val="Compact"/>
            </w:pPr>
            <w:r>
              <w:t xml:space="preserve">541.67</w:t>
            </w:r>
          </w:p>
        </w:tc>
        <w:tc>
          <w:tcPr/>
          <w:p>
            <w:pPr>
              <w:pStyle w:val="Compact"/>
            </w:pPr>
            <w:r>
              <w:t xml:space="preserve">424.13</w:t>
            </w:r>
          </w:p>
        </w:tc>
        <w:tc>
          <w:tcPr/>
          <w:p>
            <w:pPr>
              <w:pStyle w:val="Compact"/>
            </w:pPr>
            <w:r>
              <w:t xml:space="preserve">1,711.01</w:t>
            </w:r>
          </w:p>
        </w:tc>
        <w:tc>
          <w:tcPr/>
          <w:p>
            <w:pPr>
              <w:pStyle w:val="Compact"/>
            </w:pPr>
            <w:r>
              <w:t xml:space="preserve">1,068.14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13.80</w:t>
            </w:r>
          </w:p>
        </w:tc>
        <w:tc>
          <w:tcPr/>
          <w:p>
            <w:pPr>
              <w:pStyle w:val="Compact"/>
            </w:pPr>
            <w:r>
              <w:t xml:space="preserve">567.51</w:t>
            </w:r>
          </w:p>
        </w:tc>
        <w:tc>
          <w:tcPr/>
          <w:p>
            <w:pPr>
              <w:pStyle w:val="Compact"/>
            </w:pPr>
            <w:r>
              <w:t xml:space="preserve">5,675.15</w:t>
            </w:r>
          </w:p>
        </w:tc>
        <w:tc>
          <w:tcPr/>
          <w:p>
            <w:pPr>
              <w:pStyle w:val="Compact"/>
            </w:pPr>
            <w:r>
              <w:t xml:space="preserve">367.56</w:t>
            </w:r>
          </w:p>
        </w:tc>
        <w:tc>
          <w:tcPr/>
          <w:p>
            <w:pPr>
              <w:pStyle w:val="Compact"/>
            </w:pPr>
            <w:r>
              <w:t xml:space="preserve">377.33</w:t>
            </w:r>
          </w:p>
        </w:tc>
        <w:tc>
          <w:tcPr/>
          <w:p>
            <w:pPr>
              <w:pStyle w:val="Compact"/>
            </w:pPr>
            <w:r>
              <w:t xml:space="preserve">1,857.67</w:t>
            </w:r>
          </w:p>
        </w:tc>
        <w:tc>
          <w:tcPr/>
          <w:p>
            <w:pPr>
              <w:pStyle w:val="Compact"/>
            </w:pPr>
            <w:r>
              <w:t xml:space="preserve">1,114.95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16.56</w:t>
            </w:r>
          </w:p>
        </w:tc>
        <w:tc>
          <w:tcPr/>
          <w:p>
            <w:pPr>
              <w:pStyle w:val="Compact"/>
            </w:pPr>
            <w:r>
              <w:t xml:space="preserve">591.64</w:t>
            </w:r>
          </w:p>
        </w:tc>
        <w:tc>
          <w:tcPr/>
          <w:p>
            <w:pPr>
              <w:pStyle w:val="Compact"/>
            </w:pPr>
            <w:r>
              <w:t xml:space="preserve">5,916.43</w:t>
            </w:r>
          </w:p>
        </w:tc>
        <w:tc>
          <w:tcPr/>
          <w:p>
            <w:pPr>
              <w:pStyle w:val="Compact"/>
            </w:pPr>
            <w:r>
              <w:t xml:space="preserve">248.99</w:t>
            </w:r>
          </w:p>
        </w:tc>
        <w:tc>
          <w:tcPr/>
          <w:p>
            <w:pPr>
              <w:pStyle w:val="Compact"/>
            </w:pPr>
            <w:r>
              <w:t xml:space="preserve">343.97</w:t>
            </w:r>
          </w:p>
        </w:tc>
        <w:tc>
          <w:tcPr/>
          <w:p>
            <w:pPr>
              <w:pStyle w:val="Compact"/>
            </w:pPr>
            <w:r>
              <w:t xml:space="preserve">1,956.05</w:t>
            </w:r>
          </w:p>
        </w:tc>
        <w:tc>
          <w:tcPr/>
          <w:p>
            <w:pPr>
              <w:pStyle w:val="Compact"/>
            </w:pPr>
            <w:r>
              <w:t xml:space="preserve">1,148.30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19.32</w:t>
            </w:r>
          </w:p>
        </w:tc>
        <w:tc>
          <w:tcPr/>
          <w:p>
            <w:pPr>
              <w:pStyle w:val="Compact"/>
            </w:pPr>
            <w:r>
              <w:t xml:space="preserve">606.48</w:t>
            </w:r>
          </w:p>
        </w:tc>
        <w:tc>
          <w:tcPr/>
          <w:p>
            <w:pPr>
              <w:pStyle w:val="Compact"/>
            </w:pPr>
            <w:r>
              <w:t xml:space="preserve">6,064.80</w:t>
            </w:r>
          </w:p>
        </w:tc>
        <w:tc>
          <w:tcPr/>
          <w:p>
            <w:pPr>
              <w:pStyle w:val="Compact"/>
            </w:pPr>
            <w:r>
              <w:t xml:space="preserve">177.52</w:t>
            </w:r>
          </w:p>
        </w:tc>
        <w:tc>
          <w:tcPr/>
          <w:p>
            <w:pPr>
              <w:pStyle w:val="Compact"/>
            </w:pPr>
            <w:r>
              <w:t xml:space="preserve">319.29</w:t>
            </w:r>
          </w:p>
        </w:tc>
        <w:tc>
          <w:tcPr/>
          <w:p>
            <w:pPr>
              <w:pStyle w:val="Compact"/>
            </w:pPr>
            <w:r>
              <w:t xml:space="preserve">2,010.79</w:t>
            </w:r>
          </w:p>
        </w:tc>
        <w:tc>
          <w:tcPr/>
          <w:p>
            <w:pPr>
              <w:pStyle w:val="Compact"/>
            </w:pPr>
            <w:r>
              <w:t xml:space="preserve">1,172.98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22.08</w:t>
            </w:r>
          </w:p>
        </w:tc>
        <w:tc>
          <w:tcPr/>
          <w:p>
            <w:pPr>
              <w:pStyle w:val="Compact"/>
            </w:pPr>
            <w:r>
              <w:t xml:space="preserve">616.44</w:t>
            </w:r>
          </w:p>
        </w:tc>
        <w:tc>
          <w:tcPr/>
          <w:p>
            <w:pPr>
              <w:pStyle w:val="Compact"/>
            </w:pPr>
            <w:r>
              <w:t xml:space="preserve">6,164.41</w:t>
            </w:r>
          </w:p>
        </w:tc>
        <w:tc>
          <w:tcPr/>
          <w:p>
            <w:pPr>
              <w:pStyle w:val="Compact"/>
            </w:pPr>
            <w:r>
              <w:t xml:space="preserve">131.83</w:t>
            </w:r>
          </w:p>
        </w:tc>
        <w:tc>
          <w:tcPr/>
          <w:p>
            <w:pPr>
              <w:pStyle w:val="Compact"/>
            </w:pPr>
            <w:r>
              <w:t xml:space="preserve">296.01</w:t>
            </w:r>
          </w:p>
        </w:tc>
        <w:tc>
          <w:tcPr/>
          <w:p>
            <w:pPr>
              <w:pStyle w:val="Compact"/>
            </w:pPr>
            <w:r>
              <w:t xml:space="preserve">2,038.28</w:t>
            </w:r>
          </w:p>
        </w:tc>
        <w:tc>
          <w:tcPr/>
          <w:p>
            <w:pPr>
              <w:pStyle w:val="Compact"/>
            </w:pPr>
            <w:r>
              <w:t xml:space="preserve">1,196.26</w:t>
            </w:r>
          </w:p>
        </w:tc>
      </w:tr>
    </w:tbl>
    <w:bookmarkEnd w:id="10"/>
    <w:bookmarkStart w:id="11" w:name="solar-array-view"/>
    <w:p>
      <w:pPr>
        <w:pStyle w:val="Heading2"/>
      </w:pPr>
      <w:r>
        <w:t xml:space="preserve">Solar Array View</w:t>
      </w:r>
    </w:p>
    <w:p>
      <w:pPr>
        <w:numPr>
          <w:ilvl w:val="0"/>
          <w:numId w:val="1003"/>
        </w:numPr>
      </w:pPr>
      <w:r>
        <w:t xml:space="preserve">Added-panel scenarios now use 395 W panels. The first added panel is allocated to the spare slot on the current array; remaining added panels are counted as second-array panels.</w:t>
      </w:r>
    </w:p>
    <w:p>
      <w:pPr>
        <w:numPr>
          <w:ilvl w:val="0"/>
          <w:numId w:val="1003"/>
        </w:numPr>
      </w:pPr>
      <w:r>
        <w:t xml:space="preserve">Strict ~10 kWp total array: add 7 x 395 W panels (1 current-array extra + 6 second-array panels; 25 total panels; 9.88 kWp).</w:t>
      </w:r>
    </w:p>
    <w:p>
      <w:pPr>
        <w:numPr>
          <w:ilvl w:val="0"/>
          <w:numId w:val="1003"/>
        </w:numPr>
      </w:pPr>
      <w:r>
        <w:t xml:space="preserve">The next step above 10 kWp is 8 added panels, giving 10.27 kWp; check this with the installer if modest DC oversizing is acceptable.</w:t>
      </w:r>
    </w:p>
    <w:p>
      <w:pPr>
        <w:numPr>
          <w:ilvl w:val="0"/>
          <w:numId w:val="1003"/>
        </w:numPr>
      </w:pPr>
      <w:r>
        <w:t xml:space="preserve">Solar-only savings are limited because extra daytime generation is heavily exported at the low export rate.</w:t>
      </w:r>
    </w:p>
    <w:p>
      <w:pPr>
        <w:pStyle w:val="FirstParagraph"/>
      </w:pPr>
      <w:r>
        <w:t xml:space="preserve">Solar-only sensitivity: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added_panels</w:t>
            </w:r>
          </w:p>
        </w:tc>
        <w:tc>
          <w:tcPr/>
          <w:p>
            <w:pPr>
              <w:pStyle w:val="Compact"/>
            </w:pPr>
            <w:r>
              <w:t xml:space="preserve">current_array_extra_panels</w:t>
            </w:r>
          </w:p>
        </w:tc>
        <w:tc>
          <w:tcPr/>
          <w:p>
            <w:pPr>
              <w:pStyle w:val="Compact"/>
            </w:pPr>
            <w:r>
              <w:t xml:space="preserve">second_array_panels</w:t>
            </w:r>
          </w:p>
        </w:tc>
        <w:tc>
          <w:tcPr/>
          <w:p>
            <w:pPr>
              <w:pStyle w:val="Compact"/>
            </w:pPr>
            <w:r>
              <w:t xml:space="preserve">total_solar_kwp</w:t>
            </w:r>
          </w:p>
        </w:tc>
        <w:tc>
          <w:tcPr/>
          <w:p>
            <w:pPr>
              <w:pStyle w:val="Compact"/>
            </w:pPr>
            <w:r>
              <w:t xml:space="preserve">annualized_savings_nzd</w:t>
            </w:r>
          </w:p>
        </w:tc>
        <w:tc>
          <w:tcPr/>
          <w:p>
            <w:pPr>
              <w:pStyle w:val="Compact"/>
            </w:pPr>
            <w:r>
              <w:t xml:space="preserve">peak_import_kwh</w:t>
            </w:r>
          </w:p>
        </w:tc>
        <w:tc>
          <w:tcPr/>
          <w:p>
            <w:pPr>
              <w:pStyle w:val="Compact"/>
            </w:pPr>
            <w:r>
              <w:t xml:space="preserve">export_kwh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3,042.91</w:t>
            </w:r>
          </w:p>
        </w:tc>
        <w:tc>
          <w:tcPr/>
          <w:p>
            <w:pPr>
              <w:pStyle w:val="Compact"/>
            </w:pPr>
            <w:r>
              <w:t xml:space="preserve">1,492.27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7.51</w:t>
            </w:r>
          </w:p>
        </w:tc>
        <w:tc>
          <w:tcPr/>
          <w:p>
            <w:pPr>
              <w:pStyle w:val="Compact"/>
            </w:pPr>
            <w:r>
              <w:t xml:space="preserve">86.18</w:t>
            </w:r>
          </w:p>
        </w:tc>
        <w:tc>
          <w:tcPr/>
          <w:p>
            <w:pPr>
              <w:pStyle w:val="Compact"/>
            </w:pPr>
            <w:r>
              <w:t xml:space="preserve">2,959.68</w:t>
            </w:r>
          </w:p>
        </w:tc>
        <w:tc>
          <w:tcPr/>
          <w:p>
            <w:pPr>
              <w:pStyle w:val="Compact"/>
            </w:pPr>
            <w:r>
              <w:t xml:space="preserve">1,846.79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8.69</w:t>
            </w:r>
          </w:p>
        </w:tc>
        <w:tc>
          <w:tcPr/>
          <w:p>
            <w:pPr>
              <w:pStyle w:val="Compact"/>
            </w:pPr>
            <w:r>
              <w:t xml:space="preserve">321.43</w:t>
            </w:r>
          </w:p>
        </w:tc>
        <w:tc>
          <w:tcPr/>
          <w:p>
            <w:pPr>
              <w:pStyle w:val="Compact"/>
            </w:pPr>
            <w:r>
              <w:t xml:space="preserve">2,795.52</w:t>
            </w:r>
          </w:p>
        </w:tc>
        <w:tc>
          <w:tcPr/>
          <w:p>
            <w:pPr>
              <w:pStyle w:val="Compact"/>
            </w:pPr>
            <w:r>
              <w:t xml:space="preserve">2,995.88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9.88</w:t>
            </w:r>
          </w:p>
        </w:tc>
        <w:tc>
          <w:tcPr/>
          <w:p>
            <w:pPr>
              <w:pStyle w:val="Compact"/>
            </w:pPr>
            <w:r>
              <w:t xml:space="preserve">543.65</w:t>
            </w:r>
          </w:p>
        </w:tc>
        <w:tc>
          <w:tcPr/>
          <w:p>
            <w:pPr>
              <w:pStyle w:val="Compact"/>
            </w:pPr>
            <w:r>
              <w:t xml:space="preserve">2,679.16</w:t>
            </w:r>
          </w:p>
        </w:tc>
        <w:tc>
          <w:tcPr/>
          <w:p>
            <w:pPr>
              <w:pStyle w:val="Compact"/>
            </w:pPr>
            <w:r>
              <w:t xml:space="preserve">4,192.82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10.27</w:t>
            </w:r>
          </w:p>
        </w:tc>
        <w:tc>
          <w:tcPr/>
          <w:p>
            <w:pPr>
              <w:pStyle w:val="Compact"/>
            </w:pPr>
            <w:r>
              <w:t xml:space="preserve">616.15</w:t>
            </w:r>
          </w:p>
        </w:tc>
        <w:tc>
          <w:tcPr/>
          <w:p>
            <w:pPr>
              <w:pStyle w:val="Compact"/>
            </w:pPr>
            <w:r>
              <w:t xml:space="preserve">2,646.12</w:t>
            </w:r>
          </w:p>
        </w:tc>
        <w:tc>
          <w:tcPr/>
          <w:p>
            <w:pPr>
              <w:pStyle w:val="Compact"/>
            </w:pPr>
            <w:r>
              <w:t xml:space="preserve">4,597.56</w:t>
            </w:r>
          </w:p>
        </w:tc>
      </w:tr>
    </w:tbl>
    <w:bookmarkEnd w:id="11"/>
    <w:bookmarkStart w:id="12" w:name="combined-options"/>
    <w:p>
      <w:pPr>
        <w:pStyle w:val="Heading2"/>
      </w:pPr>
      <w:r>
        <w:t xml:space="preserve">Combined Options</w:t>
      </w:r>
    </w:p>
    <w:p>
      <w:pPr>
        <w:numPr>
          <w:ilvl w:val="0"/>
          <w:numId w:val="1004"/>
        </w:numPr>
      </w:pPr>
      <w:r>
        <w:t xml:space="preserve">Smallest single-stack option under 100 kWh/year peak import: add 7 x 395 W panels (1 current-array extra + 6 second-array) and use HVM 22.08 kWh. Annualized saving: $1,145.</w:t>
      </w:r>
    </w:p>
    <w:p>
      <w:pPr>
        <w:numPr>
          <w:ilvl w:val="0"/>
          <w:numId w:val="1004"/>
        </w:numPr>
      </w:pPr>
      <w:r>
        <w:t xml:space="preserve">Best modelled option under about 10 kWp with one HVM tower: add 7 x 395 W panels (1 current-array extra + 6 second-array) (9.88 kWp total) and HVM 22.08 kWh. Residual peak import: 98 kWh.</w:t>
      </w:r>
    </w:p>
    <w:p>
      <w:pPr>
        <w:numPr>
          <w:ilvl w:val="0"/>
          <w:numId w:val="1004"/>
        </w:numPr>
      </w:pPr>
      <w:r>
        <w:t xml:space="preserve">True near-zero peak import needs roughly 44.2 kWh of usable battery in this model, beyond a single HVM tower.</w: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numPr>
          <w:ilvl w:val="0"/>
          <w:numId w:val="1005"/>
        </w:numPr>
      </w:pPr>
      <w:r>
        <w:t xml:space="preserve">Savings are before system capital cost, finance, maintenance, degradation, and installer-specific limits.</w:t>
      </w:r>
    </w:p>
    <w:p>
      <w:pPr>
        <w:numPr>
          <w:ilvl w:val="0"/>
          <w:numId w:val="1005"/>
        </w:numPr>
      </w:pPr>
      <w:r>
        <w:t xml:space="preserve">The dispatch assumes the battery can charge from solar surplus and can top up during off-peak hours only enough for the next peak window.</w:t>
      </w:r>
    </w:p>
    <w:p>
      <w:pPr>
        <w:numPr>
          <w:ilvl w:val="0"/>
          <w:numId w:val="1005"/>
        </w:numPr>
      </w:pPr>
      <w:r>
        <w:t xml:space="preserve">Instantaneous power limits are not enabled by default because the source meters have irregular timestamp gaps; set BATTERY_POWER_LIMIT_KW in the script to test a specific inverter limit.</w:t>
      </w:r>
    </w:p>
    <w:p>
      <w:pPr>
        <w:numPr>
          <w:ilvl w:val="0"/>
          <w:numId w:val="1005"/>
        </w:numPr>
      </w:pPr>
      <w:r>
        <w:t xml:space="preserve">The daily fixed charge is included in total bills but does not change between options.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2026-05-22T18:50:09Z</dcterms:created>
  <dcterms:modified xsi:type="dcterms:W3CDTF">2026-05-22T18:50:09Z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