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v-system-roi-summary"/>
    <w:p>
      <w:pPr>
        <w:pStyle w:val="Heading1"/>
      </w:pPr>
      <w:r>
        <w:t xml:space="preserve">PV System ROI Summary</w:t>
      </w:r>
    </w:p>
    <w:p>
      <w:pPr>
        <w:pStyle w:val="FirstParagraph"/>
      </w:pPr>
      <w:r>
        <w:t xml:space="preserve">Install cost modelled: $20,650.</w:t>
      </w:r>
      <w:r>
        <w:br/>
      </w:r>
      <w:r>
        <w:t xml:space="preserve">Install date assumed: 2022-02-01; old rates run through 2026-03-31, then current rates are used.</w:t>
      </w:r>
      <w:r>
        <w:br/>
      </w:r>
      <w:r>
        <w:t xml:space="preserve">Projection uses flat tariffs, no price inflation, and no solar degradation.</w:t>
      </w:r>
    </w:p>
    <w:bookmarkStart w:id="9" w:name="headline-results"/>
    <w:p>
      <w:pPr>
        <w:pStyle w:val="Heading2"/>
      </w:pPr>
      <w:r>
        <w:t xml:space="preserve">Headline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annual_no_pv_bill_current_rates</w:t>
            </w:r>
          </w:p>
        </w:tc>
        <w:tc>
          <w:tcPr/>
          <w:p>
            <w:pPr>
              <w:pStyle w:val="Compact"/>
            </w:pPr>
            <w:r>
              <w:t xml:space="preserve">annual_with_pv_bill_current_rates</w:t>
            </w:r>
          </w:p>
        </w:tc>
        <w:tc>
          <w:tcPr/>
          <w:p>
            <w:pPr>
              <w:pStyle w:val="Compact"/>
            </w:pPr>
            <w:r>
              <w:t xml:space="preserve">annual_savings_current_rates</w:t>
            </w:r>
          </w:p>
        </w:tc>
        <w:tc>
          <w:tcPr/>
          <w:p>
            <w:pPr>
              <w:pStyle w:val="Compact"/>
            </w:pPr>
            <w:r>
              <w:t xml:space="preserve">break_even_from_install</w:t>
            </w:r>
          </w:p>
        </w:tc>
        <w:tc>
          <w:tcPr/>
          <w:p>
            <w:pPr>
              <w:pStyle w:val="Compact"/>
            </w:pPr>
            <w:r>
              <w:t xml:space="preserve">break_even_date</w:t>
            </w:r>
          </w:p>
        </w:tc>
        <w:tc>
          <w:tcPr/>
          <w:p>
            <w:pPr>
              <w:pStyle w:val="Compact"/>
            </w:pPr>
            <w:r>
              <w:t xml:space="preserve">25yr_cumulative_savings</w:t>
            </w:r>
          </w:p>
        </w:tc>
        <w:tc>
          <w:tcPr/>
          <w:p>
            <w:pPr>
              <w:pStyle w:val="Compact"/>
            </w:pPr>
            <w:r>
              <w:t xml:space="preserve">25yr_net_after_install</w:t>
            </w:r>
          </w:p>
        </w:tc>
        <w:tc>
          <w:tcPr/>
          <w:p>
            <w:pPr>
              <w:pStyle w:val="Compact"/>
            </w:pPr>
            <w:r>
              <w:t xml:space="preserve">25yr_net_roi_pct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EVs, measured home load</w:t>
            </w:r>
          </w:p>
        </w:tc>
        <w:tc>
          <w:tcPr/>
          <w:p>
            <w:pPr>
              <w:pStyle w:val="Compact"/>
            </w:pPr>
            <w:r>
              <w:t xml:space="preserve">5,953.02</w:t>
            </w:r>
          </w:p>
        </w:tc>
        <w:tc>
          <w:tcPr/>
          <w:p>
            <w:pPr>
              <w:pStyle w:val="Compact"/>
            </w:pPr>
            <w:r>
              <w:t xml:space="preserve">3,075.26</w:t>
            </w:r>
          </w:p>
        </w:tc>
        <w:tc>
          <w:tcPr/>
          <w:p>
            <w:pPr>
              <w:pStyle w:val="Compact"/>
            </w:pPr>
            <w:r>
              <w:t xml:space="preserve">2,877.76</w:t>
            </w:r>
          </w:p>
        </w:tc>
        <w:tc>
          <w:tcPr/>
          <w:p>
            <w:pPr>
              <w:pStyle w:val="Compact"/>
            </w:pPr>
            <w:r>
              <w:t xml:space="preserve">7.42</w:t>
            </w:r>
          </w:p>
        </w:tc>
        <w:tc>
          <w:tcPr/>
          <w:p>
            <w:pPr>
              <w:pStyle w:val="Compact"/>
            </w:pPr>
            <w:r>
              <w:t xml:space="preserve">2029-07-03</w:t>
            </w:r>
          </w:p>
        </w:tc>
        <w:tc>
          <w:tcPr/>
          <w:p>
            <w:pPr>
              <w:pStyle w:val="Compact"/>
            </w:pPr>
            <w:r>
              <w:t xml:space="preserve">71,247.99</w:t>
            </w:r>
          </w:p>
        </w:tc>
        <w:tc>
          <w:tcPr/>
          <w:p>
            <w:pPr>
              <w:pStyle w:val="Compact"/>
            </w:pPr>
            <w:r>
              <w:t xml:space="preserve">50,597.99</w:t>
            </w:r>
          </w:p>
        </w:tc>
        <w:tc>
          <w:tcPr/>
          <w:p>
            <w:pPr>
              <w:pStyle w:val="Compact"/>
            </w:pPr>
            <w:r>
              <w:t xml:space="preserve">245.03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EVs, 11.3 MWh/year base load</w:t>
            </w:r>
          </w:p>
        </w:tc>
        <w:tc>
          <w:tcPr/>
          <w:p>
            <w:pPr>
              <w:pStyle w:val="Compact"/>
            </w:pPr>
            <w:r>
              <w:t xml:space="preserve">4,719.06</w:t>
            </w:r>
          </w:p>
        </w:tc>
        <w:tc>
          <w:tcPr/>
          <w:p>
            <w:pPr>
              <w:pStyle w:val="Compact"/>
            </w:pPr>
            <w:r>
              <w:t xml:space="preserve">2,066.25</w:t>
            </w:r>
          </w:p>
        </w:tc>
        <w:tc>
          <w:tcPr/>
          <w:p>
            <w:pPr>
              <w:pStyle w:val="Compact"/>
            </w:pPr>
            <w:r>
              <w:t xml:space="preserve">2,652.81</w:t>
            </w:r>
          </w:p>
        </w:tc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2030-02-05</w:t>
            </w:r>
          </w:p>
        </w:tc>
        <w:tc>
          <w:tcPr/>
          <w:p>
            <w:pPr>
              <w:pStyle w:val="Compact"/>
            </w:pPr>
            <w:r>
              <w:t xml:space="preserve">65,714.25</w:t>
            </w:r>
          </w:p>
        </w:tc>
        <w:tc>
          <w:tcPr/>
          <w:p>
            <w:pPr>
              <w:pStyle w:val="Compact"/>
            </w:pPr>
            <w:r>
              <w:t xml:space="preserve">45,064.25</w:t>
            </w:r>
          </w:p>
        </w:tc>
        <w:tc>
          <w:tcPr/>
          <w:p>
            <w:pPr>
              <w:pStyle w:val="Compact"/>
            </w:pPr>
            <w:r>
              <w:t xml:space="preserve">218.23</w:t>
            </w:r>
          </w:p>
        </w:tc>
      </w:tr>
    </w:tbl>
    <w:bookmarkEnd w:id="9"/>
    <w:bookmarkStart w:id="10" w:name="annual-bills-by-tariff"/>
    <w:p>
      <w:pPr>
        <w:pStyle w:val="Heading2"/>
      </w:pPr>
      <w:r>
        <w:t xml:space="preserve">Annual Bills By Tariff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rate_set</w:t>
            </w:r>
          </w:p>
        </w:tc>
        <w:tc>
          <w:tcPr/>
          <w:p>
            <w:pPr>
              <w:pStyle w:val="Compact"/>
            </w:pPr>
            <w:r>
              <w:t xml:space="preserve">load_kwh_per_year</w:t>
            </w:r>
          </w:p>
        </w:tc>
        <w:tc>
          <w:tcPr/>
          <w:p>
            <w:pPr>
              <w:pStyle w:val="Compact"/>
            </w:pPr>
            <w:r>
              <w:t xml:space="preserve">annual_no_pv_bill_nzd</w:t>
            </w:r>
          </w:p>
        </w:tc>
        <w:tc>
          <w:tcPr/>
          <w:p>
            <w:pPr>
              <w:pStyle w:val="Compact"/>
            </w:pPr>
            <w:r>
              <w:t xml:space="preserve">annual_with_pv_bill_nzd</w:t>
            </w:r>
          </w:p>
        </w:tc>
        <w:tc>
          <w:tcPr/>
          <w:p>
            <w:pPr>
              <w:pStyle w:val="Compact"/>
            </w:pPr>
            <w:r>
              <w:t xml:space="preserve">annual_savings_nzd</w:t>
            </w:r>
          </w:p>
        </w:tc>
        <w:tc>
          <w:tcPr/>
          <w:p>
            <w:pPr>
              <w:pStyle w:val="Compact"/>
            </w:pPr>
            <w:r>
              <w:t xml:space="preserve">annual_savings_pct_of_install_cost</w:t>
            </w:r>
          </w:p>
        </w:tc>
        <w:tc>
          <w:tcPr/>
          <w:p>
            <w:pPr>
              <w:pStyle w:val="Compact"/>
            </w:pPr>
            <w:r>
              <w:t xml:space="preserve">simple_break_even_years</w:t>
            </w:r>
          </w:p>
        </w:tc>
        <w:tc>
          <w:tcPr/>
          <w:p>
            <w:pPr>
              <w:pStyle w:val="Compact"/>
            </w:pPr>
            <w:r>
              <w:t xml:space="preserve">annual_export_kwh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EVs, measured home load</w:t>
            </w:r>
          </w:p>
        </w:tc>
        <w:tc>
          <w:tcPr/>
          <w:p>
            <w:pPr>
              <w:pStyle w:val="Compact"/>
            </w:pPr>
            <w:r>
              <w:t xml:space="preserve">Old rates to Mar 2026</w:t>
            </w:r>
          </w:p>
        </w:tc>
        <w:tc>
          <w:tcPr/>
          <w:p>
            <w:pPr>
              <w:pStyle w:val="Compact"/>
            </w:pPr>
            <w:r>
              <w:t xml:space="preserve">16,297.01</w:t>
            </w:r>
          </w:p>
        </w:tc>
        <w:tc>
          <w:tcPr/>
          <w:p>
            <w:pPr>
              <w:pStyle w:val="Compact"/>
            </w:pPr>
            <w:r>
              <w:t xml:space="preserve">5,385.17</w:t>
            </w:r>
          </w:p>
        </w:tc>
        <w:tc>
          <w:tcPr/>
          <w:p>
            <w:pPr>
              <w:pStyle w:val="Compact"/>
            </w:pPr>
            <w:r>
              <w:t xml:space="preserve">2,674.18</w:t>
            </w:r>
          </w:p>
        </w:tc>
        <w:tc>
          <w:tcPr/>
          <w:p>
            <w:pPr>
              <w:pStyle w:val="Compact"/>
            </w:pPr>
            <w:r>
              <w:t xml:space="preserve">2,711.00</w:t>
            </w:r>
          </w:p>
        </w:tc>
        <w:tc>
          <w:tcPr/>
          <w:p>
            <w:pPr>
              <w:pStyle w:val="Compact"/>
            </w:pPr>
            <w:r>
              <w:t xml:space="preserve">13.13</w:t>
            </w:r>
          </w:p>
        </w:tc>
        <w:tc>
          <w:tcPr/>
          <w:p>
            <w:pPr>
              <w:pStyle w:val="Compact"/>
            </w:pPr>
            <w:r>
              <w:t xml:space="preserve">7.62</w:t>
            </w:r>
          </w:p>
        </w:tc>
        <w:tc>
          <w:tcPr/>
          <w:p>
            <w:pPr>
              <w:pStyle w:val="Compact"/>
            </w:pPr>
            <w:r>
              <w:t xml:space="preserve">1,501.52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EVs, measured home load</w:t>
            </w:r>
          </w:p>
        </w:tc>
        <w:tc>
          <w:tcPr/>
          <w:p>
            <w:pPr>
              <w:pStyle w:val="Compact"/>
            </w:pPr>
            <w:r>
              <w:t xml:space="preserve">Current rates</w:t>
            </w:r>
          </w:p>
        </w:tc>
        <w:tc>
          <w:tcPr/>
          <w:p>
            <w:pPr>
              <w:pStyle w:val="Compact"/>
            </w:pPr>
            <w:r>
              <w:t xml:space="preserve">16,297.01</w:t>
            </w:r>
          </w:p>
        </w:tc>
        <w:tc>
          <w:tcPr/>
          <w:p>
            <w:pPr>
              <w:pStyle w:val="Compact"/>
            </w:pPr>
            <w:r>
              <w:t xml:space="preserve">5,953.02</w:t>
            </w:r>
          </w:p>
        </w:tc>
        <w:tc>
          <w:tcPr/>
          <w:p>
            <w:pPr>
              <w:pStyle w:val="Compact"/>
            </w:pPr>
            <w:r>
              <w:t xml:space="preserve">3,075.26</w:t>
            </w:r>
          </w:p>
        </w:tc>
        <w:tc>
          <w:tcPr/>
          <w:p>
            <w:pPr>
              <w:pStyle w:val="Compact"/>
            </w:pPr>
            <w:r>
              <w:t xml:space="preserve">2,877.76</w:t>
            </w:r>
          </w:p>
        </w:tc>
        <w:tc>
          <w:tcPr/>
          <w:p>
            <w:pPr>
              <w:pStyle w:val="Compact"/>
            </w:pPr>
            <w:r>
              <w:t xml:space="preserve">13.94</w:t>
            </w:r>
          </w:p>
        </w:tc>
        <w:tc>
          <w:tcPr/>
          <w:p>
            <w:pPr>
              <w:pStyle w:val="Compact"/>
            </w:pPr>
            <w:r>
              <w:t xml:space="preserve">7.18</w:t>
            </w:r>
          </w:p>
        </w:tc>
        <w:tc>
          <w:tcPr/>
          <w:p>
            <w:pPr>
              <w:pStyle w:val="Compact"/>
            </w:pPr>
            <w:r>
              <w:t xml:space="preserve">1,501.52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EVs, 11.3 MWh/year base load</w:t>
            </w:r>
          </w:p>
        </w:tc>
        <w:tc>
          <w:tcPr/>
          <w:p>
            <w:pPr>
              <w:pStyle w:val="Compact"/>
            </w:pPr>
            <w:r>
              <w:t xml:space="preserve">Old rates to Mar 2026</w:t>
            </w:r>
          </w:p>
        </w:tc>
        <w:tc>
          <w:tcPr/>
          <w:p>
            <w:pPr>
              <w:pStyle w:val="Compact"/>
            </w:pPr>
            <w:r>
              <w:t xml:space="preserve">11,300.00</w:t>
            </w:r>
          </w:p>
        </w:tc>
        <w:tc>
          <w:tcPr/>
          <w:p>
            <w:pPr>
              <w:pStyle w:val="Compact"/>
            </w:pPr>
            <w:r>
              <w:t xml:space="preserve">4,228.55</w:t>
            </w:r>
          </w:p>
        </w:tc>
        <w:tc>
          <w:tcPr/>
          <w:p>
            <w:pPr>
              <w:pStyle w:val="Compact"/>
            </w:pPr>
            <w:r>
              <w:t xml:space="preserve">1,720.92</w:t>
            </w:r>
          </w:p>
        </w:tc>
        <w:tc>
          <w:tcPr/>
          <w:p>
            <w:pPr>
              <w:pStyle w:val="Compact"/>
            </w:pPr>
            <w:r>
              <w:t xml:space="preserve">2,507.63</w:t>
            </w:r>
          </w:p>
        </w:tc>
        <w:tc>
          <w:tcPr/>
          <w:p>
            <w:pPr>
              <w:pStyle w:val="Compact"/>
            </w:pPr>
            <w:r>
              <w:t xml:space="preserve">12.14</w:t>
            </w:r>
          </w:p>
        </w:tc>
        <w:tc>
          <w:tcPr/>
          <w:p>
            <w:pPr>
              <w:pStyle w:val="Compact"/>
            </w:pPr>
            <w:r>
              <w:t xml:space="preserve">8.23</w:t>
            </w:r>
          </w:p>
        </w:tc>
        <w:tc>
          <w:tcPr/>
          <w:p>
            <w:pPr>
              <w:pStyle w:val="Compact"/>
            </w:pPr>
            <w:r>
              <w:t xml:space="preserve">2,331.35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EVs, 11.3 MWh/year base load</w:t>
            </w:r>
          </w:p>
        </w:tc>
        <w:tc>
          <w:tcPr/>
          <w:p>
            <w:pPr>
              <w:pStyle w:val="Compact"/>
            </w:pPr>
            <w:r>
              <w:t xml:space="preserve">Current rates</w:t>
            </w:r>
          </w:p>
        </w:tc>
        <w:tc>
          <w:tcPr/>
          <w:p>
            <w:pPr>
              <w:pStyle w:val="Compact"/>
            </w:pPr>
            <w:r>
              <w:t xml:space="preserve">11,300.00</w:t>
            </w:r>
          </w:p>
        </w:tc>
        <w:tc>
          <w:tcPr/>
          <w:p>
            <w:pPr>
              <w:pStyle w:val="Compact"/>
            </w:pPr>
            <w:r>
              <w:t xml:space="preserve">4,719.06</w:t>
            </w:r>
          </w:p>
        </w:tc>
        <w:tc>
          <w:tcPr/>
          <w:p>
            <w:pPr>
              <w:pStyle w:val="Compact"/>
            </w:pPr>
            <w:r>
              <w:t xml:space="preserve">2,066.25</w:t>
            </w:r>
          </w:p>
        </w:tc>
        <w:tc>
          <w:tcPr/>
          <w:p>
            <w:pPr>
              <w:pStyle w:val="Compact"/>
            </w:pPr>
            <w:r>
              <w:t xml:space="preserve">2,652.81</w:t>
            </w:r>
          </w:p>
        </w:tc>
        <w:tc>
          <w:tcPr/>
          <w:p>
            <w:pPr>
              <w:pStyle w:val="Compact"/>
            </w:pPr>
            <w:r>
              <w:t xml:space="preserve">12.85</w:t>
            </w:r>
          </w:p>
        </w:tc>
        <w:tc>
          <w:tcPr/>
          <w:p>
            <w:pPr>
              <w:pStyle w:val="Compact"/>
            </w:pPr>
            <w:r>
              <w:t xml:space="preserve">7.78</w:t>
            </w:r>
          </w:p>
        </w:tc>
        <w:tc>
          <w:tcPr/>
          <w:p>
            <w:pPr>
              <w:pStyle w:val="Compact"/>
            </w:pPr>
            <w:r>
              <w:t xml:space="preserve">2,331.35</w:t>
            </w:r>
          </w:p>
        </w:tc>
      </w:tr>
    </w:tbl>
    <w:bookmarkEnd w:id="10"/>
    <w:bookmarkStart w:id="11" w:name="ev-context"/>
    <w:p>
      <w:pPr>
        <w:pStyle w:val="Heading2"/>
      </w:pPr>
      <w:r>
        <w:t xml:space="preserve">EV Context</w:t>
      </w:r>
    </w:p>
    <w:p>
      <w:pPr>
        <w:pStyle w:val="FirstParagraph"/>
      </w:pPr>
      <w:r>
        <w:t xml:space="preserve">Current-EV ROI uses measured Home Assistant home charging. DC charging is shown for context only because roof PV cannot offset public DC charging.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annual_km</w:t>
            </w:r>
          </w:p>
        </w:tc>
        <w:tc>
          <w:tcPr/>
          <w:p>
            <w:pPr>
              <w:pStyle w:val="Compact"/>
            </w:pPr>
            <w:r>
              <w:t xml:space="preserve">kwh_per_100km</w:t>
            </w:r>
          </w:p>
        </w:tc>
        <w:tc>
          <w:tcPr/>
          <w:p>
            <w:pPr>
              <w:pStyle w:val="Compact"/>
            </w:pPr>
            <w:r>
              <w:t xml:space="preserve">annual_vehicle_energy_kwh</w:t>
            </w:r>
          </w:p>
        </w:tc>
        <w:tc>
          <w:tcPr/>
          <w:p>
            <w:pPr>
              <w:pStyle w:val="Compact"/>
            </w:pPr>
            <w:r>
              <w:t xml:space="preserve">home_charge_pct</w:t>
            </w:r>
          </w:p>
        </w:tc>
        <w:tc>
          <w:tcPr/>
          <w:p>
            <w:pPr>
              <w:pStyle w:val="Compact"/>
            </w:pPr>
            <w:r>
              <w:t xml:space="preserve">dc_charge_pct</w:t>
            </w:r>
          </w:p>
        </w:tc>
        <w:tc>
          <w:tcPr/>
          <w:p>
            <w:pPr>
              <w:pStyle w:val="Compact"/>
            </w:pPr>
            <w:r>
              <w:t xml:space="preserve">estimated_home_kwh</w:t>
            </w:r>
          </w:p>
        </w:tc>
        <w:tc>
          <w:tcPr/>
          <w:p>
            <w:pPr>
              <w:pStyle w:val="Compact"/>
            </w:pPr>
            <w:r>
              <w:t xml:space="preserve">estimated_dc_kwh</w:t>
            </w:r>
          </w:p>
        </w:tc>
        <w:tc>
          <w:tcPr/>
          <w:p>
            <w:pPr>
              <w:pStyle w:val="Compact"/>
            </w:pPr>
            <w:r>
              <w:t xml:space="preserve">start_date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Tesla</w:t>
            </w:r>
          </w:p>
        </w:tc>
        <w:tc>
          <w:tcPr/>
          <w:p>
            <w:pPr>
              <w:pStyle w:val="Compact"/>
            </w:pPr>
            <w:r>
              <w:t xml:space="preserve">26000.0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3978.0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2,585.70</w:t>
            </w:r>
          </w:p>
        </w:tc>
        <w:tc>
          <w:tcPr/>
          <w:p>
            <w:pPr>
              <w:pStyle w:val="Compact"/>
            </w:pPr>
            <w:r>
              <w:t xml:space="preserve">1392.3</w:t>
            </w:r>
          </w:p>
        </w:tc>
        <w:tc>
          <w:tcPr/>
          <w:p>
            <w:pPr>
              <w:pStyle w:val="Compact"/>
            </w:pPr>
            <w:r>
              <w:t xml:space="preserve">2023-03-01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13000.0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2470.0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1,235.00</w:t>
            </w:r>
          </w:p>
        </w:tc>
        <w:tc>
          <w:tcPr/>
          <w:p>
            <w:pPr>
              <w:pStyle w:val="Compact"/>
            </w:pPr>
            <w:r>
              <w:t xml:space="preserve">1235.0</w:t>
            </w:r>
          </w:p>
        </w:tc>
        <w:tc>
          <w:tcPr/>
          <w:p>
            <w:pPr>
              <w:pStyle w:val="Compact"/>
            </w:pPr>
            <w:r>
              <w:t xml:space="preserve">2024-12-01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Assistant measured EV charging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5,473.52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measurement period</w:t>
            </w:r>
          </w:p>
        </w:tc>
      </w:tr>
    </w:tbl>
    <w:bookmarkEnd w:id="11"/>
    <w:bookmarkStart w:id="12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</w:pPr>
      <w:r>
        <w:t xml:space="preserve">The no-EV scenario uses your stated pre-PV consumption of 11,300 kWh/year and the measured non-EV load shape.</w:t>
      </w:r>
    </w:p>
    <w:p>
      <w:pPr>
        <w:numPr>
          <w:ilvl w:val="0"/>
          <w:numId w:val="1001"/>
        </w:numPr>
      </w:pPr>
      <w:r>
        <w:t xml:space="preserve">The current-EV scenario uses the reconstructed measured household load, so EV home charging is already part of the load.</w:t>
      </w:r>
    </w:p>
    <w:p>
      <w:pPr>
        <w:numPr>
          <w:ilvl w:val="0"/>
          <w:numId w:val="1001"/>
        </w:numPr>
      </w:pPr>
      <w:r>
        <w:t xml:space="preserve">Daily fixed charges are included in annual bills, but they do not affect PV savings because they apply with or without PV.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2026-05-22T18:50:51Z</dcterms:created>
  <dcterms:modified xsi:type="dcterms:W3CDTF">2026-05-22T18:50:51Z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