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Кликай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, bitch!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Кликай </w:t>
      </w:r>
      <w:r w:rsidDel="00000000" w:rsidR="00000000" w:rsidRPr="00000000">
        <w:rPr>
          <w:b w:val="1"/>
          <w:rtl w:val="0"/>
        </w:rPr>
        <w:t xml:space="preserve">сука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3) Кликай </w:t>
      </w:r>
      <w:r w:rsidDel="00000000" w:rsidR="00000000" w:rsidRPr="00000000">
        <w:rPr>
          <w:i w:val="1"/>
          <w:rtl w:val="0"/>
        </w:rPr>
        <w:t xml:space="preserve">btch!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4) Перенеси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строку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Заголовки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6) </w:t>
      </w:r>
      <w:r w:rsidDel="00000000" w:rsidR="00000000" w:rsidRPr="00000000">
        <w:rPr/>
        <w:drawing>
          <wp:inline distB="19050" distT="19050" distL="19050" distR="19050">
            <wp:extent cx="1270000" cy="952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aaa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8)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петя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вася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петя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вася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петя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вася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петя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вася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10) &lt;textarea&gt;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oogle.com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