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Il progetto sarà articolato in due fasi principali: “Career Match” e “Career Coach”.</w:t>
      </w:r>
    </w:p>
    <w:p w:rsidR="00000000" w:rsidDel="00000000" w:rsidP="00000000" w:rsidRDefault="00000000" w:rsidRPr="00000000" w14:paraId="0000000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taopnjbrokf1" w:id="0"/>
      <w:bookmarkEnd w:id="0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Career Match</w:t>
      </w:r>
    </w:p>
    <w:p w:rsidR="00000000" w:rsidDel="00000000" w:rsidP="00000000" w:rsidRDefault="00000000" w:rsidRPr="00000000" w14:paraId="00000003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questa prima fase, l’utente può scegliere tra due percorsi: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Percorso semplificato:</w:t>
      </w:r>
      <w:r w:rsidDel="00000000" w:rsidR="00000000" w:rsidRPr="00000000">
        <w:rPr>
          <w:rtl w:val="0"/>
        </w:rPr>
        <w:t xml:space="preserve"> l’utente fornisce solo una parte delle proprie informazioni, come competenze, interessi, percorso accademico o semplicemente il proprio CV. In questo caso, si passa direttamente alla fase successiva, “Career Coach”, ma con una personalizzazione meno accurata.</w:t>
        <w:br w:type="textWrapping"/>
      </w:r>
    </w:p>
    <w:p w:rsidR="00000000" w:rsidDel="00000000" w:rsidP="00000000" w:rsidRDefault="00000000" w:rsidRPr="00000000" w14:paraId="00000005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Percorso completo:</w:t>
      </w:r>
      <w:r w:rsidDel="00000000" w:rsidR="00000000" w:rsidRPr="00000000">
        <w:rPr>
          <w:rtl w:val="0"/>
        </w:rPr>
        <w:t xml:space="preserve"> l’utente inserisce tutti i dati richiesti, compresi quelli relativi alla propria personalità (valutata attraverso strumenti come il test dei Big Five o altri test open source simili). Questo approccio consente una profilazione più precisa e un supporto più efficace nella fase successiva.</w:t>
        <w:br w:type="textWrapping"/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Un elemento distintivo di questa fase è l’integrazione del concetto giapponese di </w:t>
      </w:r>
      <w:r w:rsidDel="00000000" w:rsidR="00000000" w:rsidRPr="00000000">
        <w:rPr>
          <w:b w:val="1"/>
          <w:rtl w:val="0"/>
        </w:rPr>
        <w:t xml:space="preserve">Ikigai</w:t>
      </w:r>
      <w:r w:rsidDel="00000000" w:rsidR="00000000" w:rsidRPr="00000000">
        <w:rPr>
          <w:rtl w:val="0"/>
        </w:rPr>
        <w:t xml:space="preserve">, che rappresenta “ciò che dà senso alla vita”. Il nostro obiettivo è superare la mera analisi delle competenze e delle opportunità di mercato, includendo anche i valori personali, le passioni e le fonti di realizzazione individuale. In questo modo, la ricerca di una carriera diventa un processo più profondo, significativo e unico.</w:t>
      </w:r>
    </w:p>
    <w:p w:rsidR="00000000" w:rsidDel="00000000" w:rsidP="00000000" w:rsidRDefault="00000000" w:rsidRPr="00000000" w14:paraId="00000007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modello elaborato analizzerà queste informazioni per identificare i percorsi professionali più allineati al profilo dell’utente, considerando sia le sue inclinazioni naturali sia il senso di scopo che cerca nella vita.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j19qwymj0lq2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Career Coach</w:t>
      </w:r>
    </w:p>
    <w:p w:rsidR="00000000" w:rsidDel="00000000" w:rsidP="00000000" w:rsidRDefault="00000000" w:rsidRPr="00000000" w14:paraId="0000000A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Indipendentemente dal percorso scelto nella fase di “Career Match”, l’utente accede a una seconda fase in cui può </w:t>
      </w:r>
      <w:r w:rsidDel="00000000" w:rsidR="00000000" w:rsidRPr="00000000">
        <w:rPr>
          <w:b w:val="1"/>
          <w:rtl w:val="0"/>
        </w:rPr>
        <w:t xml:space="preserve">definire e pianificare i propri obiettivi</w:t>
      </w:r>
      <w:r w:rsidDel="00000000" w:rsidR="00000000" w:rsidRPr="00000000">
        <w:rPr>
          <w:rtl w:val="0"/>
        </w:rPr>
        <w:t xml:space="preserve">, sia professionali che personali.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Il Career Coach si fonda su tre pilastri: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Orientamento agli obiettivi:</w:t>
      </w:r>
      <w:r w:rsidDel="00000000" w:rsidR="00000000" w:rsidRPr="00000000">
        <w:rPr>
          <w:rtl w:val="0"/>
        </w:rPr>
        <w:t xml:space="preserve"> supporto pratico nel definire traguardi realistici e stimolanti, dal primo colloquio fino al consolidamento della carriera.</w:t>
        <w:br w:type="textWrapping"/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Pianificazione strategica:</w:t>
      </w:r>
      <w:r w:rsidDel="00000000" w:rsidR="00000000" w:rsidRPr="00000000">
        <w:rPr>
          <w:rtl w:val="0"/>
        </w:rPr>
        <w:t xml:space="preserve"> suggerimenti e strumenti per organizzare i passi necessari al raggiungimento degli obiettivi, con aggiornamenti progressivi.</w:t>
        <w:br w:type="textWrapping"/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Crescita personale e professionale:</w:t>
      </w:r>
      <w:r w:rsidDel="00000000" w:rsidR="00000000" w:rsidRPr="00000000">
        <w:rPr>
          <w:rtl w:val="0"/>
        </w:rPr>
        <w:t xml:space="preserve"> accompagnamento continuo per sviluppare competenze, migliorare la motivazione e mantenere l’allineamento con i valori profondi dell’utente.</w:t>
        <w:br w:type="textWrapping"/>
      </w:r>
    </w:p>
    <w:p w:rsidR="00000000" w:rsidDel="00000000" w:rsidP="00000000" w:rsidRDefault="00000000" w:rsidRPr="00000000" w14:paraId="0000000F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In questo modo, il Career Coach non si limita a fornire indicazioni pratiche per il mondo del lavoro, ma diventa una guida unica che accompagna l’utente nella costruzione di una vita professionale pienamente integrata con le proprie aspirazioni personali.</w:t>
      </w:r>
    </w:p>
    <w:p w:rsidR="00000000" w:rsidDel="00000000" w:rsidP="00000000" w:rsidRDefault="00000000" w:rsidRPr="00000000" w14:paraId="00000010">
      <w:pPr>
        <w:spacing w:after="240" w:before="240" w:lineRule="auto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389100</wp:posOffset>
            </wp:positionH>
            <wp:positionV relativeFrom="paragraph">
              <wp:posOffset>142875</wp:posOffset>
            </wp:positionV>
            <wp:extent cx="4956333" cy="7434500"/>
            <wp:effectExtent b="0" l="0" r="0" t="0"/>
            <wp:wrapNone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6333" cy="74345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1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b w:val="1"/>
          <w:sz w:val="32"/>
          <w:szCs w:val="32"/>
          <w:rtl w:val="0"/>
        </w:rPr>
        <w:t xml:space="preserve">Possibile Architettura</w:t>
      </w:r>
    </w:p>
    <w:p w:rsidR="00000000" w:rsidDel="00000000" w:rsidP="00000000" w:rsidRDefault="00000000" w:rsidRPr="00000000" w14:paraId="0000003B">
      <w:pPr>
        <w:jc w:val="center"/>
        <w:rPr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center"/>
        <w:rPr>
          <w:b w:val="1"/>
          <w:i w:val="1"/>
          <w:sz w:val="32"/>
          <w:szCs w:val="32"/>
          <w:u w:val="single"/>
        </w:rPr>
      </w:pPr>
      <w:hyperlink r:id="rId7">
        <w:r w:rsidDel="00000000" w:rsidR="00000000" w:rsidRPr="00000000">
          <w:rPr>
            <w:b w:val="1"/>
            <w:i w:val="1"/>
            <w:color w:val="1155cc"/>
            <w:sz w:val="32"/>
            <w:szCs w:val="32"/>
            <w:u w:val="single"/>
            <w:rtl w:val="0"/>
          </w:rPr>
          <w:t xml:space="preserve">Architecture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center"/>
        <w:rPr>
          <w:b w:val="1"/>
          <w:i w:val="1"/>
          <w:sz w:val="32"/>
          <w:szCs w:val="32"/>
          <w:u w:val="single"/>
        </w:rPr>
      </w:pPr>
      <w:r w:rsidDel="00000000" w:rsidR="00000000" w:rsidRPr="00000000">
        <w:rPr>
          <w:b w:val="1"/>
          <w:i w:val="1"/>
          <w:sz w:val="32"/>
          <w:szCs w:val="32"/>
          <w:u w:val="single"/>
          <w:rtl w:val="0"/>
        </w:rPr>
        <w:t xml:space="preserve">(non definitivo)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i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hyperlink" Target="https://app.eraser.io/workspace/RkaaWibSPJpvg7FL6PYB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