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64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6"/>
        </w:rPr>
        <w:t>產品與保固合約</w:t>
      </w:r>
    </w:p>
    <w:p>
      <w:pPr>
        <w:spacing w:before="0" w:after="240" w:line="264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PRODUCT AND WARRANTY AGREEMENT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3"/>
        </w:rPr>
        <w:t>甲方：______________________________</w:t>
      </w:r>
    </w:p>
    <w:p>
      <w:pPr>
        <w:spacing w:before="0" w:after="20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3"/>
        </w:rPr>
        <w:t>乙方：欖亞顧問股份有限公司</w:t>
      </w:r>
    </w:p>
    <w:p>
      <w:pPr>
        <w:spacing w:before="0" w:after="16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甲乙雙方本於誠信原則，依中華民國法律及相關法規，就下列事項共同締結本合約。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第一條　產品內容與合約範圍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乙方出售予甲方之套裝系統，以本合約及雙方確認之報價或交付內容為準。本套裝系統總價為新臺幣參拾伍萬元整（NT$350,000），除雙方另有書面約定外，已包含下列內容：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腦波訊號擷取設備一臺：供本系統連接與訊號擷取使用；合約中不列品牌或非必要型號細節。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平板設備一臺：原則為 REDMI Pad SE 8.7，64GB 規格或乙方提供之同等級替代品。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乙方官方應用程式及必要設定：包含 Orion 系統運作所需之介面、流程、報告與相關使用文件。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初始安裝、基本操作訓練、驗收協助、前六個月軟體服務與支援，以及十二個月有限硬體保固。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第二條　付款、交付與驗收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付款方式、交付日期及實際交付品項，依雙方報價、訂購單或書面確認內容辦理；未另約定者，得採訂金、交付及驗收分期付款。乙方完成交付並通知甲方後，甲方應於七個工作日內完成基本功能確認；甲方未於期限內提出具體書面異議者，視為驗收完成。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驗收以系統是否能完成乙方展示之主要工作流程為準，不以甲方主觀期待、未載明功能、第三方服務狀態或商業成果作為驗收條件。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第三條　硬體保固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硬體保固期間為驗收完成日起十二個月。本保固僅適用於正常使用、依操作說明及符合建議環境，且屬非外力、非人為、非不當使用因素造成之材料或製造瑕疵。符合保固條件者，乙方得依故障性質選擇修理、更換同等或不低於主要規格之設備，或採取雙方同意之其他合理處理方式。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下列情形不屬硬體保固範圍：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摔落、碰撞、擠壓、液體或濕氣侵入、火災、雷擊、電壓異常、天災或其他外力造成之損壞。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甲方或第三人不當使用、未依操作說明使用、擅自拆解、改裝、維修或連接未經乙方建議之設備。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耗材、外觀磨耗、電池自然耗損、保護膜、線材或其他消耗性配件，除交付時即有瑕疵者外。</w:t>
      </w:r>
    </w:p>
    <w:p>
      <w:pPr>
        <w:spacing w:before="0" w:after="40" w:line="317" w:lineRule="auto"/>
        <w:ind w:left="340" w:hanging="227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• 因第三方平台、網路、電力、帳號權限、作業系統更新或甲方環境造成之異常。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第四條　前六個月軟體服務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套裝系統總價已包含驗收完成次日起六個月之軟體服務與支援。服務內容包括操作問題回覆、既有功能使用協助、必要版本修補與合理設定協助。乙方於收到甲方正式服務需求後，應於三個工作日內提供初步回覆；初步回覆不等於修復完成。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前六個月軟體服務不包含新增功能、客製開發、API 串接、第三方雲端費、到場差旅、資料清理或資料復原。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第五條　第七個月起之軟體維護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前六個月軟體服務期滿後，如甲方需持續取得年度軟體維護、客服支援、版本更新或其他延伸服務，應另行簽署或確認軟體維護與支援服務合約。該軟體合約自第七個月起或雙方另行約定之日期開始適用。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第六條　軟體授權與智慧財產權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系統相關軟體、流程、介面、文件、報告格式、模型、商標及其他智慧財產權，均歸乙方或其授權人所有。甲方取得者為依本合約目的使用本系統之非專屬、不可轉讓授權；未經乙方書面同意，甲方不得重製、改作、反向工程、出租、轉售、再授權或提供第三人使用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第七條　資料、法遵與使用限制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甲方如於使用本系統時蒐集或處理會員、客戶、員工或其他自然人資料，應自行確認具備合法依據、告知程序及必要同意。乙方僅於履行本合約、提供支援、排除問題、維護安全及依法令要求範圍內處理相關資料。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本系統定位為研究、產品比較、體驗溝通及推薦輔助工具，不作為醫療診斷、治療、心理治療、疾病預測或其他受醫療法規高度管制用途。甲方不得以未經乙方書面核准之方式對外宣稱療效或保證成果。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第八條　責任限制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除故意、重大過失、侵害生命身體健康、個人資料依法不得限制之責任或其他依法不得預先排除之情形外，乙方因本合約所負賠償責任，以甲方就本套裝系統實際支付予乙方之金額為上限。乙方不對甲方之所失利益、預期營收、停業損失、商譽損失、資料喪失或其他間接、附隨、特別或懲罰性損害負責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第九條　保密與契約效力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任一方因本合約知悉之非公開技術、價格、流程、資料、營業資訊或個人資料，均應負保密義務。保密義務於本合約終止或履行完畢後仍持續三年；涉及營業秘密、個人資料或依法應保密者，不受三年期間限制。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本合約任何條款如經認定無效或不可執行，不影響其他條款效力；雙方應以最接近原商業目的且合法有效之條款取代。</w:t>
      </w:r>
    </w:p>
    <w:p>
      <w:pPr>
        <w:keepNext/>
        <w:spacing w:before="160" w:after="60" w:line="300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4"/>
        </w:rPr>
        <w:t>第十條　準據法與管轄法院</w:t>
      </w:r>
    </w:p>
    <w:p>
      <w:pPr>
        <w:spacing w:before="0" w:after="8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本合約之成立、效力、履行、解釋及爭議處理，均以中華民國法律為準據法。因本合約所生或與本合約有關之一切爭議，雙方同意以臺灣臺北地方法院為第一審管轄法院；但法律另有專屬管轄或不得合意管轄之規定者，從其規定。</w:t>
      </w:r>
    </w:p>
    <w:p>
      <w:r>
        <w:br w:type="page"/>
      </w:r>
    </w:p>
    <w:p>
      <w:pPr>
        <w:spacing w:before="160" w:after="240" w:line="324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0"/>
        </w:rPr>
        <w:t>簽署頁</w:t>
      </w:r>
    </w:p>
    <w:p>
      <w:pPr>
        <w:spacing w:before="0" w:after="24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2"/>
        </w:rPr>
        <w:t>甲乙雙方確認已審閱並同意本合約全部內容，並由有權代表簽署或用印如下：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2"/>
              </w:rPr>
              <w:t>甲方：</w:t>
            </w:r>
          </w:p>
        </w:tc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2"/>
              </w:rPr>
              <w:t>乙方：欖亞顧問股份有限公司</w:t>
            </w:r>
          </w:p>
        </w:tc>
      </w:tr>
      <w:tr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簽名／用印：</w:t>
            </w:r>
          </w:p>
        </w:tc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簽名／用印：</w:t>
            </w:r>
          </w:p>
        </w:tc>
      </w:tr>
      <w:tr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代表人：</w:t>
            </w:r>
          </w:p>
        </w:tc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代表人：</w:t>
            </w:r>
          </w:p>
        </w:tc>
      </w:tr>
      <w:tr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日期：民國　　　年　　　月　　　日</w:t>
            </w:r>
          </w:p>
        </w:tc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  <w:t>日期：民國　　　年　　　月　　　日</w:t>
            </w:r>
          </w:p>
        </w:tc>
      </w:tr>
      <w:tr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</w:r>
          </w:p>
        </w:tc>
        <w:tc>
          <w:tcPr>
            <w:tcW w:type="dxa" w:w="464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22"/>
              </w:rPr>
            </w:r>
          </w:p>
        </w:tc>
      </w:tr>
    </w:tbl>
    <w:p>
      <w:pPr>
        <w:spacing w:before="0" w:after="0" w:line="324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本合約一式二份，甲乙雙方各執一份為憑。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color w:val="000000"/>
        <w:sz w:val="16"/>
      </w:rPr>
      <w:t xml:space="preserve">第 </w:t>
    </w:r>
    <w:r>
      <w:rPr>
        <w:rFonts w:ascii="Microsoft JhengHei" w:hAnsi="Microsoft JhengHei" w:eastAsia="Microsoft JhengHei" w:cs="Microsoft JhengHei"/>
        <w:color w:val="000000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 w:cs="Microsoft JhengHei"/>
        <w:color w:val="00000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JhengHei" w:hAnsi="Microsoft JhengHei" w:eastAsia="Microsoft JhengHei" w:cs="Microsoft JhengHei"/>
        <w:color w:val="000000"/>
        <w:sz w:val="16"/>
      </w:rPr>
      <w:t>產品與保固合約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JhengHei" w:hAnsi="Microsoft JhengHei" w:eastAsia="Microsoft JhengHei" w:cs="Microsoft JhengHei"/>
      <w:b w:val="0"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JhengHei" w:hAnsi="Microsoft JhengHei" w:eastAsia="Microsoft JhengHei" w:cs="Microsoft JhengHei"/>
      <w:b w:val="0"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JhengHei" w:hAnsi="Microsoft JhengHei" w:eastAsia="Microsoft JhengHei" w:cs="Microsoft JhengHei"/>
      <w:b w:val="0"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JhengHei" w:hAnsi="Microsoft JhengHei" w:eastAsia="Microsoft JhengHei" w:cs="Microsoft JhengHei"/>
      <w:b w:val="0"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JhengHei" w:hAnsi="Microsoft JhengHei" w:eastAsia="Microsoft JhengHei" w:cs="Microsoft JhengHei"/>
      <w:b w:val="0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JhengHei" w:hAnsi="Microsoft JhengHei" w:eastAsia="Microsoft JhengHei" w:cs="Microsoft JhengHei"/>
      <w:b w:val="0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JhengHei" w:hAnsi="Microsoft JhengHei" w:eastAsia="Microsoft JhengHei" w:cs="Microsoft JhengHei"/>
      <w:b w:val="0"/>
      <w:color w:val="000000"/>
      <w:sz w:val="22"/>
    </w:rPr>
  </w:style>
  <w:style w:type="table" w:default="1" w:styleId="TableNormal">
    <w:name w:val="Normal Table"/>
    <w:uiPriority w:val="99"/>
    <w:semiHidden/>
    <w:unhideWhenUsed/>
    <w:rPr>
      <w:rFonts w:ascii="Microsoft JhengHei" w:hAnsi="Microsoft JhengHei" w:eastAsia="Microsoft JhengHei" w:cs="Microsoft JhengHei"/>
      <w:b w:val="0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JhengHei" w:hAnsi="Microsoft JhengHei" w:eastAsia="Microsoft JhengHei" w:cs="Microsoft JhengHei"/>
      <w:b w:val="0"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JhengHei" w:hAnsi="Microsoft JhengHei" w:eastAsia="Microsoft JhengHei" w:cs="Microsoft JhengHei"/>
      <w:b w:val="0"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JhengHei" w:hAnsi="Microsoft JhengHei" w:eastAsia="Microsoft JhengHei" w:cs="Microsoft JhengHei"/>
      <w:b w:val="0"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JhengHei" w:hAnsi="Microsoft JhengHei" w:eastAsia="Microsoft JhengHei" w:cs="Microsoft JhengHei"/>
      <w:b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JhengHei" w:hAnsi="Microsoft JhengHei" w:eastAsia="Microsoft JhengHei" w:cs="Microsoft JhengHei"/>
      <w:b w:val="0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hAnsi="Microsoft JhengHei" w:eastAsia="Microsoft JhengHei" w:cs="Microsoft Jheng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JhengHei" w:hAnsi="Microsoft JhengHei" w:eastAsia="Microsoft JhengHei" w:cs="Microsoft JhengHei"/>
      <w:b w:val="0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JhengHei" w:hAnsi="Microsoft JhengHei" w:eastAsia="Microsoft JhengHei" w:cs="Microsoft JhengHei"/>
      <w:b w:val="0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JhengHei" w:hAnsi="Microsoft JhengHei" w:eastAsia="Microsoft JhengHei" w:cs="Microsoft JhengHei"/>
      <w:b w:val="0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JhengHei" w:hAnsi="Microsoft JhengHei" w:eastAsia="Microsoft JhengHei" w:cs="Microsoft JhengHei"/>
      <w:b w:val="0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JhengHei" w:hAnsi="Microsoft JhengHei" w:eastAsia="Microsoft JhengHei" w:cs="Microsoft JhengHei"/>
      <w:b w:val="0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JhengHei" w:hAnsi="Microsoft JhengHei" w:eastAsia="Microsoft JhengHei" w:cs="Microsoft JhengHei"/>
      <w:b w:val="0"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JhengHei" w:hAnsi="Microsoft JhengHei" w:eastAsia="Microsoft JhengHei" w:cs="Microsoft JhengHei"/>
      <w:b w:val="0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JhengHei" w:hAnsi="Microsoft JhengHei" w:eastAsia="Microsoft JhengHei" w:cs="Microsoft JhengHei"/>
      <w:b w:val="0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JhengHei" w:hAnsi="Microsoft JhengHei" w:eastAsia="Microsoft JhengHei" w:cs="Microsoft JhengHei"/>
      <w:b w:val="0"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JhengHei" w:hAnsi="Microsoft JhengHei" w:eastAsia="Microsoft JhengHei" w:cs="Microsoft JhengHei"/>
      <w:b w:val="0"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JhengHei" w:hAnsi="Microsoft JhengHei" w:eastAsia="Microsoft JhengHei" w:cs="Microsoft JhengHei"/>
      <w:b w:val="0"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JhengHei" w:hAnsi="Microsoft JhengHei" w:eastAsia="Microsoft JhengHei" w:cs="Microsoft JhengHei"/>
      <w:b w:val="0"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JhengHei" w:hAnsi="Microsoft JhengHei" w:eastAsia="Microsoft JhengHei" w:cs="Microsoft JhengHei"/>
      <w:b w:val="0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JhengHei" w:hAnsi="Microsoft JhengHei" w:eastAsia="Microsoft JhengHei" w:cs="Microsoft JhengHei"/>
      <w:b w:val="0"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JhengHei" w:hAnsi="Microsoft JhengHei" w:eastAsia="Microsoft JhengHei" w:cs="Microsoft JhengHei"/>
      <w:b w:val="0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JhengHei" w:hAnsi="Microsoft JhengHei" w:eastAsia="Microsoft JhengHei" w:cs="Microsoft JhengHei"/>
      <w:b w:val="0"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JhengHei" w:hAnsi="Microsoft JhengHei" w:eastAsia="Microsoft JhengHei" w:cs="Microsoft JhengHei"/>
      <w:b w:val="0"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JhengHei" w:hAnsi="Microsoft JhengHei" w:eastAsia="Microsoft JhengHei" w:cs="Microsoft JhengHei"/>
      <w:b w:val="0"/>
      <w:color w:val="000000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產品與保固合約</dc:title>
  <dc:subject/>
  <dc:creator>欖亞顧問股份有限公司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