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2B60" w14:textId="7DE70410" w:rsidR="00B351CB" w:rsidRPr="0034204E" w:rsidRDefault="00000000">
      <w:pPr>
        <w:pStyle w:val="Heading1"/>
        <w:rPr>
          <w:rFonts w:ascii="Arial" w:hAnsi="Arial" w:cs="Arial"/>
          <w:color w:val="000000" w:themeColor="text1"/>
        </w:rPr>
      </w:pPr>
      <w:r w:rsidRPr="0034204E">
        <w:rPr>
          <w:rFonts w:ascii="Arial" w:hAnsi="Arial" w:cs="Arial"/>
          <w:color w:val="000000" w:themeColor="text1"/>
        </w:rPr>
        <w:t>AI Periodontal Dashboard – Clinician Input &amp; Diagnostic Framework</w:t>
      </w:r>
    </w:p>
    <w:p w14:paraId="5DF0CC81" w14:textId="77777777" w:rsidR="00B351CB" w:rsidRDefault="00000000">
      <w:r>
        <w:br/>
        <w:t xml:space="preserve">This document outlines the simplified and standardized data input system for a web-based AI periodontal </w:t>
      </w:r>
      <w:r>
        <w:br/>
        <w:t xml:space="preserve">dashboard based on the EFP/AAP 2017 Classification. It is designed to support accurate, fast, and compliant </w:t>
      </w:r>
      <w:r>
        <w:br/>
        <w:t>periodontal diagnosis (Staging &amp; Grading).</w:t>
      </w:r>
      <w:r>
        <w:br/>
      </w:r>
    </w:p>
    <w:p w14:paraId="79E24767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1. Patient Profile (Minimal Required)</w:t>
      </w:r>
    </w:p>
    <w:p w14:paraId="78DA32C0" w14:textId="77777777" w:rsidR="00B351CB" w:rsidRDefault="00000000">
      <w:r>
        <w:br/>
        <w:t>• Age (years)</w:t>
      </w:r>
      <w:r>
        <w:br/>
        <w:t>• Smoking Status: Non / &lt;10/day / ≥10/day</w:t>
      </w:r>
      <w:r>
        <w:br/>
        <w:t>• Diabetes: Yes / No</w:t>
      </w:r>
      <w:r>
        <w:br/>
        <w:t xml:space="preserve">   - If Yes: HbA1c (%)</w:t>
      </w:r>
      <w:r>
        <w:br/>
        <w:t>• Previous Periodontal Records: Yes / No</w:t>
      </w:r>
      <w:r>
        <w:br/>
      </w:r>
    </w:p>
    <w:p w14:paraId="65D9E529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2. Radiographic Data (AI-Assisted)</w:t>
      </w:r>
    </w:p>
    <w:p w14:paraId="73394802" w14:textId="77777777" w:rsidR="00B351CB" w:rsidRDefault="00000000">
      <w:r>
        <w:br/>
        <w:t>• Full-mouth X-rays uploaded: Yes / No</w:t>
      </w:r>
      <w:r>
        <w:br/>
        <w:t>• AI-extracted per tooth:</w:t>
      </w:r>
      <w:r>
        <w:br/>
        <w:t xml:space="preserve">   - Bone loss percentage (%)</w:t>
      </w:r>
      <w:r>
        <w:br/>
        <w:t xml:space="preserve">   - Bone loss level: Coronal / Middle / Apical</w:t>
      </w:r>
      <w:r>
        <w:br/>
        <w:t xml:space="preserve">   - Vertical defects (mm)</w:t>
      </w:r>
      <w:r>
        <w:br/>
        <w:t xml:space="preserve">   - Furcation involvement: Yes / No</w:t>
      </w:r>
      <w:r>
        <w:br/>
        <w:t>• Detectable marginal bone loss: Yes / No</w:t>
      </w:r>
      <w:r>
        <w:br/>
      </w:r>
    </w:p>
    <w:p w14:paraId="778C6710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3. Periodontal Charting (Simplified Mode)</w:t>
      </w:r>
    </w:p>
    <w:p w14:paraId="605AD835" w14:textId="77777777" w:rsidR="00B351CB" w:rsidRDefault="00000000">
      <w:r>
        <w:br/>
        <w:t>Required:</w:t>
      </w:r>
      <w:r>
        <w:br/>
        <w:t>• Maximum Interdental CAL (mm)</w:t>
      </w:r>
      <w:r>
        <w:br/>
        <w:t>• Maximum PPD (mm)</w:t>
      </w:r>
      <w:r>
        <w:br/>
        <w:t>• Full-mouth BoP (%)</w:t>
      </w:r>
      <w:r>
        <w:br/>
        <w:t>• Worst Furcation: None / I / II / III</w:t>
      </w:r>
      <w:r>
        <w:br/>
        <w:t>• Worst Mobility: 0 / 1 / 2 / 3</w:t>
      </w:r>
      <w:r>
        <w:br/>
      </w:r>
      <w:r>
        <w:br/>
        <w:t>Optional (Advanced Mode):</w:t>
      </w:r>
      <w:r>
        <w:br/>
        <w:t>• 6-point PPD per tooth</w:t>
      </w:r>
      <w:r>
        <w:br/>
      </w:r>
      <w:r>
        <w:lastRenderedPageBreak/>
        <w:t>• 6-point CAL per tooth</w:t>
      </w:r>
      <w:r>
        <w:br/>
        <w:t>• Suppuration</w:t>
      </w:r>
      <w:r>
        <w:br/>
        <w:t>• Plaque Index</w:t>
      </w:r>
      <w:r>
        <w:br/>
      </w:r>
    </w:p>
    <w:p w14:paraId="18254BCA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4. Tooth Loss &amp; Functional Status</w:t>
      </w:r>
    </w:p>
    <w:p w14:paraId="69D93263" w14:textId="77777777" w:rsidR="00B351CB" w:rsidRDefault="00000000">
      <w:r>
        <w:br/>
        <w:t>• Teeth lost due to periodontitis: 0 / 1–4 / ≥5</w:t>
      </w:r>
      <w:r>
        <w:br/>
        <w:t>• Occluding pairs: ≥10 / &lt;10</w:t>
      </w:r>
      <w:r>
        <w:br/>
        <w:t>• Bite collapse / drifting / flaring: Yes / No</w:t>
      </w:r>
      <w:r>
        <w:br/>
        <w:t>• Ridge defect: None / Moderate / Severe</w:t>
      </w:r>
      <w:r>
        <w:br/>
        <w:t>• Masticatory dysfunction: Yes / No</w:t>
      </w:r>
      <w:r>
        <w:br/>
      </w:r>
    </w:p>
    <w:p w14:paraId="4C6EEE09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5. Disease Extent</w:t>
      </w:r>
    </w:p>
    <w:p w14:paraId="56AEA297" w14:textId="77777777" w:rsidR="00B351CB" w:rsidRDefault="00000000">
      <w:r>
        <w:br/>
        <w:t>• Total teeth present</w:t>
      </w:r>
      <w:r>
        <w:br/>
        <w:t>• Teeth with CAL ≥ threshold</w:t>
      </w:r>
      <w:r>
        <w:br/>
        <w:t>• System calculates:</w:t>
      </w:r>
      <w:r>
        <w:br/>
        <w:t xml:space="preserve">   - Localized (&lt;30%)</w:t>
      </w:r>
      <w:r>
        <w:br/>
        <w:t xml:space="preserve">   - Generalized (≥30%)</w:t>
      </w:r>
      <w:r>
        <w:br/>
        <w:t xml:space="preserve">   - Molar-incisor pattern</w:t>
      </w:r>
      <w:r>
        <w:br/>
      </w:r>
    </w:p>
    <w:p w14:paraId="04A05419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6. Staging Criteria (Automatic)</w:t>
      </w:r>
    </w:p>
    <w:p w14:paraId="15C70360" w14:textId="77777777" w:rsidR="00B351CB" w:rsidRDefault="00000000">
      <w:r>
        <w:br/>
        <w:t>Stage I:</w:t>
      </w:r>
      <w:r>
        <w:br/>
        <w:t>• CAL 1–2 mm</w:t>
      </w:r>
      <w:r>
        <w:br/>
        <w:t>• Bone loss &lt;15%</w:t>
      </w:r>
      <w:r>
        <w:br/>
        <w:t>• No tooth loss</w:t>
      </w:r>
      <w:r>
        <w:br/>
      </w:r>
      <w:r>
        <w:br/>
        <w:t>Stage II:</w:t>
      </w:r>
      <w:r>
        <w:br/>
        <w:t>• CAL 3–4 mm</w:t>
      </w:r>
      <w:r>
        <w:br/>
        <w:t>• Bone loss 15–33%</w:t>
      </w:r>
      <w:r>
        <w:br/>
        <w:t>• No tooth loss</w:t>
      </w:r>
      <w:r>
        <w:br/>
      </w:r>
      <w:r>
        <w:br/>
        <w:t>Stage III:</w:t>
      </w:r>
      <w:r>
        <w:br/>
        <w:t>• CAL ≥5 mm or bone loss to middle third</w:t>
      </w:r>
      <w:r>
        <w:br/>
        <w:t>• Tooth loss ≤4</w:t>
      </w:r>
      <w:r>
        <w:br/>
        <w:t>• Deep pockets / furcation</w:t>
      </w:r>
      <w:r>
        <w:br/>
      </w:r>
      <w:r>
        <w:br/>
        <w:t>Stage IV:</w:t>
      </w:r>
      <w:r>
        <w:br/>
        <w:t>• CAL ≥5 mm + severe complexity</w:t>
      </w:r>
      <w:r>
        <w:br/>
        <w:t>• Tooth loss ≥5</w:t>
      </w:r>
      <w:r>
        <w:br/>
      </w:r>
      <w:r>
        <w:lastRenderedPageBreak/>
        <w:t>• &lt;10 occluding pairs</w:t>
      </w:r>
      <w:r>
        <w:br/>
        <w:t>• Bite collapse</w:t>
      </w:r>
      <w:r>
        <w:br/>
      </w:r>
    </w:p>
    <w:p w14:paraId="0ED92782" w14:textId="77777777" w:rsidR="00B351CB" w:rsidRDefault="00000000">
      <w:pPr>
        <w:pStyle w:val="Heading2"/>
      </w:pPr>
      <w:r w:rsidRPr="0034204E">
        <w:rPr>
          <w:color w:val="000000" w:themeColor="text1"/>
        </w:rPr>
        <w:t>7. Complexity Modifiers</w:t>
      </w:r>
    </w:p>
    <w:p w14:paraId="3BCD7175" w14:textId="77777777" w:rsidR="00B351CB" w:rsidRDefault="00000000">
      <w:r>
        <w:br/>
        <w:t>• PPD ≥6 mm</w:t>
      </w:r>
      <w:r>
        <w:br/>
        <w:t>• Vertical defects ≥3 mm</w:t>
      </w:r>
      <w:r>
        <w:br/>
        <w:t>• Furcation II–III</w:t>
      </w:r>
      <w:r>
        <w:br/>
        <w:t>• Mobility ≥2</w:t>
      </w:r>
      <w:r>
        <w:br/>
        <w:t>• Severe ridge defects</w:t>
      </w:r>
      <w:r>
        <w:br/>
        <w:t>• Rehabilitation needs</w:t>
      </w:r>
      <w:r>
        <w:br/>
      </w:r>
    </w:p>
    <w:p w14:paraId="53865711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8. Grading Criteria (Automatic)</w:t>
      </w:r>
    </w:p>
    <w:p w14:paraId="63C6FE8A" w14:textId="77777777" w:rsidR="00B351CB" w:rsidRDefault="00000000">
      <w:r>
        <w:br/>
        <w:t>With Records (5 years):</w:t>
      </w:r>
      <w:r>
        <w:br/>
        <w:t>• No progression → Grade A</w:t>
      </w:r>
      <w:r>
        <w:br/>
        <w:t>• &lt;2 mm → Grade B</w:t>
      </w:r>
      <w:r>
        <w:br/>
        <w:t>• ≥2 mm → Grade C</w:t>
      </w:r>
      <w:r>
        <w:br/>
      </w:r>
      <w:r>
        <w:br/>
        <w:t>Without Records:</w:t>
      </w:r>
      <w:r>
        <w:br/>
        <w:t>• Bone loss % / Age</w:t>
      </w:r>
      <w:r>
        <w:br/>
      </w:r>
      <w:r>
        <w:br/>
        <w:t xml:space="preserve">   &lt;0.25 → A</w:t>
      </w:r>
      <w:r>
        <w:br/>
        <w:t xml:space="preserve">   0.25–1.0 → B</w:t>
      </w:r>
      <w:r>
        <w:br/>
        <w:t xml:space="preserve">   &gt;1.0 → C</w:t>
      </w:r>
      <w:r>
        <w:br/>
      </w:r>
    </w:p>
    <w:p w14:paraId="641FEC64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9. Risk Modifiers</w:t>
      </w:r>
    </w:p>
    <w:p w14:paraId="37BCA6A0" w14:textId="77777777" w:rsidR="00B351CB" w:rsidRDefault="00000000">
      <w:r>
        <w:br/>
        <w:t>Smoking:</w:t>
      </w:r>
      <w:r>
        <w:br/>
        <w:t>• Non-smoker → No change</w:t>
      </w:r>
      <w:r>
        <w:br/>
        <w:t>• &lt;10/day → Minimum B</w:t>
      </w:r>
      <w:r>
        <w:br/>
        <w:t>• ≥10/day → Grade C</w:t>
      </w:r>
      <w:r>
        <w:br/>
      </w:r>
      <w:r>
        <w:br/>
        <w:t>Diabetes:</w:t>
      </w:r>
      <w:r>
        <w:br/>
        <w:t>• HbA1c &lt;7% → Minimum B</w:t>
      </w:r>
      <w:r>
        <w:br/>
        <w:t>• HbA1c ≥7% → Grade C</w:t>
      </w:r>
      <w:r>
        <w:br/>
      </w:r>
    </w:p>
    <w:p w14:paraId="5B5109FC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10. Automated Diagnostic Logic</w:t>
      </w:r>
    </w:p>
    <w:p w14:paraId="4EF8FBC9" w14:textId="77777777" w:rsidR="00B351CB" w:rsidRDefault="00000000">
      <w:r>
        <w:br/>
        <w:t>1. Confirm periodontitis case</w:t>
      </w:r>
      <w:r>
        <w:br/>
      </w:r>
      <w:r>
        <w:lastRenderedPageBreak/>
        <w:t>2. Calculate disease extent</w:t>
      </w:r>
      <w:r>
        <w:br/>
        <w:t>3. Assign base stage (CAL/RBL)</w:t>
      </w:r>
      <w:r>
        <w:br/>
        <w:t>4. Apply complexity modifiers</w:t>
      </w:r>
      <w:r>
        <w:br/>
        <w:t>5. Check Stage IV criteria</w:t>
      </w:r>
      <w:r>
        <w:br/>
        <w:t>6. Assign final stage</w:t>
      </w:r>
      <w:r>
        <w:br/>
        <w:t>7. Calculate progression grade</w:t>
      </w:r>
      <w:r>
        <w:br/>
        <w:t>8. Apply risk modifiers</w:t>
      </w:r>
      <w:r>
        <w:br/>
        <w:t>9. Generate explainable diagnosis</w:t>
      </w:r>
      <w:r>
        <w:br/>
      </w:r>
    </w:p>
    <w:p w14:paraId="40E035CC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11. System Output</w:t>
      </w:r>
    </w:p>
    <w:p w14:paraId="747C9C89" w14:textId="77777777" w:rsidR="00B351CB" w:rsidRDefault="00000000">
      <w:r>
        <w:br/>
        <w:t>• Diagnosis: Stage, Grade, Extent</w:t>
      </w:r>
      <w:r>
        <w:br/>
        <w:t>• Severity level</w:t>
      </w:r>
      <w:r>
        <w:br/>
        <w:t>• Risk profile</w:t>
      </w:r>
      <w:r>
        <w:br/>
        <w:t>• Treatment recommendation</w:t>
      </w:r>
      <w:r>
        <w:br/>
        <w:t>• Recall interval</w:t>
      </w:r>
      <w:r>
        <w:br/>
        <w:t>• Tooth-level prognosis</w:t>
      </w:r>
      <w:r>
        <w:br/>
      </w:r>
    </w:p>
    <w:p w14:paraId="6B8E3445" w14:textId="77777777" w:rsidR="00B351CB" w:rsidRPr="0034204E" w:rsidRDefault="00000000">
      <w:pPr>
        <w:pStyle w:val="Heading2"/>
        <w:rPr>
          <w:color w:val="000000" w:themeColor="text1"/>
        </w:rPr>
      </w:pPr>
      <w:r w:rsidRPr="0034204E">
        <w:rPr>
          <w:color w:val="000000" w:themeColor="text1"/>
        </w:rPr>
        <w:t>12. Simplified Clinician Workflow</w:t>
      </w:r>
    </w:p>
    <w:p w14:paraId="497828B0" w14:textId="77777777" w:rsidR="00B351CB" w:rsidRDefault="00000000">
      <w:r>
        <w:br/>
        <w:t>1. Enter patient profile (30 sec)</w:t>
      </w:r>
      <w:r>
        <w:br/>
        <w:t>2. Upload X-rays (AI analyzes)</w:t>
      </w:r>
      <w:r>
        <w:br/>
        <w:t>3. Enter key periodontal findings</w:t>
      </w:r>
      <w:r>
        <w:br/>
        <w:t>4. Confirm tooth loss/function</w:t>
      </w:r>
      <w:r>
        <w:br/>
        <w:t>5. Review automatic diagnosis</w:t>
      </w:r>
      <w:r>
        <w:br/>
        <w:t>6. Approve and save report</w:t>
      </w:r>
      <w:r>
        <w:br/>
      </w:r>
    </w:p>
    <w:sectPr w:rsidR="00B35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951299">
    <w:abstractNumId w:val="8"/>
  </w:num>
  <w:num w:numId="2" w16cid:durableId="948245480">
    <w:abstractNumId w:val="6"/>
  </w:num>
  <w:num w:numId="3" w16cid:durableId="1169949466">
    <w:abstractNumId w:val="5"/>
  </w:num>
  <w:num w:numId="4" w16cid:durableId="630094524">
    <w:abstractNumId w:val="4"/>
  </w:num>
  <w:num w:numId="5" w16cid:durableId="2139444821">
    <w:abstractNumId w:val="7"/>
  </w:num>
  <w:num w:numId="6" w16cid:durableId="1809467839">
    <w:abstractNumId w:val="3"/>
  </w:num>
  <w:num w:numId="7" w16cid:durableId="894122717">
    <w:abstractNumId w:val="2"/>
  </w:num>
  <w:num w:numId="8" w16cid:durableId="694308972">
    <w:abstractNumId w:val="1"/>
  </w:num>
  <w:num w:numId="9" w16cid:durableId="58773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04E"/>
    <w:rsid w:val="005976EF"/>
    <w:rsid w:val="00AA1D8D"/>
    <w:rsid w:val="00B351CB"/>
    <w:rsid w:val="00B47730"/>
    <w:rsid w:val="00CB0664"/>
    <w:rsid w:val="00F37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121B9"/>
  <w14:defaultImageDpi w14:val="300"/>
  <w15:docId w15:val="{C8B64963-AB85-A44C-A692-BBCD5A91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besaflow@outlook.com</cp:lastModifiedBy>
  <cp:revision>3</cp:revision>
  <dcterms:created xsi:type="dcterms:W3CDTF">2026-02-15T21:11:00Z</dcterms:created>
  <dcterms:modified xsi:type="dcterms:W3CDTF">2026-02-18T09:21:00Z</dcterms:modified>
  <cp:category/>
</cp:coreProperties>
</file>