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MM-DOC-000</w:t>
      </w:r>
    </w:p>
    <w:p>
      <w:pPr>
        <w:pStyle w:val="Heading2"/>
        <w:jc w:val="center"/>
      </w:pPr>
      <w:r>
        <w:t>MATCHMATRIX DOCUMENTATION STANDARD</w:t>
      </w:r>
    </w:p>
    <w:p>
      <w:pPr>
        <w:pStyle w:val="Heading1"/>
      </w:pPr>
      <w:r>
        <w:t>Informace o dokumentu</w:t>
      </w:r>
    </w:p>
    <w:p>
      <w:r>
        <w:t>Verze: 0.9 (Revize)</w:t>
        <w:br/>
        <w:t>Stav: K připomínkám</w:t>
      </w:r>
    </w:p>
    <w:p>
      <w:pPr>
        <w:pStyle w:val="Heading1"/>
      </w:pPr>
      <w:r>
        <w:t>Účel dokumentu</w:t>
      </w:r>
    </w:p>
    <w:p>
      <w:r>
        <w:t>Tento dokument stanovuje jednotná pravidla pro tvorbu a správu dokumentace projektu MatchMatrix.</w:t>
      </w:r>
    </w:p>
    <w:p>
      <w:pPr>
        <w:pStyle w:val="Heading1"/>
      </w:pPr>
      <w:r>
        <w:t>Pracovní obsah</w:t>
      </w:r>
    </w:p>
    <w:p>
      <w:r>
        <w:t>1. Úvod</w:t>
      </w:r>
    </w:p>
    <w:p>
      <w:r>
        <w:t>2. Filozofie dokumentace</w:t>
      </w:r>
    </w:p>
    <w:p>
      <w:r>
        <w:t>3. Architektura dokumentace</w:t>
      </w:r>
    </w:p>
    <w:p>
      <w:r>
        <w:t>4. Standard psaní</w:t>
      </w:r>
    </w:p>
    <w:p>
      <w:r>
        <w:t>5. Typografie</w:t>
      </w:r>
    </w:p>
    <w:p>
      <w:r>
        <w:t>6. Grafický standard</w:t>
      </w:r>
    </w:p>
    <w:p>
      <w:r>
        <w:t>7. Struktura dokumentů</w:t>
      </w:r>
    </w:p>
    <w:p>
      <w:r>
        <w:t>8. Verzování</w:t>
      </w:r>
    </w:p>
    <w:p>
      <w:r>
        <w:t>9. Přílohy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