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bookmarkStart w:id="0" w:name="_GoBack"/>
      <w:bookmarkEnd w:id="0"/>
      <w:r w:rsidRPr="00682DCC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Problem &amp; Solution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Identifying the Core Issue</w:t>
      </w:r>
    </w:p>
    <w:p w:rsidR="00682DCC" w:rsidRPr="00682DCC" w:rsidRDefault="00682DCC" w:rsidP="00682DCC">
      <w:pPr>
        <w:numPr>
          <w:ilvl w:val="0"/>
          <w:numId w:val="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Many educators and learners struggle to access and monetize high-quality, curated educational content efficiently. Traditional knowledge sharing and learning platforms often lack the ability to personalize and generate AI-driven content.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 xml:space="preserve">Introducing </w:t>
      </w:r>
      <w:proofErr w:type="spellStart"/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KaasAI</w:t>
      </w:r>
      <w:proofErr w:type="spellEnd"/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: The Solution</w:t>
      </w:r>
    </w:p>
    <w:p w:rsidR="00682DCC" w:rsidRPr="00682DCC" w:rsidRDefault="00682DCC" w:rsidP="00682DCC">
      <w:pPr>
        <w:numPr>
          <w:ilvl w:val="0"/>
          <w:numId w:val="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provides a marketplace platform where creators can quickly build AI-powered curated knowledge bases. These knowledge bases, enhanced with Retrieval Augmented Generation (RAG) sources, offer personalized learning experiences. Patrons can access these resources via an AI-powered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CoPilot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chatbot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, which generates additional educational materials like flashcards, quizzes, and assignments.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2. Product Overview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 xml:space="preserve">How </w:t>
      </w:r>
      <w:proofErr w:type="spellStart"/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KaasAI</w:t>
      </w:r>
      <w:proofErr w:type="spellEnd"/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 xml:space="preserve"> Works</w:t>
      </w:r>
    </w:p>
    <w:p w:rsidR="00682DCC" w:rsidRPr="00682DCC" w:rsidRDefault="00682DCC" w:rsidP="00682DCC">
      <w:pPr>
        <w:numPr>
          <w:ilvl w:val="0"/>
          <w:numId w:val="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Creators use prompt engineering to develop knowledge bases, optionally augmenting them with RAG sources such as documents, websites, and videos. Patrons purchase credits using EDU </w:t>
      </w:r>
      <w:proofErr w:type="gram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tokens</w:t>
      </w:r>
      <w:proofErr w:type="gram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to access these knowledge bases in a tiered system. The AI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CoPilot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chatbot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personalizes the learning experience by generating tailored educational content.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 xml:space="preserve">Key Technologies </w:t>
      </w:r>
      <w:proofErr w:type="gramStart"/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Behind</w:t>
      </w:r>
      <w:proofErr w:type="gramEnd"/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 xml:space="preserve"> </w:t>
      </w:r>
      <w:proofErr w:type="spellStart"/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KaasAI</w:t>
      </w:r>
      <w:proofErr w:type="spellEnd"/>
    </w:p>
    <w:p w:rsidR="00682DCC" w:rsidRPr="00682DCC" w:rsidRDefault="00682DCC" w:rsidP="00682DCC">
      <w:pPr>
        <w:numPr>
          <w:ilvl w:val="0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The platform leverages AI, prompt engineering, RAG technology, and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for secure transactions and tokenized access to content.</w:t>
      </w:r>
    </w:p>
    <w:p w:rsidR="00682DCC" w:rsidRPr="00682DCC" w:rsidRDefault="00682DCC" w:rsidP="00682DCC">
      <w:pPr>
        <w:numPr>
          <w:ilvl w:val="0"/>
          <w:numId w:val="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Google Gemini 1.5 Pro LLM, Forge,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Vercel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AI SDK,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Thirdweb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SDK and Publishing Platform, Solidity,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Educhain</w:t>
      </w:r>
      <w:proofErr w:type="spellEnd"/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3. Market Opportunity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Total Addressable Market (TAM)</w:t>
      </w:r>
    </w:p>
    <w:p w:rsidR="00682DCC" w:rsidRPr="00682DCC" w:rsidRDefault="00682DCC" w:rsidP="00682DCC">
      <w:pPr>
        <w:numPr>
          <w:ilvl w:val="0"/>
          <w:numId w:val="5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The global online education market was valued at approximately $250 billion in 2020 and is projected to reach around $450 billion by 2026, growing at a CAGR of 10.3%. This market </w:t>
      </w: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lastRenderedPageBreak/>
        <w:t xml:space="preserve">includes all forms of online learning, including e-learning platforms, virtual classrooms, and AI-driven educational tools.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targets this expansive market, aiming to tap into the increasing demand for personalized, AI-powered educational content.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Serviceable Addressable Market (SAM)</w:t>
      </w:r>
    </w:p>
    <w:p w:rsidR="00682DCC" w:rsidRPr="00682DCC" w:rsidRDefault="00682DCC" w:rsidP="00682DCC">
      <w:pPr>
        <w:numPr>
          <w:ilvl w:val="0"/>
          <w:numId w:val="6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Within this broader market, the segment focused on AI-enhanced educational tools and personalized learning is estimated to be around $50 billion by 2026. This includes services such as AI-driven content creation, adaptive learning platforms, and knowledge management systems.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KaasAI’s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primary focus on creators and learners looking for curated, AI-generated educational content positions it well to capture a significant share of this market.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4. Revenue Model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Current Revenue Streams</w:t>
      </w:r>
    </w:p>
    <w:p w:rsidR="00682DCC" w:rsidRPr="00682DCC" w:rsidRDefault="00682DCC" w:rsidP="00682DCC">
      <w:pPr>
        <w:numPr>
          <w:ilvl w:val="0"/>
          <w:numId w:val="7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The primary revenue stream comes from the sale of credits through EDU tokens, which patrons use to access various tiers of knowledge bases.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Future Revenue Opportunities</w:t>
      </w:r>
    </w:p>
    <w:p w:rsidR="00682DCC" w:rsidRPr="00682DCC" w:rsidRDefault="00682DCC" w:rsidP="00682DCC">
      <w:pPr>
        <w:numPr>
          <w:ilvl w:val="0"/>
          <w:numId w:val="8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Future revenue opportunities include potential platform fees from creators, premium AI tools, custom LLM model fine-tuning, and partnerships with educational institutions.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5. Competitive Landscape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Analyzing Competitors</w:t>
      </w:r>
    </w:p>
    <w:p w:rsidR="00682DCC" w:rsidRPr="00682DCC" w:rsidRDefault="00682DCC" w:rsidP="00682DCC">
      <w:pPr>
        <w:numPr>
          <w:ilvl w:val="0"/>
          <w:numId w:val="9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Current educational platforms may offer vast content but often lack personalization and the ability to monetize knowledge effectively.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KaasAI’s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AI-driven, decentralized approach provides a unique edge by allowing creators to monetize their expertise directly and offering personalized learning experiences to users.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KaasAI’s</w:t>
      </w:r>
      <w:proofErr w:type="spellEnd"/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 xml:space="preserve"> Unique Selling Proposition</w:t>
      </w:r>
    </w:p>
    <w:p w:rsidR="00682DCC" w:rsidRPr="00682DCC" w:rsidRDefault="00682DCC" w:rsidP="00682DCC">
      <w:pPr>
        <w:numPr>
          <w:ilvl w:val="0"/>
          <w:numId w:val="10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The integration of AI with a marketplace model, tokenized transactions, and personalized educational content generation sets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apart from traditional educational platforms.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6. Future Growth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lastRenderedPageBreak/>
        <w:t xml:space="preserve">Scalability of </w:t>
      </w:r>
      <w:proofErr w:type="spellStart"/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KaasAI</w:t>
      </w:r>
      <w:proofErr w:type="spellEnd"/>
    </w:p>
    <w:p w:rsidR="00682DCC" w:rsidRPr="00682DCC" w:rsidRDefault="00682DCC" w:rsidP="00682DCC">
      <w:pPr>
        <w:numPr>
          <w:ilvl w:val="0"/>
          <w:numId w:val="11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is designed to scale with a growing number of creators and patrons, leveraging the freemium model and expanding into custom LLM fine-tuning and additional AI-driven educational tools.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Long-Term Impact Potential</w:t>
      </w:r>
    </w:p>
    <w:p w:rsidR="00682DCC" w:rsidRPr="00682DCC" w:rsidRDefault="00682DCC" w:rsidP="00682DCC">
      <w:pPr>
        <w:numPr>
          <w:ilvl w:val="0"/>
          <w:numId w:val="12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By democratizing access to personalized, high-quality education,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has the potential to revolutionize the way knowledge is shared and consumed globally, making learning more accessible, engaging, and profitable for all stakeholders.</w:t>
      </w:r>
    </w:p>
    <w:p w:rsidR="00682DCC" w:rsidRPr="00682DCC" w:rsidRDefault="00682DCC" w:rsidP="0068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D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0e0e11" stroked="f"/>
        </w:pic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420" w:lineRule="atLeast"/>
        <w:outlineLvl w:val="2"/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7"/>
          <w:szCs w:val="27"/>
        </w:rPr>
        <w:t>For Convenience, We Have Mapped Out Against a Successful Project Criteria Given in the Hackathon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1. Ecosystem Impact and Integration</w:t>
      </w:r>
    </w:p>
    <w:p w:rsidR="00682DCC" w:rsidRPr="00682DCC" w:rsidRDefault="00682DCC" w:rsidP="00682DCC">
      <w:pPr>
        <w:numPr>
          <w:ilvl w:val="0"/>
          <w:numId w:val="1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TVL Use and Attention:</w:t>
      </w: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 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drives EDU token usage by monetizing knowledge bases, enhancing Total Value Locked (TVL) in the ecosystem.</w:t>
      </w:r>
    </w:p>
    <w:p w:rsidR="00682DCC" w:rsidRPr="00682DCC" w:rsidRDefault="00682DCC" w:rsidP="00682DCC">
      <w:pPr>
        <w:numPr>
          <w:ilvl w:val="0"/>
          <w:numId w:val="1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Bringing New Users:</w:t>
      </w: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 The platform attracts a diverse audience, increasing user base and ecosystem participation.</w:t>
      </w:r>
    </w:p>
    <w:p w:rsidR="00682DCC" w:rsidRPr="00682DCC" w:rsidRDefault="00682DCC" w:rsidP="00682DCC">
      <w:pPr>
        <w:numPr>
          <w:ilvl w:val="0"/>
          <w:numId w:val="13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Bringing Attention:</w:t>
      </w: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 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KaasAI’s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innovative model generates interest in both educational and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blockchain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communities.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2. Community Engagement</w:t>
      </w:r>
    </w:p>
    <w:p w:rsidR="00682DCC" w:rsidRPr="00682DCC" w:rsidRDefault="00682DCC" w:rsidP="00682DCC">
      <w:pPr>
        <w:numPr>
          <w:ilvl w:val="0"/>
          <w:numId w:val="14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creates a dynamic community where creators and learners actively engage, share, and benefit from knowledge, fostering continuous interaction.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3. Innovation and Originality</w:t>
      </w:r>
    </w:p>
    <w:p w:rsidR="00682DCC" w:rsidRPr="00682DCC" w:rsidRDefault="00682DCC" w:rsidP="00682DCC">
      <w:pPr>
        <w:numPr>
          <w:ilvl w:val="0"/>
          <w:numId w:val="15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Leveraging AI and RAG for curated knowledge bases,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introduces a groundbreaking approach to education and content monetization.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 xml:space="preserve">4. </w:t>
      </w:r>
      <w:proofErr w:type="spellStart"/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Blockchain</w:t>
      </w:r>
      <w:proofErr w:type="spellEnd"/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 xml:space="preserve"> Tech Integration</w:t>
      </w:r>
    </w:p>
    <w:p w:rsidR="00682DCC" w:rsidRPr="00682DCC" w:rsidRDefault="00682DCC" w:rsidP="00682DCC">
      <w:pPr>
        <w:numPr>
          <w:ilvl w:val="0"/>
          <w:numId w:val="16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lastRenderedPageBreak/>
        <w:t>KaasAI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integrates EDU tokens seamlessly, enabling secure, decentralized transactions and empowering users within the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EduChain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ecosystem.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5. Impact on Education</w:t>
      </w:r>
    </w:p>
    <w:p w:rsidR="00682DCC" w:rsidRPr="00682DCC" w:rsidRDefault="00682DCC" w:rsidP="00682DCC">
      <w:pPr>
        <w:numPr>
          <w:ilvl w:val="0"/>
          <w:numId w:val="17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democratizes access to personalized, AI-generated educational content, making quality learning resources available to a global audience.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6. Feasibility &amp; Scalability</w:t>
      </w:r>
    </w:p>
    <w:p w:rsidR="00682DCC" w:rsidRPr="00682DCC" w:rsidRDefault="00682DCC" w:rsidP="00682DCC">
      <w:pPr>
        <w:numPr>
          <w:ilvl w:val="0"/>
          <w:numId w:val="18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With a freemium model and enterprise-grade SaaS foundation,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is built to scale, accommodating an expanding user base efficiently.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7. Team Strength and Capability</w:t>
      </w:r>
    </w:p>
    <w:p w:rsidR="00682DCC" w:rsidRPr="00682DCC" w:rsidRDefault="00682DCC" w:rsidP="00682DCC">
      <w:pPr>
        <w:numPr>
          <w:ilvl w:val="0"/>
          <w:numId w:val="19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The experienced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Metagineers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team, with a decade of SaaS development and educational tech expertise, is well-equipped to deliver and scale </w:t>
      </w: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.</w:t>
      </w:r>
    </w:p>
    <w:p w:rsidR="00682DCC" w:rsidRPr="00682DCC" w:rsidRDefault="00682DCC" w:rsidP="00682DC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rPr>
          <w:rFonts w:ascii="system-ui" w:eastAsia="Times New Roman" w:hAnsi="system-ui" w:cs="Times New Roman"/>
          <w:color w:val="0E0E11"/>
          <w:sz w:val="24"/>
          <w:szCs w:val="24"/>
        </w:rPr>
      </w:pPr>
      <w:r w:rsidRPr="00682DCC">
        <w:rPr>
          <w:rFonts w:ascii="system-ui" w:eastAsia="Times New Roman" w:hAnsi="system-ui" w:cs="Times New Roman"/>
          <w:b/>
          <w:bCs/>
          <w:color w:val="0E0E11"/>
          <w:sz w:val="24"/>
          <w:szCs w:val="24"/>
          <w:bdr w:val="single" w:sz="2" w:space="0" w:color="auto" w:frame="1"/>
        </w:rPr>
        <w:t>8. Traction and Early Adoption</w:t>
      </w:r>
    </w:p>
    <w:p w:rsidR="00682DCC" w:rsidRPr="00682DCC" w:rsidRDefault="00682DCC" w:rsidP="00682DCC">
      <w:pPr>
        <w:numPr>
          <w:ilvl w:val="0"/>
          <w:numId w:val="20"/>
        </w:numPr>
        <w:pBdr>
          <w:top w:val="single" w:sz="2" w:space="0" w:color="auto"/>
          <w:left w:val="single" w:sz="2" w:space="6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system-ui" w:eastAsia="Times New Roman" w:hAnsi="system-ui" w:cs="Times New Roman"/>
          <w:color w:val="0E0E11"/>
          <w:sz w:val="24"/>
          <w:szCs w:val="24"/>
        </w:rPr>
      </w:pPr>
      <w:proofErr w:type="spellStart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>KaasAI</w:t>
      </w:r>
      <w:proofErr w:type="spellEnd"/>
      <w:r w:rsidRPr="00682DCC">
        <w:rPr>
          <w:rFonts w:ascii="system-ui" w:eastAsia="Times New Roman" w:hAnsi="system-ui" w:cs="Times New Roman"/>
          <w:color w:val="0E0E11"/>
          <w:sz w:val="24"/>
          <w:szCs w:val="24"/>
        </w:rPr>
        <w:t xml:space="preserve"> is poised for rapid adoption, supported by the team’s proven track record, existing partnerships, and recognition through government grants.</w:t>
      </w:r>
    </w:p>
    <w:p w:rsidR="00CE502C" w:rsidRDefault="00682DCC"/>
    <w:sectPr w:rsid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47E9"/>
    <w:multiLevelType w:val="multilevel"/>
    <w:tmpl w:val="0CEC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F5529"/>
    <w:multiLevelType w:val="multilevel"/>
    <w:tmpl w:val="C194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A2925"/>
    <w:multiLevelType w:val="multilevel"/>
    <w:tmpl w:val="7360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813DC"/>
    <w:multiLevelType w:val="multilevel"/>
    <w:tmpl w:val="1BF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4204C"/>
    <w:multiLevelType w:val="multilevel"/>
    <w:tmpl w:val="6210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200D75"/>
    <w:multiLevelType w:val="multilevel"/>
    <w:tmpl w:val="D9AC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386116"/>
    <w:multiLevelType w:val="multilevel"/>
    <w:tmpl w:val="8356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B77AD"/>
    <w:multiLevelType w:val="multilevel"/>
    <w:tmpl w:val="EEA4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C77F21"/>
    <w:multiLevelType w:val="multilevel"/>
    <w:tmpl w:val="DF86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FF689B"/>
    <w:multiLevelType w:val="multilevel"/>
    <w:tmpl w:val="AEB6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D96C50"/>
    <w:multiLevelType w:val="multilevel"/>
    <w:tmpl w:val="100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F04187"/>
    <w:multiLevelType w:val="multilevel"/>
    <w:tmpl w:val="1BBE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FF57A8"/>
    <w:multiLevelType w:val="multilevel"/>
    <w:tmpl w:val="2E64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6C365A"/>
    <w:multiLevelType w:val="multilevel"/>
    <w:tmpl w:val="C74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200F9B"/>
    <w:multiLevelType w:val="multilevel"/>
    <w:tmpl w:val="E3E6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B47ADD"/>
    <w:multiLevelType w:val="multilevel"/>
    <w:tmpl w:val="6F7A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B10A49"/>
    <w:multiLevelType w:val="multilevel"/>
    <w:tmpl w:val="96DA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9A2A10"/>
    <w:multiLevelType w:val="multilevel"/>
    <w:tmpl w:val="B4D2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384AEB"/>
    <w:multiLevelType w:val="multilevel"/>
    <w:tmpl w:val="C634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0327E5"/>
    <w:multiLevelType w:val="multilevel"/>
    <w:tmpl w:val="6588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15"/>
  </w:num>
  <w:num w:numId="5">
    <w:abstractNumId w:val="14"/>
  </w:num>
  <w:num w:numId="6">
    <w:abstractNumId w:val="0"/>
  </w:num>
  <w:num w:numId="7">
    <w:abstractNumId w:val="4"/>
  </w:num>
  <w:num w:numId="8">
    <w:abstractNumId w:val="7"/>
  </w:num>
  <w:num w:numId="9">
    <w:abstractNumId w:val="16"/>
  </w:num>
  <w:num w:numId="10">
    <w:abstractNumId w:val="8"/>
  </w:num>
  <w:num w:numId="11">
    <w:abstractNumId w:val="3"/>
  </w:num>
  <w:num w:numId="12">
    <w:abstractNumId w:val="6"/>
  </w:num>
  <w:num w:numId="13">
    <w:abstractNumId w:val="2"/>
  </w:num>
  <w:num w:numId="14">
    <w:abstractNumId w:val="11"/>
  </w:num>
  <w:num w:numId="15">
    <w:abstractNumId w:val="1"/>
  </w:num>
  <w:num w:numId="16">
    <w:abstractNumId w:val="17"/>
  </w:num>
  <w:num w:numId="17">
    <w:abstractNumId w:val="10"/>
  </w:num>
  <w:num w:numId="18">
    <w:abstractNumId w:val="18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CC"/>
    <w:rsid w:val="00084A1F"/>
    <w:rsid w:val="00682DCC"/>
    <w:rsid w:val="00C827B4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DE434-EB11-4D11-967E-D28EE766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D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817</Words>
  <Characters>4657</Characters>
  <Application>Microsoft Office Word</Application>
  <DocSecurity>0</DocSecurity>
  <Lines>38</Lines>
  <Paragraphs>10</Paragraphs>
  <ScaleCrop>false</ScaleCrop>
  <Company>P R C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2024-09-09T03:18:00Z</dcterms:created>
  <dcterms:modified xsi:type="dcterms:W3CDTF">2024-09-09T03:19:00Z</dcterms:modified>
</cp:coreProperties>
</file>