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25" w:rsidRPr="00F54625" w:rsidRDefault="00F54625" w:rsidP="00F54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480" w:lineRule="atLeast"/>
        <w:outlineLvl w:val="0"/>
        <w:rPr>
          <w:rFonts w:ascii="system-ui" w:eastAsia="Times New Roman" w:hAnsi="system-ui" w:cs="Times New Roman"/>
          <w:b/>
          <w:bCs/>
          <w:color w:val="0E0E11"/>
          <w:kern w:val="36"/>
          <w:sz w:val="27"/>
          <w:szCs w:val="27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kern w:val="36"/>
          <w:sz w:val="27"/>
          <w:szCs w:val="27"/>
        </w:rPr>
        <w:t>Overview</w:t>
      </w:r>
    </w:p>
    <w:p w:rsidR="00F54625" w:rsidRPr="00F54625" w:rsidRDefault="00F54625" w:rsidP="00F54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RuneBridge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a groundbreaking,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permissionless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solution designed to connect the Bitcoin and Core ecosystems. This bridge facilitates the seamless transfer of Bitcoin Runes to the Core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, unlocking vast opportunities for decentralized finance (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) and other innovative applications.</w:t>
      </w:r>
    </w:p>
    <w:p w:rsidR="00F54625" w:rsidRPr="00F54625" w:rsidRDefault="00F54625" w:rsidP="00F54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0"/>
        <w:rPr>
          <w:rFonts w:ascii="system-ui" w:eastAsia="Times New Roman" w:hAnsi="system-ui" w:cs="Times New Roman"/>
          <w:b/>
          <w:bCs/>
          <w:color w:val="0E0E11"/>
          <w:kern w:val="36"/>
          <w:sz w:val="27"/>
          <w:szCs w:val="27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kern w:val="36"/>
          <w:sz w:val="27"/>
          <w:szCs w:val="27"/>
        </w:rPr>
        <w:t>Key Features</w:t>
      </w:r>
    </w:p>
    <w:p w:rsidR="00F54625" w:rsidRPr="00F54625" w:rsidRDefault="00F54625" w:rsidP="00F54625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Permissionless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Bridge: Operates without central control, allowing any user to transfer Bitcoin Runes to the Core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effortlessly.</w:t>
      </w:r>
    </w:p>
    <w:p w:rsidR="00F54625" w:rsidRPr="00F54625" w:rsidRDefault="00F54625" w:rsidP="00F54625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Enhanced Security: Utilizes the robust security features of both Bitcoin and Core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blockchains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, ensuring safe and reliable transactions.</w:t>
      </w:r>
    </w:p>
    <w:p w:rsidR="00F54625" w:rsidRPr="00F54625" w:rsidRDefault="00F54625" w:rsidP="00F54625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Integration: Enables the creation and deployment of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products for Bitcoin Runes on the Core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, opening new avenues for financial innovation.</w:t>
      </w:r>
    </w:p>
    <w:p w:rsidR="00F54625" w:rsidRPr="00F54625" w:rsidRDefault="00F54625" w:rsidP="00F54625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EVM Compatibility: Leverages Core’s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Ethereum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Virtual Machine (EVM) compatibility, allowing developers to create and deploy smart contracts and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dApps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with ease.</w:t>
      </w:r>
    </w:p>
    <w:p w:rsidR="00F54625" w:rsidRPr="00F54625" w:rsidRDefault="00F54625" w:rsidP="00F54625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Scalability and Efficiency: Combines Bitcoin’s Proof-of-Work (</w:t>
      </w:r>
      <w:proofErr w:type="spellStart"/>
      <w:proofErr w:type="gram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PoW</w:t>
      </w:r>
      <w:proofErr w:type="spellEnd"/>
      <w:proofErr w:type="gram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) with Core’s Delegated Proof-of-Stake (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DPoS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) through the Satoshi Plus consensus mechanism, providing a scalable and efficient platform for transactions.</w:t>
      </w:r>
    </w:p>
    <w:p w:rsidR="00F54625" w:rsidRPr="00F54625" w:rsidRDefault="00F54625" w:rsidP="00F54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0"/>
        <w:rPr>
          <w:rFonts w:ascii="system-ui" w:eastAsia="Times New Roman" w:hAnsi="system-ui" w:cs="Times New Roman"/>
          <w:b/>
          <w:bCs/>
          <w:color w:val="0E0E11"/>
          <w:kern w:val="36"/>
          <w:sz w:val="27"/>
          <w:szCs w:val="27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kern w:val="36"/>
          <w:sz w:val="27"/>
          <w:szCs w:val="27"/>
        </w:rPr>
        <w:t>Technical Specifications</w:t>
      </w:r>
    </w:p>
    <w:p w:rsidR="00F54625" w:rsidRPr="00F54625" w:rsidRDefault="00F54625" w:rsidP="00F54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360" w:lineRule="atLeast"/>
        <w:outlineLvl w:val="3"/>
        <w:rPr>
          <w:rFonts w:ascii="system-ui" w:eastAsia="Times New Roman" w:hAnsi="system-ui" w:cs="Times New Roman"/>
          <w:b/>
          <w:bCs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</w:rPr>
        <w:t>Smart Contract</w:t>
      </w:r>
    </w:p>
    <w:p w:rsidR="00F54625" w:rsidRPr="00F54625" w:rsidRDefault="00F54625" w:rsidP="00F54625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Purpose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 Records transaction details from users.</w:t>
      </w:r>
    </w:p>
    <w:p w:rsidR="00F54625" w:rsidRPr="00F54625" w:rsidRDefault="00F54625" w:rsidP="00F54625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Deployment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: Deployed on the Core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F54625" w:rsidRPr="00F54625" w:rsidRDefault="00F54625" w:rsidP="00F54625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Functions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</w:t>
      </w:r>
    </w:p>
    <w:p w:rsidR="00F54625" w:rsidRPr="00F54625" w:rsidRDefault="00F54625" w:rsidP="00F54625">
      <w:pPr>
        <w:numPr>
          <w:ilvl w:val="1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Record transaction details from users.</w:t>
      </w:r>
    </w:p>
    <w:p w:rsidR="00F54625" w:rsidRPr="00F54625" w:rsidRDefault="00F54625" w:rsidP="00F54625">
      <w:pPr>
        <w:numPr>
          <w:ilvl w:val="1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Interface with the off-chain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relayer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F54625" w:rsidRPr="00F54625" w:rsidRDefault="00F54625" w:rsidP="00F54625">
      <w:pPr>
        <w:numPr>
          <w:ilvl w:val="1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Manage ERC20 token deployment and transfers.</w:t>
      </w:r>
    </w:p>
    <w:p w:rsidR="00F54625" w:rsidRPr="00F54625" w:rsidRDefault="00F54625" w:rsidP="00F54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360" w:lineRule="atLeast"/>
        <w:outlineLvl w:val="3"/>
        <w:rPr>
          <w:rFonts w:ascii="system-ui" w:eastAsia="Times New Roman" w:hAnsi="system-ui" w:cs="Times New Roman"/>
          <w:b/>
          <w:bCs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</w:rPr>
        <w:lastRenderedPageBreak/>
        <w:t xml:space="preserve">Off-Chain </w:t>
      </w:r>
      <w:proofErr w:type="spellStart"/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</w:rPr>
        <w:t>Relayer</w:t>
      </w:r>
      <w:proofErr w:type="spellEnd"/>
    </w:p>
    <w:p w:rsidR="00F54625" w:rsidRPr="00F54625" w:rsidRDefault="00F54625" w:rsidP="00F54625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Purpose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 Tracks and validates transactions.</w:t>
      </w:r>
    </w:p>
    <w:p w:rsidR="00F54625" w:rsidRPr="00F54625" w:rsidRDefault="00F54625" w:rsidP="00F54625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Operations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</w:t>
      </w:r>
    </w:p>
    <w:p w:rsidR="00F54625" w:rsidRPr="00F54625" w:rsidRDefault="00F54625" w:rsidP="00F54625">
      <w:pPr>
        <w:numPr>
          <w:ilvl w:val="1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Monitors the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RuneBridge's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hot wallet for incoming transactions.</w:t>
      </w:r>
    </w:p>
    <w:p w:rsidR="00F54625" w:rsidRPr="00F54625" w:rsidRDefault="00F54625" w:rsidP="00F54625">
      <w:pPr>
        <w:numPr>
          <w:ilvl w:val="1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Validates transaction details and confirms them.</w:t>
      </w:r>
    </w:p>
    <w:p w:rsidR="00F54625" w:rsidRPr="00F54625" w:rsidRDefault="00F54625" w:rsidP="00F54625">
      <w:pPr>
        <w:numPr>
          <w:ilvl w:val="1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Triggers the deployment of new ERC20 tokens on the Core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F54625" w:rsidRPr="00F54625" w:rsidRDefault="00F54625" w:rsidP="00F54625">
      <w:pPr>
        <w:numPr>
          <w:ilvl w:val="1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Facilitates the transfer of tokens to the user's destination address.</w:t>
      </w:r>
    </w:p>
    <w:p w:rsidR="00F54625" w:rsidRPr="00F54625" w:rsidRDefault="00F54625" w:rsidP="00F54625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Technology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: Built using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NodeJS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F54625" w:rsidRPr="00F54625" w:rsidRDefault="00F54625" w:rsidP="00F54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360" w:lineRule="atLeast"/>
        <w:outlineLvl w:val="3"/>
        <w:rPr>
          <w:rFonts w:ascii="system-ui" w:eastAsia="Times New Roman" w:hAnsi="system-ui" w:cs="Times New Roman"/>
          <w:b/>
          <w:bCs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</w:rPr>
        <w:t>Factory ERC20 Contract</w:t>
      </w:r>
    </w:p>
    <w:p w:rsidR="00F54625" w:rsidRPr="00F54625" w:rsidRDefault="00F54625" w:rsidP="00F54625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Purpose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 Facilitates the deployment of ERC20 tokens.</w:t>
      </w:r>
    </w:p>
    <w:p w:rsidR="00F54625" w:rsidRPr="00F54625" w:rsidRDefault="00F54625" w:rsidP="00F54625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Operations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</w:t>
      </w:r>
    </w:p>
    <w:p w:rsidR="00F54625" w:rsidRPr="00F54625" w:rsidRDefault="00F54625" w:rsidP="00F54625">
      <w:pPr>
        <w:numPr>
          <w:ilvl w:val="1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Deploys new ERC20 tokens when a new rune is bridged.</w:t>
      </w:r>
    </w:p>
    <w:p w:rsidR="00F54625" w:rsidRPr="00F54625" w:rsidRDefault="00F54625" w:rsidP="00F54625">
      <w:pPr>
        <w:numPr>
          <w:ilvl w:val="1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Ensures each token is uniquely associated with the corresponding Bitcoin Rune.</w:t>
      </w:r>
    </w:p>
    <w:p w:rsidR="00F54625" w:rsidRPr="00F54625" w:rsidRDefault="00F54625" w:rsidP="00F54625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Features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 Supports scalable and efficient token creation.</w:t>
      </w:r>
    </w:p>
    <w:p w:rsidR="00F54625" w:rsidRPr="00F54625" w:rsidRDefault="00F54625" w:rsidP="00F546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Frontend</w:t>
      </w:r>
    </w:p>
    <w:p w:rsidR="00F54625" w:rsidRPr="00F54625" w:rsidRDefault="00F54625" w:rsidP="00F54625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Technology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: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Vite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with React and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TypeScript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F54625" w:rsidRPr="00F54625" w:rsidRDefault="00F54625" w:rsidP="00F54625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Purpose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 Provides a user interface for interacting with the bridge.</w:t>
      </w:r>
    </w:p>
    <w:p w:rsidR="00F54625" w:rsidRPr="00F54625" w:rsidRDefault="00F54625" w:rsidP="00F54625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Functions</w:t>
      </w: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:</w:t>
      </w:r>
    </w:p>
    <w:p w:rsidR="00F54625" w:rsidRPr="00F54625" w:rsidRDefault="00F54625" w:rsidP="00F54625">
      <w:pPr>
        <w:numPr>
          <w:ilvl w:val="1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Transaction initiation from EVM-compatible wallet (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Metamask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,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etc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) and </w:t>
      </w:r>
      <w:proofErr w:type="spellStart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Unisat</w:t>
      </w:r>
      <w:proofErr w:type="spellEnd"/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F54625" w:rsidRPr="00F54625" w:rsidRDefault="00F54625" w:rsidP="00F54625">
      <w:pPr>
        <w:numPr>
          <w:ilvl w:val="1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F54625">
        <w:rPr>
          <w:rFonts w:ascii="system-ui" w:eastAsia="Times New Roman" w:hAnsi="system-ui" w:cs="Times New Roman"/>
          <w:color w:val="0E0E11"/>
          <w:sz w:val="24"/>
          <w:szCs w:val="24"/>
        </w:rPr>
        <w:t>Display of token balances and transfer statuses</w:t>
      </w:r>
    </w:p>
    <w:p w:rsidR="00CE502C" w:rsidRDefault="00F54625">
      <w:bookmarkStart w:id="0" w:name="_GoBack"/>
      <w:bookmarkEnd w:id="0"/>
    </w:p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D97"/>
    <w:multiLevelType w:val="multilevel"/>
    <w:tmpl w:val="C75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90F15"/>
    <w:multiLevelType w:val="multilevel"/>
    <w:tmpl w:val="B49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47806"/>
    <w:multiLevelType w:val="multilevel"/>
    <w:tmpl w:val="B23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236A3"/>
    <w:multiLevelType w:val="multilevel"/>
    <w:tmpl w:val="AD3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D25F63"/>
    <w:multiLevelType w:val="multilevel"/>
    <w:tmpl w:val="4F8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25"/>
    <w:rsid w:val="00084A1F"/>
    <w:rsid w:val="00C827B4"/>
    <w:rsid w:val="00F54625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3D97-FBC9-48F1-BAE1-03833D98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4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4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46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46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>P R C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2024-09-09T03:30:00Z</dcterms:created>
  <dcterms:modified xsi:type="dcterms:W3CDTF">2024-09-09T03:30:00Z</dcterms:modified>
</cp:coreProperties>
</file>