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75D" w:rsidRPr="00335419" w:rsidRDefault="00335419" w:rsidP="00335419">
      <w:pPr>
        <w:spacing w:after="0" w:line="240" w:lineRule="auto"/>
        <w:rPr>
          <w:rFonts w:ascii="Open Sans Light" w:hAnsi="Open Sans Light" w:cs="Open Sans Light"/>
          <w:sz w:val="36"/>
          <w:szCs w:val="72"/>
        </w:rPr>
      </w:pPr>
      <w:bookmarkStart w:id="0" w:name="_GoBack"/>
      <w:bookmarkEnd w:id="0"/>
      <w:r w:rsidRPr="00335419">
        <w:rPr>
          <w:rFonts w:ascii="Open Sans Light" w:hAnsi="Open Sans Light" w:cs="Open Sans Light"/>
          <w:sz w:val="36"/>
          <w:szCs w:val="72"/>
        </w:rPr>
        <w:t>ITIL Trenažér</w:t>
      </w:r>
    </w:p>
    <w:p w:rsidR="00335419" w:rsidRDefault="00335419" w:rsidP="00335419">
      <w:pPr>
        <w:spacing w:after="0" w:line="240" w:lineRule="auto"/>
        <w:rPr>
          <w:rFonts w:ascii="Open Sans Light" w:hAnsi="Open Sans Light" w:cs="Open Sans Light"/>
          <w:sz w:val="72"/>
          <w:szCs w:val="72"/>
        </w:rPr>
      </w:pPr>
      <w:r w:rsidRPr="00335419">
        <w:rPr>
          <w:rFonts w:ascii="Open Sans Light" w:hAnsi="Open Sans Light" w:cs="Open Sans Light"/>
          <w:sz w:val="72"/>
          <w:szCs w:val="72"/>
        </w:rPr>
        <w:t>Uživatelská příručka</w:t>
      </w:r>
    </w:p>
    <w:p w:rsidR="000728F8" w:rsidRPr="000728F8" w:rsidRDefault="000728F8" w:rsidP="000728F8">
      <w:pPr>
        <w:rPr>
          <w:rFonts w:ascii="Open Sans Light" w:hAnsi="Open Sans Light" w:cs="Open Sans Light"/>
          <w:sz w:val="28"/>
          <w:szCs w:val="32"/>
        </w:rPr>
      </w:pPr>
      <w:r w:rsidRPr="000728F8">
        <w:rPr>
          <w:rFonts w:ascii="Open Sans Light" w:hAnsi="Open Sans Light" w:cs="Open Sans Light"/>
          <w:sz w:val="28"/>
          <w:szCs w:val="32"/>
        </w:rPr>
        <w:t>Tato uživatelská příručka popisuje aplikaci ITIL trenažér z pohledu studentů a je určena k základnímu seznámení se systémem.</w:t>
      </w:r>
    </w:p>
    <w:p w:rsidR="000728F8" w:rsidRDefault="000728F8" w:rsidP="000728F8">
      <w:pPr>
        <w:pStyle w:val="Nadpis1"/>
      </w:pPr>
      <w:r>
        <w:t>Co je ITIL trenažér</w:t>
      </w:r>
    </w:p>
    <w:p w:rsidR="000728F8" w:rsidRDefault="000728F8" w:rsidP="000728F8">
      <w:r>
        <w:t>ITIL trenažér je j</w:t>
      </w:r>
      <w:r>
        <w:t>ednoduchá aplikace na podporu výuky návrhu a provozu služeb dle metodiky ITIL.</w:t>
      </w:r>
      <w:r>
        <w:t xml:space="preserve"> </w:t>
      </w:r>
      <w:r>
        <w:t>Aplikace vytvořena v rámci diplomové práce na FIT VUT</w:t>
      </w:r>
      <w:r>
        <w:t xml:space="preserve"> v Brně v roce </w:t>
      </w:r>
      <w:r w:rsidRPr="000728F8">
        <w:t>2013</w:t>
      </w:r>
      <w:r>
        <w:t>.</w:t>
      </w:r>
    </w:p>
    <w:p w:rsidR="000728F8" w:rsidRPr="000728F8" w:rsidRDefault="000728F8" w:rsidP="000728F8">
      <w:r>
        <w:t>Autorem je Petr Dvořák, k zastižení přes www.petr-dvorak.cz.</w:t>
      </w:r>
    </w:p>
    <w:p w:rsidR="00335419" w:rsidRDefault="00335419" w:rsidP="00335419">
      <w:pPr>
        <w:pStyle w:val="Nadpis1"/>
      </w:pPr>
      <w:r>
        <w:t>Vstup do systému</w:t>
      </w:r>
    </w:p>
    <w:p w:rsidR="00335419" w:rsidRDefault="00335419" w:rsidP="00335419">
      <w:r>
        <w:t>Do systému mohou vstoupit registrovaní i neregistrovaní uživatelé. Registrovaní uživatelé se musejí přihlásit svým uživatelským jménem a heslem a získají přístup k historii svých výcviků.</w:t>
      </w:r>
    </w:p>
    <w:p w:rsidR="00335419" w:rsidRDefault="00B54859" w:rsidP="00335419">
      <w:r>
        <w:t>Pokud se tedy chcete vracet ke svým výcvikům, požádejte svého administrátora o zřízení přístupového účtu.</w:t>
      </w:r>
    </w:p>
    <w:p w:rsidR="00335419" w:rsidRDefault="00335419" w:rsidP="00335419">
      <w:r w:rsidRPr="00335419">
        <w:drawing>
          <wp:inline distT="0" distB="0" distL="0" distR="0" wp14:anchorId="19565344" wp14:editId="13666E04">
            <wp:extent cx="5760720" cy="2108058"/>
            <wp:effectExtent l="133350" t="114300" r="144780" b="15938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4859" w:rsidRDefault="00B54859" w:rsidP="00B54859">
      <w:pPr>
        <w:pStyle w:val="Nadpis1"/>
      </w:pPr>
      <w:r>
        <w:t>Struktura aplikace</w:t>
      </w:r>
    </w:p>
    <w:p w:rsidR="00B54859" w:rsidRDefault="00B54859" w:rsidP="00B54859">
      <w:r>
        <w:t>Po přihlášení jsou zobrazeny dostupné výcviky. Ke každému výcviku lze zobrazit podrobnější popis a seznam scénář</w:t>
      </w:r>
      <w:r w:rsidR="00703E9A">
        <w:t>ů, ze kterých se výcvik skládá.</w:t>
      </w:r>
    </w:p>
    <w:p w:rsidR="00703E9A" w:rsidRDefault="00703E9A" w:rsidP="00B54859">
      <w:r>
        <w:lastRenderedPageBreak/>
        <w:t>Pro absolvování výcviku je třeba absolvovat všechny jeho scénáře. Za absolvování každého scénáře je přidělen určitý počet bodů a financí (peněz). Cílem studentů je získat v součtu co nejvíce bodů i peněz.</w:t>
      </w:r>
    </w:p>
    <w:p w:rsidR="00703E9A" w:rsidRDefault="00703E9A" w:rsidP="00703E9A">
      <w:pPr>
        <w:pStyle w:val="Nadpis1"/>
      </w:pPr>
      <w:r>
        <w:t>Výcvik</w:t>
      </w:r>
    </w:p>
    <w:p w:rsidR="00703E9A" w:rsidRDefault="00BC640A" w:rsidP="00703E9A">
      <w:r w:rsidRPr="00BC640A">
        <w:drawing>
          <wp:anchor distT="0" distB="0" distL="114300" distR="114300" simplePos="0" relativeHeight="251658240" behindDoc="0" locked="0" layoutInCell="1" allowOverlap="1" wp14:anchorId="0C974C7D" wp14:editId="235DFCF4">
            <wp:simplePos x="0" y="0"/>
            <wp:positionH relativeFrom="column">
              <wp:posOffset>2084248</wp:posOffset>
            </wp:positionH>
            <wp:positionV relativeFrom="paragraph">
              <wp:posOffset>463028</wp:posOffset>
            </wp:positionV>
            <wp:extent cx="1061720" cy="276860"/>
            <wp:effectExtent l="0" t="0" r="5080" b="8890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72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E9A">
        <w:t xml:space="preserve">Výcvik představuje ucelené téma, které </w:t>
      </w:r>
      <w:r>
        <w:t>lze absolvovat. Z jeho popisu a z popisu jednotlivých scénářů by mělo být patrné, co lze během výcviku očekávat.</w:t>
      </w:r>
    </w:p>
    <w:p w:rsidR="00BC640A" w:rsidRDefault="00BC640A" w:rsidP="00703E9A">
      <w:r>
        <w:t xml:space="preserve">Spustit výcvik lze klikem na tlačítko </w:t>
      </w:r>
    </w:p>
    <w:p w:rsidR="00703E9A" w:rsidRPr="00703E9A" w:rsidRDefault="00B93C67" w:rsidP="00703E9A">
      <w:r w:rsidRPr="00BC640A">
        <w:drawing>
          <wp:anchor distT="0" distB="0" distL="114300" distR="114300" simplePos="0" relativeHeight="251659264" behindDoc="0" locked="0" layoutInCell="1" allowOverlap="1" wp14:anchorId="124B3C54" wp14:editId="6B5612FE">
            <wp:simplePos x="0" y="0"/>
            <wp:positionH relativeFrom="column">
              <wp:posOffset>4255135</wp:posOffset>
            </wp:positionH>
            <wp:positionV relativeFrom="paragraph">
              <wp:posOffset>3501060</wp:posOffset>
            </wp:positionV>
            <wp:extent cx="643255" cy="240665"/>
            <wp:effectExtent l="0" t="0" r="4445" b="6985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C67">
        <w:drawing>
          <wp:inline distT="0" distB="0" distL="0" distR="0" wp14:anchorId="293D7D78" wp14:editId="37033D16">
            <wp:extent cx="5760720" cy="3098393"/>
            <wp:effectExtent l="133350" t="114300" r="144780" b="1593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3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640A" w:rsidRDefault="00BC640A" w:rsidP="00BC640A">
      <w:r>
        <w:t>Po spuštění výcviku lze spustit jeho jednotlivé scénáře klikem na tlačítko</w:t>
      </w:r>
    </w:p>
    <w:p w:rsidR="00BC640A" w:rsidRDefault="00BC640A" w:rsidP="00BC640A">
      <w:pPr>
        <w:pStyle w:val="obrzek"/>
      </w:pPr>
      <w:r w:rsidRPr="00BC640A">
        <w:lastRenderedPageBreak/>
        <w:drawing>
          <wp:inline distT="0" distB="0" distL="0" distR="0" wp14:anchorId="3F05B45B" wp14:editId="58E4E4CB">
            <wp:extent cx="5760720" cy="2959366"/>
            <wp:effectExtent l="133350" t="114300" r="144780" b="16510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3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728F8" w:rsidRDefault="00B54859" w:rsidP="00B54859">
      <w:pPr>
        <w:pStyle w:val="Nadpis1"/>
      </w:pPr>
      <w:r>
        <w:t>Typy scénářů</w:t>
      </w:r>
    </w:p>
    <w:p w:rsidR="00B54859" w:rsidRDefault="00B54859" w:rsidP="00B54859">
      <w:r>
        <w:t>V systému jsou k dispozici dva typy scénářů:</w:t>
      </w:r>
    </w:p>
    <w:p w:rsidR="00B54859" w:rsidRDefault="00B54859" w:rsidP="00B54859">
      <w:pPr>
        <w:pStyle w:val="Odstavecseseznamem"/>
        <w:numPr>
          <w:ilvl w:val="0"/>
          <w:numId w:val="1"/>
        </w:numPr>
      </w:pPr>
      <w:r>
        <w:t>Návrh služeb</w:t>
      </w:r>
    </w:p>
    <w:p w:rsidR="00B54859" w:rsidRDefault="00B54859" w:rsidP="00B54859">
      <w:pPr>
        <w:pStyle w:val="Odstavecseseznamem"/>
        <w:numPr>
          <w:ilvl w:val="0"/>
          <w:numId w:val="1"/>
        </w:numPr>
      </w:pPr>
      <w:r>
        <w:t>Provoz služeb</w:t>
      </w:r>
    </w:p>
    <w:p w:rsidR="00B54859" w:rsidRDefault="00B54859" w:rsidP="00B93C67">
      <w:pPr>
        <w:pStyle w:val="Nadpis1"/>
      </w:pPr>
      <w:r>
        <w:t xml:space="preserve">Návrh služeb </w:t>
      </w:r>
    </w:p>
    <w:p w:rsidR="00B93C67" w:rsidRDefault="00B93C67" w:rsidP="00B93C67">
      <w:r>
        <w:t>V Návrhu služeb je cílem propojit jednotlivé konfigurační</w:t>
      </w:r>
      <w:r w:rsidR="00F03C44">
        <w:t xml:space="preserve"> položky svými vstupy a výstupy:</w:t>
      </w:r>
    </w:p>
    <w:p w:rsidR="00B93C67" w:rsidRDefault="00B93C67" w:rsidP="00B93C67">
      <w:pPr>
        <w:jc w:val="center"/>
      </w:pPr>
      <w:r>
        <w:rPr>
          <w:noProof/>
          <w:lang w:eastAsia="cs-CZ"/>
        </w:rPr>
        <w:drawing>
          <wp:inline distT="0" distB="0" distL="0" distR="0">
            <wp:extent cx="4529470" cy="2157984"/>
            <wp:effectExtent l="133350" t="114300" r="137795" b="166370"/>
            <wp:docPr id="9" name="Obrázek 9" descr="Ukázka vaz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kázka vaze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90" cy="2161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03C44" w:rsidRDefault="00F03C44" w:rsidP="00F03C44">
      <w:r>
        <w:t>Které vstupy každá konfigurační položka vyžaduje a které výstupy naopak generuje, lze zjistit v jejím detailu a v panelu po pravé straně:</w:t>
      </w:r>
    </w:p>
    <w:p w:rsidR="00B93C67" w:rsidRDefault="00B93C67" w:rsidP="00B93C67">
      <w:pPr>
        <w:jc w:val="center"/>
      </w:pPr>
      <w:r w:rsidRPr="00B93C67">
        <w:lastRenderedPageBreak/>
        <w:drawing>
          <wp:inline distT="0" distB="0" distL="0" distR="0" wp14:anchorId="40A46AE5" wp14:editId="14A6DD08">
            <wp:extent cx="4096512" cy="2543008"/>
            <wp:effectExtent l="133350" t="114300" r="151765" b="16256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3728" cy="25474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03C44" w:rsidRDefault="00F03C44" w:rsidP="00F03C44">
      <w:r>
        <w:t>Vazbu mezi konfigurační</w:t>
      </w:r>
      <w:r w:rsidR="00E049CB">
        <w:t>mi</w:t>
      </w:r>
      <w:r>
        <w:t xml:space="preserve"> položkami lze vytvořit klikem a tahem levým tlačítkem myši (</w:t>
      </w:r>
      <w:proofErr w:type="spellStart"/>
      <w:r>
        <w:t>drag</w:t>
      </w:r>
      <w:proofErr w:type="spellEnd"/>
      <w:r>
        <w:t xml:space="preserve"> &amp; drop) nad aktivní oblastí </w:t>
      </w:r>
      <w:r w:rsidR="00E049CB">
        <w:t>zdrojové konfigurační položky</w:t>
      </w:r>
      <w:r w:rsidR="00B9338C">
        <w:t xml:space="preserve"> směrem k cílové položce</w:t>
      </w:r>
      <w:r w:rsidR="00E049CB">
        <w:t>:</w:t>
      </w:r>
    </w:p>
    <w:p w:rsidR="00E049CB" w:rsidRDefault="00B9338C" w:rsidP="00E049CB">
      <w:pPr>
        <w:jc w:val="center"/>
      </w:pPr>
      <w:r w:rsidRPr="00B9338C">
        <w:drawing>
          <wp:inline distT="0" distB="0" distL="0" distR="0" wp14:anchorId="0103D3E5" wp14:editId="0AE4A47A">
            <wp:extent cx="1514246" cy="1283450"/>
            <wp:effectExtent l="133350" t="114300" r="143510" b="16446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0852" cy="1289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338C" w:rsidRDefault="00B9338C" w:rsidP="00B9338C">
      <w:r>
        <w:t>Odstranit existující vazbu lze klikem na ni.</w:t>
      </w:r>
    </w:p>
    <w:p w:rsidR="00B9338C" w:rsidRDefault="00B9338C" w:rsidP="00B9338C">
      <w:pPr>
        <w:pStyle w:val="Nadpis2"/>
      </w:pPr>
      <w:r>
        <w:t>Kontrola návrhu</w:t>
      </w:r>
    </w:p>
    <w:p w:rsidR="00B9338C" w:rsidRDefault="00B9338C" w:rsidP="00B9338C">
      <w:r>
        <w:t>Systém v pravidelných intervalech kontroluje vytvářený návrh a ověřuje, zda již byly správným způsobem propojeny všechny požadované konfigurační položky. Systém zároveň spočítá pořizovací a provozní náklady daného řešení (v závislosti na pořizovacích a provozních nákladech použitých konfiguračních položek). Pokud máte na výběr více konfiguračních položek produkujících stejný výstup, zvažte, která z nich je z ekonomického hlediska výhodnější.</w:t>
      </w:r>
    </w:p>
    <w:p w:rsidR="00B9338C" w:rsidRDefault="00B9338C" w:rsidP="00B9338C">
      <w:r w:rsidRPr="00B9338C">
        <w:drawing>
          <wp:inline distT="0" distB="0" distL="0" distR="0" wp14:anchorId="2771269E" wp14:editId="289E65C5">
            <wp:extent cx="5760720" cy="1347394"/>
            <wp:effectExtent l="133350" t="114300" r="144780" b="1581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73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338C" w:rsidRDefault="00B9338C" w:rsidP="00B9338C">
      <w:r>
        <w:lastRenderedPageBreak/>
        <w:t>Řešení si můžete zkontrolovat i klikem na tlačítko „Zkontrolovat mé řešení“, které dá podrobnější hodnocení a usnadní hledání problému:</w:t>
      </w:r>
    </w:p>
    <w:p w:rsidR="00B9338C" w:rsidRDefault="00B9338C" w:rsidP="00B9338C">
      <w:r w:rsidRPr="00B9338C">
        <w:drawing>
          <wp:inline distT="0" distB="0" distL="0" distR="0" wp14:anchorId="126DF563" wp14:editId="654C382B">
            <wp:extent cx="5760720" cy="1595436"/>
            <wp:effectExtent l="133350" t="95250" r="144780" b="15748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4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338C" w:rsidRDefault="00B9338C" w:rsidP="00B9338C">
      <w:r>
        <w:t xml:space="preserve">Finální řešení můžete odeslat tlačítkem „Odeslat řešení“. </w:t>
      </w:r>
      <w:r w:rsidR="00E33187">
        <w:t>Po odeslání řešení je daný scénář ukončen, je přiděleno bodové hodnocení a z finančního rozpočtu odečtena částka za pořízení sestaveného řešení:</w:t>
      </w:r>
    </w:p>
    <w:p w:rsidR="00E33187" w:rsidRDefault="00E33187" w:rsidP="00E33187">
      <w:pPr>
        <w:jc w:val="center"/>
      </w:pPr>
      <w:r w:rsidRPr="00E33187">
        <w:drawing>
          <wp:inline distT="0" distB="0" distL="0" distR="0" wp14:anchorId="1762C2FD" wp14:editId="1A71F877">
            <wp:extent cx="5018227" cy="2004943"/>
            <wp:effectExtent l="133350" t="114300" r="144780" b="16700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5042" cy="20036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A3EEC" w:rsidRDefault="00AA3EEC" w:rsidP="00AA3EEC">
      <w:pPr>
        <w:pStyle w:val="Nadpis1"/>
      </w:pPr>
      <w:r>
        <w:t>Provoz služeb</w:t>
      </w:r>
    </w:p>
    <w:p w:rsidR="00AA3EEC" w:rsidRDefault="00AA3EEC" w:rsidP="00AA3EEC">
      <w:r>
        <w:t>Rozhraní provozu služby má dvě hlavní části – horní se seznamem služeb (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Catalog</w:t>
      </w:r>
      <w:proofErr w:type="spellEnd"/>
      <w:r>
        <w:t>) a spodní s ovládacím panelem (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Desk</w:t>
      </w:r>
      <w:proofErr w:type="spellEnd"/>
      <w:r>
        <w:t xml:space="preserve">,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Database a přehled historie):</w:t>
      </w:r>
    </w:p>
    <w:p w:rsidR="00AA3EEC" w:rsidRDefault="00AA3EEC" w:rsidP="00AA3EEC">
      <w:r w:rsidRPr="00AA3EEC">
        <w:lastRenderedPageBreak/>
        <w:drawing>
          <wp:inline distT="0" distB="0" distL="0" distR="0" wp14:anchorId="02BA8B58" wp14:editId="5E292761">
            <wp:extent cx="5760720" cy="3478113"/>
            <wp:effectExtent l="133350" t="95250" r="144780" b="1606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A3EEC" w:rsidRDefault="00AA3EEC" w:rsidP="00AA3EEC">
      <w:pPr>
        <w:pStyle w:val="Nadpis2"/>
      </w:pPr>
      <w:proofErr w:type="spellStart"/>
      <w:r>
        <w:t>Service</w:t>
      </w:r>
      <w:proofErr w:type="spellEnd"/>
      <w:r>
        <w:t xml:space="preserve"> </w:t>
      </w:r>
      <w:proofErr w:type="spellStart"/>
      <w:r>
        <w:t>Catalog</w:t>
      </w:r>
      <w:proofErr w:type="spellEnd"/>
    </w:p>
    <w:p w:rsidR="001B0696" w:rsidRDefault="00AA3EEC" w:rsidP="00AA3EEC">
      <w:r>
        <w:t xml:space="preserve">Ke každé službě lze klikem na její název zobrazit jednotlivé konfigurační položky, jejich atributy a stav. </w:t>
      </w:r>
      <w:r w:rsidR="001B0696">
        <w:t xml:space="preserve">Provoz služby má nějaké náklady, které se v pravidelných intervalech odečítají. Služba ale také generuje nějaké příjmy, které se zase naopak v pravidelných intervalech přičítají. Stav jednotlivých konfiguračních položek ovlivňuje celkový stav služby. </w:t>
      </w:r>
    </w:p>
    <w:p w:rsidR="00AA3EEC" w:rsidRDefault="001B0696" w:rsidP="001B0696">
      <w:pPr>
        <w:tabs>
          <w:tab w:val="left" w:pos="1276"/>
        </w:tabs>
        <w:ind w:left="1276" w:hanging="709"/>
      </w:pPr>
      <w:r w:rsidRPr="001B0696">
        <w:rPr>
          <w:rFonts w:ascii="Open Sans Extrabold" w:hAnsi="Open Sans Extrabold" w:cs="Open Sans Extrabold"/>
          <w:b/>
        </w:rPr>
        <w:t>Pozor</w:t>
      </w:r>
      <w:r>
        <w:t xml:space="preserve">: </w:t>
      </w:r>
      <w:r>
        <w:tab/>
        <w:t>nefunkční služba generuje omezené nebo žádné příjmy, její náklady jsou ale stále stejné. Snadno se tak lze dostat do mínusu.</w:t>
      </w:r>
    </w:p>
    <w:p w:rsidR="001B0696" w:rsidRDefault="001B0696" w:rsidP="00AA3EEC">
      <w:r w:rsidRPr="001B0696">
        <w:drawing>
          <wp:inline distT="0" distB="0" distL="0" distR="0" wp14:anchorId="3E245291" wp14:editId="26E46506">
            <wp:extent cx="5760720" cy="1767535"/>
            <wp:effectExtent l="133350" t="114300" r="144780" b="15684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B0696" w:rsidRDefault="001B0696" w:rsidP="00AA3EEC">
      <w:r>
        <w:t>Stav konfiguračních položek se odvíjí od hodnot jejich atributů. Každý atribut musí splňovat nějaké SLA, které definoval tvůrce scénáře. Pokud jej daná konfigurační položka nesplňuje, je o tom uživatel informován (viz obrázek nahoře).</w:t>
      </w:r>
    </w:p>
    <w:p w:rsidR="00813EBF" w:rsidRDefault="00813EBF" w:rsidP="00813EBF">
      <w:pPr>
        <w:pStyle w:val="Nadpis2"/>
      </w:pPr>
      <w:proofErr w:type="spellStart"/>
      <w:r>
        <w:lastRenderedPageBreak/>
        <w:t>Event</w:t>
      </w:r>
      <w:proofErr w:type="spellEnd"/>
      <w:r>
        <w:t xml:space="preserve"> management</w:t>
      </w:r>
    </w:p>
    <w:p w:rsidR="00813EBF" w:rsidRDefault="00813EBF" w:rsidP="00813EBF">
      <w:r>
        <w:t xml:space="preserve">V části </w:t>
      </w:r>
      <w:proofErr w:type="spellStart"/>
      <w:r>
        <w:t>Service</w:t>
      </w:r>
      <w:proofErr w:type="spellEnd"/>
      <w:r>
        <w:t xml:space="preserve"> Desku se vyskytuje </w:t>
      </w:r>
      <w:proofErr w:type="spellStart"/>
      <w:r>
        <w:t>Event</w:t>
      </w:r>
      <w:proofErr w:type="spellEnd"/>
      <w:r>
        <w:t xml:space="preserve"> Management. Zobrazuje všechny události, které konfigurační položky generují. Jedná se nejčastěji o informační zprávy, ale mohou se zde objevovat i chybová hlášení. Nalezení chybových hlášení v tomto seznamu může pomoci detekovat blížící se incident.</w:t>
      </w:r>
    </w:p>
    <w:p w:rsidR="00813EBF" w:rsidRDefault="00813EBF" w:rsidP="00813EBF">
      <w:r>
        <w:t>Každá událost má dva stavy – nová a archivovaný. Tento stav lze využít k filtrování zobrazených záznamů.</w:t>
      </w:r>
    </w:p>
    <w:p w:rsidR="00813EBF" w:rsidRDefault="00813EBF" w:rsidP="00813EBF">
      <w:pPr>
        <w:jc w:val="center"/>
      </w:pPr>
      <w:r w:rsidRPr="00813EBF">
        <w:drawing>
          <wp:inline distT="0" distB="0" distL="0" distR="0" wp14:anchorId="4B00CA58" wp14:editId="23C048D2">
            <wp:extent cx="3655409" cy="3394253"/>
            <wp:effectExtent l="133350" t="95250" r="154940" b="16827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732" cy="3396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13EBF" w:rsidRDefault="00813EBF" w:rsidP="00813EBF">
      <w:pPr>
        <w:pStyle w:val="Nadpis2"/>
      </w:pPr>
      <w:r>
        <w:t>Incident management</w:t>
      </w:r>
    </w:p>
    <w:p w:rsidR="00813EBF" w:rsidRDefault="00813EBF" w:rsidP="00813EBF">
      <w:r>
        <w:t>Incident Management se také vyskytuje v </w:t>
      </w:r>
      <w:proofErr w:type="spellStart"/>
      <w:r>
        <w:t>Service</w:t>
      </w:r>
      <w:proofErr w:type="spellEnd"/>
      <w:r>
        <w:t xml:space="preserve"> Desku a zobrazuje existující incidenty a umožňuje jejich řešení.</w:t>
      </w:r>
      <w:r w:rsidR="00624030">
        <w:t xml:space="preserve"> Má-li incident dle SLA limitovaný čas na reakci nebo na vyřešení, je v tabulce s incidenty zobrazen odpočet zbývajícího času.</w:t>
      </w:r>
    </w:p>
    <w:p w:rsidR="00624030" w:rsidRDefault="00624030" w:rsidP="00813EBF">
      <w:r w:rsidRPr="00624030">
        <w:drawing>
          <wp:inline distT="0" distB="0" distL="0" distR="0" wp14:anchorId="7DBD79FE" wp14:editId="2B9F6CCF">
            <wp:extent cx="5760720" cy="1512756"/>
            <wp:effectExtent l="133350" t="114300" r="144780" b="16383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27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4030" w:rsidRDefault="00624030" w:rsidP="00813EBF">
      <w:r>
        <w:lastRenderedPageBreak/>
        <w:t xml:space="preserve">Přijetím incidentu se </w:t>
      </w:r>
      <w:r w:rsidR="001D0114">
        <w:t>automaticky informují dotčení zákazníci o přijetí daného incidentu a o zahájení řešení. To způsobí vynulování času na odpověď.</w:t>
      </w:r>
    </w:p>
    <w:p w:rsidR="001D0114" w:rsidRDefault="001D0114" w:rsidP="001D0114">
      <w:pPr>
        <w:jc w:val="center"/>
      </w:pPr>
      <w:r w:rsidRPr="001D0114">
        <w:drawing>
          <wp:inline distT="0" distB="0" distL="0" distR="0" wp14:anchorId="3514925E" wp14:editId="75CBF741">
            <wp:extent cx="3389950" cy="2170707"/>
            <wp:effectExtent l="114300" t="114300" r="134620" b="17272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291" cy="21722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0114" w:rsidRDefault="001D0114" w:rsidP="001D0114">
      <w:r>
        <w:t xml:space="preserve">Incident lze vyřešit buď eskalací na vyšší úroveň </w:t>
      </w:r>
      <w:proofErr w:type="spellStart"/>
      <w:r>
        <w:t>Service</w:t>
      </w:r>
      <w:proofErr w:type="spellEnd"/>
      <w:r>
        <w:t xml:space="preserve"> Desku, nebo použitím známého řešení. Tato známá řešení jsou uložena v Databázi Známých Chyb:</w:t>
      </w:r>
    </w:p>
    <w:p w:rsidR="001D0114" w:rsidRDefault="001D0114" w:rsidP="001D0114">
      <w:pPr>
        <w:jc w:val="center"/>
      </w:pPr>
      <w:r w:rsidRPr="001D0114">
        <w:drawing>
          <wp:inline distT="0" distB="0" distL="0" distR="0" wp14:anchorId="2E04C9B9" wp14:editId="7376BA10">
            <wp:extent cx="3649649" cy="2314109"/>
            <wp:effectExtent l="114300" t="95250" r="122555" b="16256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2662" cy="2316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0114" w:rsidRDefault="001D0114" w:rsidP="001D0114">
      <w:r>
        <w:t>Databáze známých chyb obsahuje známá řešení, které lze aplikovat na nové incidenty. Každé řešení může být buď dočasné, nebo trvalé. Řešení také může být zpoplatněno:</w:t>
      </w:r>
    </w:p>
    <w:p w:rsidR="001D0114" w:rsidRDefault="001D0114" w:rsidP="001D0114">
      <w:r w:rsidRPr="001D0114">
        <w:drawing>
          <wp:inline distT="0" distB="0" distL="0" distR="0" wp14:anchorId="45C41AEE" wp14:editId="4BF660C8">
            <wp:extent cx="5208104" cy="1663315"/>
            <wp:effectExtent l="133350" t="95250" r="145415" b="16573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701" cy="16644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0114" w:rsidRDefault="001D0114" w:rsidP="001D0114">
      <w:pPr>
        <w:jc w:val="center"/>
      </w:pPr>
      <w:r w:rsidRPr="001D0114">
        <w:lastRenderedPageBreak/>
        <w:drawing>
          <wp:inline distT="0" distB="0" distL="0" distR="0" wp14:anchorId="0E3A57AC" wp14:editId="10F59347">
            <wp:extent cx="3718838" cy="2218414"/>
            <wp:effectExtent l="133350" t="114300" r="148590" b="16319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1406" cy="2219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83801" w:rsidRDefault="00E83801" w:rsidP="00E83801">
      <w:pPr>
        <w:pStyle w:val="Nadpis1"/>
      </w:pPr>
      <w:r>
        <w:t>Hodnocení</w:t>
      </w:r>
    </w:p>
    <w:p w:rsidR="00E83801" w:rsidRDefault="00E83801" w:rsidP="00E83801">
      <w:r>
        <w:t>Jak bylo již zmíněno, hodnocení je prováděno ve dvou ukazatelích:</w:t>
      </w:r>
    </w:p>
    <w:p w:rsidR="00E83801" w:rsidRDefault="00E83801" w:rsidP="00E83801">
      <w:pPr>
        <w:pStyle w:val="Odstavecseseznamem"/>
        <w:numPr>
          <w:ilvl w:val="0"/>
          <w:numId w:val="2"/>
        </w:numPr>
      </w:pPr>
      <w:r>
        <w:t>Bodové ohodnocení (body)</w:t>
      </w:r>
    </w:p>
    <w:p w:rsidR="00E83801" w:rsidRDefault="00E83801" w:rsidP="00E83801">
      <w:pPr>
        <w:pStyle w:val="Odstavecseseznamem"/>
        <w:numPr>
          <w:ilvl w:val="0"/>
          <w:numId w:val="2"/>
        </w:numPr>
      </w:pPr>
      <w:r>
        <w:t>Finanční ohodnocení (peníze)</w:t>
      </w:r>
    </w:p>
    <w:p w:rsidR="00E83801" w:rsidRDefault="00E83801" w:rsidP="00E83801">
      <w:r>
        <w:t>V návrhu služeb je hodnocení přiděleno po odeslání řešení. V provozu služeb se hodnocení zobrazuje v pravé dolní části obrazovky a aktualizuje se v pravidelných intervalech:</w:t>
      </w:r>
    </w:p>
    <w:p w:rsidR="00E83801" w:rsidRDefault="00E83801" w:rsidP="00E83801">
      <w:pPr>
        <w:jc w:val="center"/>
      </w:pPr>
      <w:r w:rsidRPr="00E83801">
        <w:drawing>
          <wp:inline distT="0" distB="0" distL="0" distR="0" wp14:anchorId="43C12E2F" wp14:editId="0AA54082">
            <wp:extent cx="2069137" cy="1812897"/>
            <wp:effectExtent l="133350" t="114300" r="140970" b="16891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9672" cy="18133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83801" w:rsidRPr="00E83801" w:rsidRDefault="00E83801" w:rsidP="00E83801"/>
    <w:sectPr w:rsidR="00E83801" w:rsidRPr="00E838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Open Sans Light">
    <w:panose1 w:val="020B0306030504020204"/>
    <w:charset w:val="EE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 Extrabold">
    <w:panose1 w:val="020B0906030804020204"/>
    <w:charset w:val="EE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924BF5"/>
    <w:multiLevelType w:val="hybridMultilevel"/>
    <w:tmpl w:val="9800DEA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8318C8"/>
    <w:multiLevelType w:val="hybridMultilevel"/>
    <w:tmpl w:val="EA2A12F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419"/>
    <w:rsid w:val="000728F8"/>
    <w:rsid w:val="001B0696"/>
    <w:rsid w:val="001D0114"/>
    <w:rsid w:val="00335419"/>
    <w:rsid w:val="00624030"/>
    <w:rsid w:val="006F7CFA"/>
    <w:rsid w:val="00703E9A"/>
    <w:rsid w:val="00813EBF"/>
    <w:rsid w:val="00AA3EEC"/>
    <w:rsid w:val="00B54859"/>
    <w:rsid w:val="00B9338C"/>
    <w:rsid w:val="00B93C67"/>
    <w:rsid w:val="00BA375D"/>
    <w:rsid w:val="00BC640A"/>
    <w:rsid w:val="00E049CB"/>
    <w:rsid w:val="00E33187"/>
    <w:rsid w:val="00E83801"/>
    <w:rsid w:val="00F03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335419"/>
    <w:rPr>
      <w:rFonts w:ascii="Open Sans" w:hAnsi="Open Sans"/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335419"/>
    <w:pPr>
      <w:keepNext/>
      <w:keepLines/>
      <w:spacing w:before="480" w:after="0"/>
      <w:outlineLvl w:val="0"/>
    </w:pPr>
    <w:rPr>
      <w:rFonts w:ascii="Open Sans Light" w:eastAsiaTheme="majorEastAsia" w:hAnsi="Open Sans Light" w:cstheme="majorBidi"/>
      <w:bCs/>
      <w:color w:val="365F91" w:themeColor="accent1" w:themeShade="BF"/>
      <w:sz w:val="44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9338C"/>
    <w:pPr>
      <w:keepNext/>
      <w:keepLines/>
      <w:spacing w:before="200" w:after="0"/>
      <w:outlineLvl w:val="1"/>
    </w:pPr>
    <w:rPr>
      <w:rFonts w:ascii="Open Sans Light" w:eastAsiaTheme="majorEastAsia" w:hAnsi="Open Sans Light" w:cstheme="majorBidi"/>
      <w:bCs/>
      <w:color w:val="365F91" w:themeColor="accent1" w:themeShade="BF"/>
      <w:sz w:val="3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35419"/>
    <w:rPr>
      <w:rFonts w:ascii="Open Sans Light" w:eastAsiaTheme="majorEastAsia" w:hAnsi="Open Sans Light" w:cstheme="majorBidi"/>
      <w:bCs/>
      <w:color w:val="365F91" w:themeColor="accent1" w:themeShade="BF"/>
      <w:sz w:val="44"/>
      <w:szCs w:val="2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35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35419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54859"/>
    <w:pPr>
      <w:ind w:left="720"/>
      <w:contextualSpacing/>
    </w:pPr>
  </w:style>
  <w:style w:type="paragraph" w:customStyle="1" w:styleId="obrzek">
    <w:name w:val="obrázek"/>
    <w:basedOn w:val="Normln"/>
    <w:link w:val="obrzekChar"/>
    <w:qFormat/>
    <w:rsid w:val="00BC640A"/>
  </w:style>
  <w:style w:type="character" w:customStyle="1" w:styleId="Nadpis2Char">
    <w:name w:val="Nadpis 2 Char"/>
    <w:basedOn w:val="Standardnpsmoodstavce"/>
    <w:link w:val="Nadpis2"/>
    <w:uiPriority w:val="9"/>
    <w:rsid w:val="00B9338C"/>
    <w:rPr>
      <w:rFonts w:ascii="Open Sans Light" w:eastAsiaTheme="majorEastAsia" w:hAnsi="Open Sans Light" w:cstheme="majorBidi"/>
      <w:bCs/>
      <w:color w:val="365F91" w:themeColor="accent1" w:themeShade="BF"/>
      <w:sz w:val="36"/>
      <w:szCs w:val="26"/>
    </w:rPr>
  </w:style>
  <w:style w:type="character" w:customStyle="1" w:styleId="obrzekChar">
    <w:name w:val="obrázek Char"/>
    <w:basedOn w:val="Standardnpsmoodstavce"/>
    <w:link w:val="obrzek"/>
    <w:rsid w:val="00BC640A"/>
    <w:rPr>
      <w:rFonts w:ascii="Open Sans" w:hAnsi="Open Sans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335419"/>
    <w:rPr>
      <w:rFonts w:ascii="Open Sans" w:hAnsi="Open Sans"/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335419"/>
    <w:pPr>
      <w:keepNext/>
      <w:keepLines/>
      <w:spacing w:before="480" w:after="0"/>
      <w:outlineLvl w:val="0"/>
    </w:pPr>
    <w:rPr>
      <w:rFonts w:ascii="Open Sans Light" w:eastAsiaTheme="majorEastAsia" w:hAnsi="Open Sans Light" w:cstheme="majorBidi"/>
      <w:bCs/>
      <w:color w:val="365F91" w:themeColor="accent1" w:themeShade="BF"/>
      <w:sz w:val="44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9338C"/>
    <w:pPr>
      <w:keepNext/>
      <w:keepLines/>
      <w:spacing w:before="200" w:after="0"/>
      <w:outlineLvl w:val="1"/>
    </w:pPr>
    <w:rPr>
      <w:rFonts w:ascii="Open Sans Light" w:eastAsiaTheme="majorEastAsia" w:hAnsi="Open Sans Light" w:cstheme="majorBidi"/>
      <w:bCs/>
      <w:color w:val="365F91" w:themeColor="accent1" w:themeShade="BF"/>
      <w:sz w:val="3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35419"/>
    <w:rPr>
      <w:rFonts w:ascii="Open Sans Light" w:eastAsiaTheme="majorEastAsia" w:hAnsi="Open Sans Light" w:cstheme="majorBidi"/>
      <w:bCs/>
      <w:color w:val="365F91" w:themeColor="accent1" w:themeShade="BF"/>
      <w:sz w:val="44"/>
      <w:szCs w:val="2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35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35419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54859"/>
    <w:pPr>
      <w:ind w:left="720"/>
      <w:contextualSpacing/>
    </w:pPr>
  </w:style>
  <w:style w:type="paragraph" w:customStyle="1" w:styleId="obrzek">
    <w:name w:val="obrázek"/>
    <w:basedOn w:val="Normln"/>
    <w:link w:val="obrzekChar"/>
    <w:qFormat/>
    <w:rsid w:val="00BC640A"/>
  </w:style>
  <w:style w:type="character" w:customStyle="1" w:styleId="Nadpis2Char">
    <w:name w:val="Nadpis 2 Char"/>
    <w:basedOn w:val="Standardnpsmoodstavce"/>
    <w:link w:val="Nadpis2"/>
    <w:uiPriority w:val="9"/>
    <w:rsid w:val="00B9338C"/>
    <w:rPr>
      <w:rFonts w:ascii="Open Sans Light" w:eastAsiaTheme="majorEastAsia" w:hAnsi="Open Sans Light" w:cstheme="majorBidi"/>
      <w:bCs/>
      <w:color w:val="365F91" w:themeColor="accent1" w:themeShade="BF"/>
      <w:sz w:val="36"/>
      <w:szCs w:val="26"/>
    </w:rPr>
  </w:style>
  <w:style w:type="character" w:customStyle="1" w:styleId="obrzekChar">
    <w:name w:val="obrázek Char"/>
    <w:basedOn w:val="Standardnpsmoodstavce"/>
    <w:link w:val="obrzek"/>
    <w:rsid w:val="00BC640A"/>
    <w:rPr>
      <w:rFonts w:ascii="Open Sans" w:hAnsi="Open San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742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petrolep</dc:creator>
  <cp:lastModifiedBy>petrolep</cp:lastModifiedBy>
  <cp:revision>11</cp:revision>
  <cp:lastPrinted>2013-05-21T21:15:00Z</cp:lastPrinted>
  <dcterms:created xsi:type="dcterms:W3CDTF">2013-05-21T20:31:00Z</dcterms:created>
  <dcterms:modified xsi:type="dcterms:W3CDTF">2013-05-21T21:46:00Z</dcterms:modified>
</cp:coreProperties>
</file>