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SmallLabel"/>
      </w:pPr>
      <w:r>
        <w:t>INTEGRATION SPECIFICATION</w:t>
      </w:r>
    </w:p>
    <w:p>
      <w:pPr>
        <w:spacing w:after="160"/>
        <w:pBdr>
          <w:bottom w:val="single" w:sz="18" w:space="1" w:color="2E74B5"/>
        </w:pBdr>
      </w:pPr>
    </w:p>
    <w:p>
      <w:pPr>
        <w:pStyle w:val="Title"/>
      </w:pPr>
      <w:r>
        <w:t>NC25OL</w:t>
      </w:r>
    </w:p>
    <w:p>
      <w:pPr>
        <w:pStyle w:val="Subtitle"/>
      </w:pPr>
      <w:r>
        <w:t>Navigational Cybernetics 2.5 Open Ledger</w:t>
      </w:r>
    </w:p>
    <w:p>
      <w:pPr>
        <w:pStyle w:val="Subtitle"/>
      </w:pPr>
      <w:r>
        <w:t>Domain-neutral connection contract with three reference profiles</w:t>
      </w:r>
    </w:p>
    <w:tbl>
      <w:tblPr>
        <w:tblStyle w:val="TableGrid"/>
        <w:tblW w:type="dxa" w:w="9360"/>
        <w:jc w:val="center"/>
        <w:tblLayout w:type="fixed"/>
        <w:tblLook w:firstColumn="1" w:firstRow="1" w:lastColumn="0" w:lastRow="0" w:noHBand="0" w:noVBand="1" w:val="04A0"/>
        <w:tblInd w:w="120" w:type="dxa"/>
      </w:tblPr>
      <w:tblGrid>
        <w:gridCol w:w="2400"/>
        <w:gridCol w:w="6960"/>
      </w:tblGrid>
      <w:tr>
        <w:trPr>
          <w:tblHeader w:val="true"/>
          <w:cantSplit/>
        </w:trPr>
        <w:tc>
          <w:tcPr>
            <w:tcW w:type="dxa" w:w="2400"/>
            <w:shd w:fill="F2F4F7"/>
            <w:vAlign w:val="center"/>
            <w:tcMar>
              <w:top w:w="80" w:type="dxa"/>
              <w:start w:w="120" w:type="dxa"/>
              <w:bottom w:w="80" w:type="dxa"/>
              <w:end w:w="120" w:type="dxa"/>
            </w:tcMar>
          </w:tcPr>
          <w:p>
            <w:pPr>
              <w:keepNext/>
              <w:spacing w:after="0" w:before="0"/>
            </w:pPr>
            <w:r/>
            <w:r>
              <w:rPr>
                <w:rFonts w:ascii="Calibri" w:hAnsi="Calibri"/>
                <w:b/>
                <w:color w:val="17365D"/>
                <w:sz w:val="18"/>
              </w:rPr>
              <w:t>Document</w:t>
            </w:r>
          </w:p>
        </w:tc>
        <w:tc>
          <w:tcPr>
            <w:tcW w:type="dxa" w:w="6960"/>
            <w:shd w:fill="F2F4F7"/>
            <w:vAlign w:val="center"/>
            <w:tcMar>
              <w:top w:w="80" w:type="dxa"/>
              <w:start w:w="120" w:type="dxa"/>
              <w:bottom w:w="80" w:type="dxa"/>
              <w:end w:w="120" w:type="dxa"/>
            </w:tcMar>
          </w:tcPr>
          <w:p>
            <w:pPr>
              <w:keepNext/>
              <w:spacing w:after="0" w:before="0"/>
            </w:pPr>
            <w:r/>
            <w:r>
              <w:rPr>
                <w:rFonts w:ascii="Calibri" w:hAnsi="Calibri"/>
                <w:b/>
                <w:color w:val="17365D"/>
                <w:sz w:val="18"/>
              </w:rPr>
              <w:t>Value</w:t>
            </w:r>
          </w:p>
        </w:tc>
      </w:tr>
      <w:tr>
        <w:trPr>
          <w:cantSplit/>
        </w:trPr>
        <w:tc>
          <w:tcPr>
            <w:tcW w:type="dxa" w:w="2400"/>
            <w:vAlign w:val="center"/>
            <w:tcMar>
              <w:top w:w="80" w:type="dxa"/>
              <w:start w:w="120" w:type="dxa"/>
              <w:bottom w:w="80" w:type="dxa"/>
              <w:end w:w="120" w:type="dxa"/>
            </w:tcMar>
          </w:tcPr>
          <w:p>
            <w:pPr>
              <w:spacing w:after="0" w:before="0"/>
            </w:pPr>
            <w:r/>
            <w:r>
              <w:rPr>
                <w:rFonts w:ascii="Calibri" w:hAnsi="Calibri"/>
                <w:b w:val="0"/>
                <w:color w:val="000000"/>
                <w:sz w:val="18"/>
              </w:rPr>
              <w:t>Version</w:t>
            </w:r>
          </w:p>
        </w:tc>
        <w:tc>
          <w:tcPr>
            <w:tcW w:type="dxa" w:w="6960"/>
            <w:vAlign w:val="center"/>
            <w:tcMar>
              <w:top w:w="80" w:type="dxa"/>
              <w:start w:w="120" w:type="dxa"/>
              <w:bottom w:w="80" w:type="dxa"/>
              <w:end w:w="120" w:type="dxa"/>
            </w:tcMar>
          </w:tcPr>
          <w:p>
            <w:pPr>
              <w:spacing w:after="0" w:before="0"/>
            </w:pPr>
            <w:r/>
            <w:r>
              <w:rPr>
                <w:rFonts w:ascii="Calibri" w:hAnsi="Calibri"/>
                <w:b w:val="0"/>
                <w:color w:val="000000"/>
                <w:sz w:val="18"/>
              </w:rPr>
              <w:t>01.09.01</w:t>
            </w:r>
          </w:p>
        </w:tc>
      </w:tr>
      <w:tr>
        <w:trPr>
          <w:cantSplit/>
        </w:trPr>
        <w:tc>
          <w:tcPr>
            <w:tcW w:type="dxa" w:w="2400"/>
            <w:vAlign w:val="center"/>
            <w:tcMar>
              <w:top w:w="80" w:type="dxa"/>
              <w:start w:w="120" w:type="dxa"/>
              <w:bottom w:w="80" w:type="dxa"/>
              <w:end w:w="120" w:type="dxa"/>
            </w:tcMar>
          </w:tcPr>
          <w:p>
            <w:pPr>
              <w:spacing w:after="0" w:before="0"/>
            </w:pPr>
            <w:r/>
            <w:r>
              <w:rPr>
                <w:rFonts w:ascii="Calibri" w:hAnsi="Calibri"/>
                <w:b w:val="0"/>
                <w:color w:val="000000"/>
                <w:sz w:val="18"/>
              </w:rPr>
              <w:t>Date</w:t>
            </w:r>
          </w:p>
        </w:tc>
        <w:tc>
          <w:tcPr>
            <w:tcW w:type="dxa" w:w="6960"/>
            <w:vAlign w:val="center"/>
            <w:tcMar>
              <w:top w:w="80" w:type="dxa"/>
              <w:start w:w="120" w:type="dxa"/>
              <w:bottom w:w="80" w:type="dxa"/>
              <w:end w:w="120" w:type="dxa"/>
            </w:tcMar>
          </w:tcPr>
          <w:p>
            <w:pPr>
              <w:spacing w:after="0" w:before="0"/>
            </w:pPr>
            <w:r/>
            <w:r>
              <w:rPr>
                <w:rFonts w:ascii="Calibri" w:hAnsi="Calibri"/>
                <w:b w:val="0"/>
                <w:color w:val="000000"/>
                <w:sz w:val="18"/>
              </w:rPr>
              <w:t>17 October 2026</w:t>
            </w:r>
          </w:p>
        </w:tc>
      </w:tr>
      <w:tr>
        <w:trPr>
          <w:cantSplit/>
        </w:trPr>
        <w:tc>
          <w:tcPr>
            <w:tcW w:type="dxa" w:w="2400"/>
            <w:vAlign w:val="center"/>
            <w:tcMar>
              <w:top w:w="80" w:type="dxa"/>
              <w:start w:w="120" w:type="dxa"/>
              <w:bottom w:w="80" w:type="dxa"/>
              <w:end w:w="120" w:type="dxa"/>
            </w:tcMar>
          </w:tcPr>
          <w:p>
            <w:pPr>
              <w:spacing w:after="0" w:before="0"/>
            </w:pPr>
            <w:r/>
            <w:r>
              <w:rPr>
                <w:rFonts w:ascii="Calibri" w:hAnsi="Calibri"/>
                <w:b w:val="0"/>
                <w:color w:val="000000"/>
                <w:sz w:val="18"/>
              </w:rPr>
              <w:t>Author</w:t>
            </w:r>
          </w:p>
        </w:tc>
        <w:tc>
          <w:tcPr>
            <w:tcW w:type="dxa" w:w="6960"/>
            <w:vAlign w:val="center"/>
            <w:tcMar>
              <w:top w:w="80" w:type="dxa"/>
              <w:start w:w="120" w:type="dxa"/>
              <w:bottom w:w="80" w:type="dxa"/>
              <w:end w:w="120" w:type="dxa"/>
            </w:tcMar>
          </w:tcPr>
          <w:p>
            <w:pPr>
              <w:spacing w:after="0" w:before="0"/>
            </w:pPr>
            <w:r/>
            <w:r>
              <w:rPr>
                <w:rFonts w:ascii="Calibri" w:hAnsi="Calibri"/>
                <w:b w:val="0"/>
                <w:color w:val="000000"/>
                <w:sz w:val="18"/>
              </w:rPr>
              <w:t>Maksim Barziankou (MxBv)</w:t>
            </w:r>
          </w:p>
        </w:tc>
      </w:tr>
      <w:tr>
        <w:trPr>
          <w:cantSplit/>
        </w:trPr>
        <w:tc>
          <w:tcPr>
            <w:tcW w:type="dxa" w:w="2400"/>
            <w:vAlign w:val="center"/>
            <w:tcMar>
              <w:top w:w="80" w:type="dxa"/>
              <w:start w:w="120" w:type="dxa"/>
              <w:bottom w:w="80" w:type="dxa"/>
              <w:end w:w="120" w:type="dxa"/>
            </w:tcMar>
          </w:tcPr>
          <w:p>
            <w:pPr>
              <w:spacing w:after="0" w:before="0"/>
            </w:pPr>
            <w:r/>
            <w:r>
              <w:rPr>
                <w:rFonts w:ascii="Calibri" w:hAnsi="Calibri"/>
                <w:b w:val="0"/>
                <w:color w:val="000000"/>
                <w:sz w:val="18"/>
              </w:rPr>
              <w:t>Affiliation</w:t>
            </w:r>
          </w:p>
        </w:tc>
        <w:tc>
          <w:tcPr>
            <w:tcW w:type="dxa" w:w="6960"/>
            <w:vAlign w:val="center"/>
            <w:tcMar>
              <w:top w:w="80" w:type="dxa"/>
              <w:start w:w="120" w:type="dxa"/>
              <w:bottom w:w="80" w:type="dxa"/>
              <w:end w:w="120" w:type="dxa"/>
            </w:tcMar>
          </w:tcPr>
          <w:p>
            <w:pPr>
              <w:spacing w:after="0" w:before="0"/>
            </w:pPr>
            <w:r/>
            <w:r>
              <w:rPr>
                <w:rFonts w:ascii="Calibri" w:hAnsi="Calibri"/>
                <w:b w:val="0"/>
                <w:color w:val="000000"/>
                <w:sz w:val="18"/>
              </w:rPr>
              <w:t>The Urgrund Laboratheory</w:t>
            </w:r>
          </w:p>
        </w:tc>
      </w:tr>
      <w:tr>
        <w:trPr>
          <w:cantSplit/>
        </w:trPr>
        <w:tc>
          <w:tcPr>
            <w:tcW w:type="dxa" w:w="2400"/>
            <w:vAlign w:val="center"/>
            <w:tcMar>
              <w:top w:w="80" w:type="dxa"/>
              <w:start w:w="120" w:type="dxa"/>
              <w:bottom w:w="80" w:type="dxa"/>
              <w:end w:w="120" w:type="dxa"/>
            </w:tcMar>
          </w:tcPr>
          <w:p>
            <w:pPr>
              <w:spacing w:after="0" w:before="0"/>
            </w:pPr>
            <w:r/>
            <w:r>
              <w:rPr>
                <w:rFonts w:ascii="Calibri" w:hAnsi="Calibri"/>
                <w:b w:val="0"/>
                <w:color w:val="000000"/>
                <w:sz w:val="18"/>
              </w:rPr>
              <w:t>Licence</w:t>
            </w:r>
          </w:p>
        </w:tc>
        <w:tc>
          <w:tcPr>
            <w:tcW w:type="dxa" w:w="6960"/>
            <w:vAlign w:val="center"/>
            <w:tcMar>
              <w:top w:w="80" w:type="dxa"/>
              <w:start w:w="120" w:type="dxa"/>
              <w:bottom w:w="80" w:type="dxa"/>
              <w:end w:w="120" w:type="dxa"/>
            </w:tcMar>
          </w:tcPr>
          <w:p>
            <w:pPr>
              <w:spacing w:after="0" w:before="0"/>
            </w:pPr>
            <w:r/>
            <w:r>
              <w:rPr>
                <w:rFonts w:ascii="Calibri" w:hAnsi="Calibri"/>
                <w:b w:val="0"/>
                <w:color w:val="000000"/>
                <w:sz w:val="18"/>
              </w:rPr>
              <w:t>CC BY 4.0 (specification) • MIT (code and schemas)</w:t>
            </w:r>
          </w:p>
        </w:tc>
      </w:tr>
      <w:tr>
        <w:trPr>
          <w:cantSplit/>
        </w:trPr>
        <w:tc>
          <w:tcPr>
            <w:tcW w:type="dxa" w:w="2400"/>
            <w:vAlign w:val="center"/>
            <w:tcMar>
              <w:top w:w="80" w:type="dxa"/>
              <w:start w:w="120" w:type="dxa"/>
              <w:bottom w:w="80" w:type="dxa"/>
              <w:end w:w="120" w:type="dxa"/>
            </w:tcMar>
          </w:tcPr>
          <w:p>
            <w:pPr>
              <w:spacing w:after="0" w:before="0"/>
            </w:pPr>
            <w:r/>
            <w:r>
              <w:rPr>
                <w:rFonts w:ascii="Calibri" w:hAnsi="Calibri"/>
                <w:b w:val="0"/>
                <w:color w:val="000000"/>
                <w:sz w:val="18"/>
              </w:rPr>
              <w:t>Status</w:t>
            </w:r>
          </w:p>
        </w:tc>
        <w:tc>
          <w:tcPr>
            <w:tcW w:type="dxa" w:w="6960"/>
            <w:vAlign w:val="center"/>
            <w:tcMar>
              <w:top w:w="80" w:type="dxa"/>
              <w:start w:w="120" w:type="dxa"/>
              <w:bottom w:w="80" w:type="dxa"/>
              <w:end w:w="120" w:type="dxa"/>
            </w:tcMar>
          </w:tcPr>
          <w:p>
            <w:pPr>
              <w:spacing w:after="0" w:before="0"/>
            </w:pPr>
            <w:r/>
            <w:r>
              <w:rPr>
                <w:rFonts w:ascii="Calibri" w:hAnsi="Calibri"/>
                <w:b w:val="0"/>
                <w:color w:val="000000"/>
                <w:sz w:val="18"/>
              </w:rPr>
              <w:t>Reference and conformance package</w:t>
            </w:r>
          </w:p>
        </w:tc>
      </w:tr>
      <w:tr>
        <w:trPr>
          <w:cantSplit/>
        </w:trPr>
        <w:tc>
          <w:tcPr>
            <w:tcW w:type="dxa" w:w="2400"/>
            <w:vAlign w:val="center"/>
            <w:tcMar>
              <w:top w:w="80" w:type="dxa"/>
              <w:start w:w="120" w:type="dxa"/>
              <w:bottom w:w="80" w:type="dxa"/>
              <w:end w:w="120" w:type="dxa"/>
            </w:tcMar>
          </w:tcPr>
          <w:p>
            <w:pPr>
              <w:spacing w:after="0" w:before="0"/>
            </w:pPr>
            <w:r/>
            <w:r>
              <w:rPr>
                <w:rFonts w:ascii="Calibri" w:hAnsi="Calibri"/>
                <w:b w:val="0"/>
                <w:color w:val="000000"/>
                <w:sz w:val="18"/>
              </w:rPr>
              <w:t>Core anchor</w:t>
            </w:r>
          </w:p>
        </w:tc>
        <w:tc>
          <w:tcPr>
            <w:tcW w:type="dxa" w:w="6960"/>
            <w:vAlign w:val="center"/>
            <w:tcMar>
              <w:top w:w="80" w:type="dxa"/>
              <w:start w:w="120" w:type="dxa"/>
              <w:bottom w:w="80" w:type="dxa"/>
              <w:end w:w="120" w:type="dxa"/>
            </w:tcMar>
          </w:tcPr>
          <w:p>
            <w:pPr>
              <w:spacing w:after="0" w:before="0"/>
            </w:pPr>
            <w:r/>
            <w:r>
              <w:rPr>
                <w:rFonts w:ascii="Calibri" w:hAnsi="Calibri"/>
                <w:b w:val="0"/>
                <w:color w:val="000000"/>
                <w:sz w:val="18"/>
              </w:rPr>
              <w:t>NC2.5 v3.0 • DOI 10.17605/OSF.IO/NHTC5</w:t>
            </w:r>
          </w:p>
        </w:tc>
      </w:tr>
      <w:tr>
        <w:trPr>
          <w:cantSplit/>
        </w:trPr>
        <w:tc>
          <w:tcPr>
            <w:tcW w:type="dxa" w:w="2400"/>
            <w:vAlign w:val="center"/>
            <w:tcMar>
              <w:top w:w="80" w:type="dxa"/>
              <w:start w:w="120" w:type="dxa"/>
              <w:bottom w:w="80" w:type="dxa"/>
              <w:end w:w="120" w:type="dxa"/>
            </w:tcMar>
          </w:tcPr>
          <w:p>
            <w:pPr>
              <w:spacing w:after="0" w:before="0"/>
            </w:pPr>
            <w:r/>
            <w:r>
              <w:rPr>
                <w:rFonts w:ascii="Calibri" w:hAnsi="Calibri"/>
                <w:b w:val="0"/>
                <w:color w:val="000000"/>
                <w:sz w:val="18"/>
              </w:rPr>
              <w:t>Core SHA-256</w:t>
            </w:r>
          </w:p>
        </w:tc>
        <w:tc>
          <w:tcPr>
            <w:tcW w:type="dxa" w:w="6960"/>
            <w:vAlign w:val="center"/>
            <w:tcMar>
              <w:top w:w="80" w:type="dxa"/>
              <w:start w:w="120" w:type="dxa"/>
              <w:bottom w:w="80" w:type="dxa"/>
              <w:end w:w="120" w:type="dxa"/>
            </w:tcMar>
          </w:tcPr>
          <w:p>
            <w:pPr>
              <w:spacing w:after="0" w:before="0"/>
            </w:pPr>
            <w:r/>
            <w:r>
              <w:rPr>
                <w:rFonts w:ascii="Calibri" w:hAnsi="Calibri"/>
                <w:b w:val="0"/>
                <w:color w:val="000000"/>
                <w:sz w:val="18"/>
              </w:rPr>
              <w:t>20F1EA17E0B986627CAD9AFA7C02E1DC5088C43A779435E5A38F11E43A06C9C3</w:t>
            </w:r>
          </w:p>
        </w:tc>
      </w:tr>
    </w:tbl>
    <w:p>
      <w:pPr>
        <w:spacing w:after="0"/>
      </w:pPr>
    </w:p>
    <w:tbl>
      <w:tblPr>
        <w:tblW w:type="dxa" w:w="9360"/>
        <w:jc w:val="center"/>
        <w:tblLayout w:type="fixed"/>
        <w:tblLook w:firstColumn="1" w:firstRow="1" w:lastColumn="0" w:lastRow="0" w:noHBand="0" w:noVBand="1" w:val="04A0"/>
        <w:tblInd w:w="180" w:type="dxa"/>
      </w:tblPr>
      <w:tblGrid>
        <w:gridCol w:w="9360"/>
      </w:tblGrid>
      <w:tr>
        <w:tc>
          <w:tcPr>
            <w:tcW w:type="dxa" w:w="9360"/>
            <w:shd w:fill="DCE6F1"/>
            <w:tcMar>
              <w:top w:w="140" w:type="dxa"/>
              <w:start w:w="180" w:type="dxa"/>
              <w:bottom w:w="140" w:type="dxa"/>
              <w:end w:w="180" w:type="dxa"/>
            </w:tcMar>
          </w:tcPr>
          <w:p>
            <w:pPr>
              <w:spacing w:before="60" w:after="60"/>
            </w:pPr>
            <w:r/>
            <w:r>
              <w:rPr>
                <w:rFonts w:ascii="Calibri" w:hAnsi="Calibri"/>
                <w:b/>
                <w:color w:val="17365D"/>
                <w:sz w:val="20"/>
              </w:rPr>
              <w:t xml:space="preserve">DECISION  </w:t>
            </w:r>
            <w:r>
              <w:rPr>
                <w:rFonts w:ascii="Calibri" w:hAnsi="Calibri"/>
                <w:sz w:val="20"/>
              </w:rPr>
              <w:t>Use one universal protocol for connection mechanics, but require an explicit domain profile and instance declaration before any system can become executable.</w:t>
            </w:r>
          </w:p>
        </w:tc>
      </w:tr>
    </w:tbl>
    <w:p>
      <w:pPr>
        <w:spacing w:after="0"/>
      </w:pPr>
    </w:p>
    <w:p>
      <w:pPr>
        <w:pStyle w:val="Heading2"/>
      </w:pPr>
      <w:r>
        <w:t>What a receiving institution can determine</w:t>
      </w:r>
    </w:p>
    <w:p>
      <w:pPr>
        <w:pStyle w:val="ListBullet"/>
      </w:pPr>
      <w:r>
        <w:t>which exact objects must be declared and signed before activation;</w:t>
      </w:r>
    </w:p>
    <w:p>
      <w:pPr>
        <w:pStyle w:val="ListBullet"/>
      </w:pPr>
      <w:r>
        <w:t>which role may activate, submit, evaluate, consume, observe, or audit;</w:t>
      </w:r>
    </w:p>
    <w:p>
      <w:pPr>
        <w:pStyle w:val="ListBullet"/>
      </w:pPr>
      <w:r>
        <w:t>which runtime sequence produces a single-use permit;</w:t>
      </w:r>
    </w:p>
    <w:p>
      <w:pPr>
        <w:pStyle w:val="ListBullet"/>
      </w:pPr>
      <w:r>
        <w:t>which failures remain non-executable;</w:t>
      </w:r>
    </w:p>
    <w:p>
      <w:pPr>
        <w:pStyle w:val="ListBullet"/>
      </w:pPr>
      <w:r>
        <w:t>which evidence stays local and which hashes may enter a registry;</w:t>
      </w:r>
    </w:p>
    <w:p>
      <w:pPr>
        <w:pStyle w:val="ListBullet"/>
      </w:pPr>
      <w:r>
        <w:t>which demonstration components must be replaced before production.</w:t>
      </w:r>
    </w:p>
    <w:tbl>
      <w:tblPr>
        <w:tblW w:type="dxa" w:w="9360"/>
        <w:jc w:val="center"/>
        <w:tblLayout w:type="fixed"/>
        <w:tblLook w:firstColumn="1" w:firstRow="1" w:lastColumn="0" w:lastRow="0" w:noHBand="0" w:noVBand="1" w:val="04A0"/>
        <w:tblInd w:w="180" w:type="dxa"/>
      </w:tblPr>
      <w:tblGrid>
        <w:gridCol w:w="9360"/>
      </w:tblGrid>
      <w:tr>
        <w:tc>
          <w:tcPr>
            <w:tcW w:type="dxa" w:w="9360"/>
            <w:shd w:fill="FFF2CC"/>
            <w:tcMar>
              <w:top w:w="140" w:type="dxa"/>
              <w:start w:w="180" w:type="dxa"/>
              <w:bottom w:w="140" w:type="dxa"/>
              <w:end w:w="180" w:type="dxa"/>
            </w:tcMar>
          </w:tcPr>
          <w:p>
            <w:pPr>
              <w:spacing w:before="60" w:after="60"/>
            </w:pPr>
            <w:r/>
            <w:r>
              <w:rPr>
                <w:rFonts w:ascii="Calibri" w:hAnsi="Calibri"/>
                <w:b/>
                <w:color w:val="7F6000"/>
                <w:sz w:val="20"/>
              </w:rPr>
              <w:t xml:space="preserve">CLAIM BOUNDARY  </w:t>
            </w:r>
            <w:r>
              <w:rPr>
                <w:rFonts w:ascii="Calibri" w:hAnsi="Calibri"/>
                <w:sz w:val="20"/>
              </w:rPr>
              <w:t>This package is an engineering reference for domains expressible by its declared profile and runtime contract. It does not automatically classify an arbitrary deployment as NC2.5-conformant and does not replace domain policy, legal approval, or production assurance.</w:t>
            </w:r>
          </w:p>
        </w:tc>
      </w:tr>
    </w:tbl>
    <w:p>
      <w:pPr>
        <w:spacing w:after="0"/>
      </w:pPr>
    </w:p>
    <w:p>
      <w:r>
        <w:br w:type="page"/>
      </w:r>
    </w:p>
    <w:p>
      <w:pPr>
        <w:pStyle w:val="Heading1"/>
      </w:pPr>
      <w:r>
        <w:t>Document map</w:t>
      </w:r>
    </w:p>
    <w:tbl>
      <w:tblPr>
        <w:tblStyle w:val="TableGrid"/>
        <w:tblW w:type="dxa" w:w="9360"/>
        <w:jc w:val="center"/>
        <w:tblLayout w:type="fixed"/>
        <w:tblLook w:firstColumn="1" w:firstRow="1" w:lastColumn="0" w:lastRow="0" w:noHBand="0" w:noVBand="1" w:val="04A0"/>
        <w:tblInd w:w="120" w:type="dxa"/>
      </w:tblPr>
      <w:tblGrid>
        <w:gridCol w:w="700"/>
        <w:gridCol w:w="2860"/>
        <w:gridCol w:w="5800"/>
      </w:tblGrid>
      <w:tr>
        <w:trPr>
          <w:tblHeader w:val="true"/>
          <w:cantSplit/>
        </w:trPr>
        <w:tc>
          <w:tcPr>
            <w:tcW w:type="dxa" w:w="700"/>
            <w:shd w:fill="F2F4F7"/>
            <w:vAlign w:val="center"/>
            <w:tcMar>
              <w:top w:w="80" w:type="dxa"/>
              <w:start w:w="120" w:type="dxa"/>
              <w:bottom w:w="80" w:type="dxa"/>
              <w:end w:w="120" w:type="dxa"/>
            </w:tcMar>
          </w:tcPr>
          <w:p>
            <w:pPr>
              <w:keepNext/>
              <w:spacing w:after="0" w:before="0"/>
            </w:pPr>
            <w:r/>
            <w:r>
              <w:rPr>
                <w:rFonts w:ascii="Calibri" w:hAnsi="Calibri"/>
                <w:b/>
                <w:color w:val="17365D"/>
                <w:sz w:val="17"/>
              </w:rPr>
              <w:t>§</w:t>
            </w:r>
          </w:p>
        </w:tc>
        <w:tc>
          <w:tcPr>
            <w:tcW w:type="dxa" w:w="2860"/>
            <w:shd w:fill="F2F4F7"/>
            <w:vAlign w:val="center"/>
            <w:tcMar>
              <w:top w:w="80" w:type="dxa"/>
              <w:start w:w="120" w:type="dxa"/>
              <w:bottom w:w="80" w:type="dxa"/>
              <w:end w:w="120" w:type="dxa"/>
            </w:tcMar>
          </w:tcPr>
          <w:p>
            <w:pPr>
              <w:keepNext/>
              <w:spacing w:after="0" w:before="0"/>
            </w:pPr>
            <w:r/>
            <w:r>
              <w:rPr>
                <w:rFonts w:ascii="Calibri" w:hAnsi="Calibri"/>
                <w:b/>
                <w:color w:val="17365D"/>
                <w:sz w:val="17"/>
              </w:rPr>
              <w:t>Section</w:t>
            </w:r>
          </w:p>
        </w:tc>
        <w:tc>
          <w:tcPr>
            <w:tcW w:type="dxa" w:w="5800"/>
            <w:shd w:fill="F2F4F7"/>
            <w:vAlign w:val="center"/>
            <w:tcMar>
              <w:top w:w="80" w:type="dxa"/>
              <w:start w:w="120" w:type="dxa"/>
              <w:bottom w:w="80" w:type="dxa"/>
              <w:end w:w="120" w:type="dxa"/>
            </w:tcMar>
          </w:tcPr>
          <w:p>
            <w:pPr>
              <w:keepNext/>
              <w:spacing w:after="0" w:before="0"/>
            </w:pPr>
            <w:r/>
            <w:r>
              <w:rPr>
                <w:rFonts w:ascii="Calibri" w:hAnsi="Calibri"/>
                <w:b/>
                <w:color w:val="17365D"/>
                <w:sz w:val="17"/>
              </w:rPr>
              <w:t>Reader outcome</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1</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Executive decision</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What is universal and what remains domain-specific</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2</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Relationship to NC2.5</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Exact source anchor and claim boundary</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3</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Architecture</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Objects, layers, trust boundaries, and data flow</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4</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Roles and visibility</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Governance, operator, executor, architect, observer</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5</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Contract objects</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Profile, declaration, authority, intent, evidence, permit, receipt</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6</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Runtime state machine</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Preflight, binary gate, reservation, commit</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7</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Integrity and revision</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Hashes, idempotency, revocation, append-only state</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8</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Registry projection</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Local full evidence and shared hash-only record</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9</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Reference profiles</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Banking, document-release, and OTCS registry mappings</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10</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API contract</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Role-separated routes and security requirements</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11</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Failure matrix</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Deterministic non-executable outcomes</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12</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Production substitutions</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Controls required beyond the reference engine</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13</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Acceptance</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Local checks and go-live evidence</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14</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New-domain authoring</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How to add another connector without transfer-by-similarity</w:t>
            </w:r>
          </w:p>
        </w:tc>
      </w:tr>
      <w:tr>
        <w:trPr>
          <w:cantSplit/>
        </w:trPr>
        <w:tc>
          <w:tcPr>
            <w:tcW w:type="dxa" w:w="700"/>
            <w:vAlign w:val="center"/>
            <w:tcMar>
              <w:top w:w="80" w:type="dxa"/>
              <w:start w:w="120" w:type="dxa"/>
              <w:bottom w:w="80" w:type="dxa"/>
              <w:end w:w="120" w:type="dxa"/>
            </w:tcMar>
          </w:tcPr>
          <w:p>
            <w:pPr>
              <w:spacing w:after="0" w:before="0"/>
            </w:pPr>
            <w:r/>
            <w:r>
              <w:rPr>
                <w:rFonts w:ascii="Calibri" w:hAnsi="Calibri"/>
                <w:b w:val="0"/>
                <w:color w:val="000000"/>
                <w:sz w:val="17"/>
              </w:rPr>
              <w:t>A–C</w:t>
            </w:r>
          </w:p>
        </w:tc>
        <w:tc>
          <w:tcPr>
            <w:tcW w:type="dxa" w:w="2860"/>
            <w:vAlign w:val="center"/>
            <w:tcMar>
              <w:top w:w="80" w:type="dxa"/>
              <w:start w:w="120" w:type="dxa"/>
              <w:bottom w:w="80" w:type="dxa"/>
              <w:end w:w="120" w:type="dxa"/>
            </w:tcMar>
          </w:tcPr>
          <w:p>
            <w:pPr>
              <w:spacing w:after="0" w:before="0"/>
            </w:pPr>
            <w:r/>
            <w:r>
              <w:rPr>
                <w:rFonts w:ascii="Calibri" w:hAnsi="Calibri"/>
                <w:b w:val="0"/>
                <w:color w:val="000000"/>
                <w:sz w:val="17"/>
              </w:rPr>
              <w:t>Appendices</w:t>
            </w:r>
          </w:p>
        </w:tc>
        <w:tc>
          <w:tcPr>
            <w:tcW w:type="dxa" w:w="5800"/>
            <w:vAlign w:val="center"/>
            <w:tcMar>
              <w:top w:w="80" w:type="dxa"/>
              <w:start w:w="120" w:type="dxa"/>
              <w:bottom w:w="80" w:type="dxa"/>
              <w:end w:w="120" w:type="dxa"/>
            </w:tcMar>
          </w:tcPr>
          <w:p>
            <w:pPr>
              <w:spacing w:after="0" w:before="0"/>
            </w:pPr>
            <w:r/>
            <w:r>
              <w:rPr>
                <w:rFonts w:ascii="Calibri" w:hAnsi="Calibri"/>
                <w:b w:val="0"/>
                <w:color w:val="000000"/>
                <w:sz w:val="17"/>
              </w:rPr>
              <w:t>Core crosswalk, package files, synthetic walkthrough</w:t>
            </w:r>
          </w:p>
        </w:tc>
      </w:tr>
    </w:tbl>
    <w:p>
      <w:pPr>
        <w:spacing w:after="0"/>
      </w:pPr>
    </w:p>
    <w:p>
      <w:pPr>
        <w:pStyle w:val="Heading1"/>
      </w:pPr>
      <w:r>
        <w:t>1. Executive decision</w:t>
      </w:r>
    </w:p>
    <w:p>
      <w:r>
        <w:t>A universal connection ledger is feasible when universality is confined to the protocol boundary and the domain is expressible by the declared contract. The same lifecycle, hashes, roles, state machine, refusal posture, reservation semantics, and receipt chain can serve such domains. The domain selector cannot be universalized by assumption: every domain must declare how its actions map to effects, resources, controls, evidence, and a mapping witness.</w:t>
      </w:r>
    </w:p>
    <w:tbl>
      <w:tblPr>
        <w:tblStyle w:val="TableGrid"/>
        <w:tblW w:type="dxa" w:w="9360"/>
        <w:jc w:val="center"/>
        <w:tblLayout w:type="fixed"/>
        <w:tblLook w:firstColumn="1" w:firstRow="1" w:lastColumn="0" w:lastRow="0" w:noHBand="0" w:noVBand="1" w:val="04A0"/>
        <w:tblInd w:w="120" w:type="dxa"/>
      </w:tblPr>
      <w:tblGrid>
        <w:gridCol w:w="4380"/>
        <w:gridCol w:w="4980"/>
      </w:tblGrid>
      <w:tr>
        <w:trPr>
          <w:tblHeader w:val="true"/>
          <w:cantSplit/>
        </w:trPr>
        <w:tc>
          <w:tcPr>
            <w:tcW w:type="dxa" w:w="4380"/>
            <w:shd w:fill="F2F4F7"/>
            <w:vAlign w:val="center"/>
            <w:tcMar>
              <w:top w:w="80" w:type="dxa"/>
              <w:start w:w="120" w:type="dxa"/>
              <w:bottom w:w="80" w:type="dxa"/>
              <w:end w:w="120" w:type="dxa"/>
            </w:tcMar>
          </w:tcPr>
          <w:p>
            <w:pPr>
              <w:keepNext/>
              <w:spacing w:after="0" w:before="0"/>
            </w:pPr>
            <w:r/>
            <w:r>
              <w:rPr>
                <w:rFonts w:ascii="Calibri" w:hAnsi="Calibri"/>
                <w:b/>
                <w:color w:val="17365D"/>
                <w:sz w:val="17"/>
              </w:rPr>
              <w:t>Universal protocol layer</w:t>
            </w:r>
          </w:p>
        </w:tc>
        <w:tc>
          <w:tcPr>
            <w:tcW w:type="dxa" w:w="4980"/>
            <w:shd w:fill="F2F4F7"/>
            <w:vAlign w:val="center"/>
            <w:tcMar>
              <w:top w:w="80" w:type="dxa"/>
              <w:start w:w="120" w:type="dxa"/>
              <w:bottom w:w="80" w:type="dxa"/>
              <w:end w:w="120" w:type="dxa"/>
            </w:tcMar>
          </w:tcPr>
          <w:p>
            <w:pPr>
              <w:keepNext/>
              <w:spacing w:after="0" w:before="0"/>
            </w:pPr>
            <w:r/>
            <w:r>
              <w:rPr>
                <w:rFonts w:ascii="Calibri" w:hAnsi="Calibri"/>
                <w:b/>
                <w:color w:val="17365D"/>
                <w:sz w:val="17"/>
              </w:rPr>
              <w:t>Domain-specific obligation</w:t>
            </w:r>
          </w:p>
        </w:tc>
      </w:tr>
      <w:tr>
        <w:trPr>
          <w:cantSplit/>
        </w:trPr>
        <w:tc>
          <w:tcPr>
            <w:tcW w:type="dxa" w:w="4380"/>
            <w:vAlign w:val="center"/>
            <w:tcMar>
              <w:top w:w="80" w:type="dxa"/>
              <w:start w:w="120" w:type="dxa"/>
              <w:bottom w:w="80" w:type="dxa"/>
              <w:end w:w="120" w:type="dxa"/>
            </w:tcMar>
          </w:tcPr>
          <w:p>
            <w:pPr>
              <w:spacing w:after="0" w:before="0"/>
            </w:pPr>
            <w:r/>
            <w:r>
              <w:rPr>
                <w:rFonts w:ascii="Calibri" w:hAnsi="Calibri"/>
                <w:b w:val="0"/>
                <w:color w:val="000000"/>
                <w:sz w:val="17"/>
              </w:rPr>
              <w:t>Canonical JSON and SHA-256 bindings</w:t>
            </w:r>
          </w:p>
        </w:tc>
        <w:tc>
          <w:tcPr>
            <w:tcW w:type="dxa" w:w="4980"/>
            <w:vAlign w:val="center"/>
            <w:tcMar>
              <w:top w:w="80" w:type="dxa"/>
              <w:start w:w="120" w:type="dxa"/>
              <w:bottom w:w="80" w:type="dxa"/>
              <w:end w:w="120" w:type="dxa"/>
            </w:tcMar>
          </w:tcPr>
          <w:p>
            <w:pPr>
              <w:spacing w:after="0" w:before="0"/>
            </w:pPr>
            <w:r/>
            <w:r>
              <w:rPr>
                <w:rFonts w:ascii="Calibri" w:hAnsi="Calibri"/>
                <w:b w:val="0"/>
                <w:color w:val="000000"/>
                <w:sz w:val="17"/>
              </w:rPr>
              <w:t>Action alphabet and effect classes</w:t>
            </w:r>
          </w:p>
        </w:tc>
      </w:tr>
      <w:tr>
        <w:trPr>
          <w:cantSplit/>
        </w:trPr>
        <w:tc>
          <w:tcPr>
            <w:tcW w:type="dxa" w:w="4380"/>
            <w:vAlign w:val="center"/>
            <w:tcMar>
              <w:top w:w="80" w:type="dxa"/>
              <w:start w:w="120" w:type="dxa"/>
              <w:bottom w:w="80" w:type="dxa"/>
              <w:end w:w="120" w:type="dxa"/>
            </w:tcMar>
          </w:tcPr>
          <w:p>
            <w:pPr>
              <w:spacing w:after="0" w:before="0"/>
            </w:pPr>
            <w:r/>
            <w:r>
              <w:rPr>
                <w:rFonts w:ascii="Calibri" w:hAnsi="Calibri"/>
                <w:b w:val="0"/>
                <w:color w:val="000000"/>
                <w:sz w:val="17"/>
              </w:rPr>
              <w:t>Profile and declaration versioning</w:t>
            </w:r>
          </w:p>
        </w:tc>
        <w:tc>
          <w:tcPr>
            <w:tcW w:type="dxa" w:w="4980"/>
            <w:vAlign w:val="center"/>
            <w:tcMar>
              <w:top w:w="80" w:type="dxa"/>
              <w:start w:w="120" w:type="dxa"/>
              <w:bottom w:w="80" w:type="dxa"/>
              <w:end w:w="120" w:type="dxa"/>
            </w:tcMar>
          </w:tcPr>
          <w:p>
            <w:pPr>
              <w:spacing w:after="0" w:before="0"/>
            </w:pPr>
            <w:r/>
            <w:r>
              <w:rPr>
                <w:rFonts w:ascii="Calibri" w:hAnsi="Calibri"/>
                <w:b w:val="0"/>
                <w:color w:val="000000"/>
                <w:sz w:val="17"/>
              </w:rPr>
              <w:t>Instance scope and downstream targets</w:t>
            </w:r>
          </w:p>
        </w:tc>
      </w:tr>
      <w:tr>
        <w:trPr>
          <w:cantSplit/>
        </w:trPr>
        <w:tc>
          <w:tcPr>
            <w:tcW w:type="dxa" w:w="4380"/>
            <w:vAlign w:val="center"/>
            <w:tcMar>
              <w:top w:w="80" w:type="dxa"/>
              <w:start w:w="120" w:type="dxa"/>
              <w:bottom w:w="80" w:type="dxa"/>
              <w:end w:w="120" w:type="dxa"/>
            </w:tcMar>
          </w:tcPr>
          <w:p>
            <w:pPr>
              <w:spacing w:after="0" w:before="0"/>
            </w:pPr>
            <w:r/>
            <w:r>
              <w:rPr>
                <w:rFonts w:ascii="Calibri" w:hAnsi="Calibri"/>
                <w:b w:val="0"/>
                <w:color w:val="000000"/>
                <w:sz w:val="17"/>
              </w:rPr>
              <w:t>Authority, revocation, and role scopes</w:t>
            </w:r>
          </w:p>
        </w:tc>
        <w:tc>
          <w:tcPr>
            <w:tcW w:type="dxa" w:w="4980"/>
            <w:vAlign w:val="center"/>
            <w:tcMar>
              <w:top w:w="80" w:type="dxa"/>
              <w:start w:w="120" w:type="dxa"/>
              <w:bottom w:w="80" w:type="dxa"/>
              <w:end w:w="120" w:type="dxa"/>
            </w:tcMar>
          </w:tcPr>
          <w:p>
            <w:pPr>
              <w:spacing w:after="0" w:before="0"/>
            </w:pPr>
            <w:r/>
            <w:r>
              <w:rPr>
                <w:rFonts w:ascii="Calibri" w:hAnsi="Calibri"/>
                <w:b w:val="0"/>
                <w:color w:val="000000"/>
                <w:sz w:val="17"/>
              </w:rPr>
              <w:t>Prerequisites, hard blocks, and review flags</w:t>
            </w:r>
          </w:p>
        </w:tc>
      </w:tr>
      <w:tr>
        <w:trPr>
          <w:cantSplit/>
        </w:trPr>
        <w:tc>
          <w:tcPr>
            <w:tcW w:type="dxa" w:w="4380"/>
            <w:vAlign w:val="center"/>
            <w:tcMar>
              <w:top w:w="80" w:type="dxa"/>
              <w:start w:w="120" w:type="dxa"/>
              <w:bottom w:w="80" w:type="dxa"/>
              <w:end w:w="120" w:type="dxa"/>
            </w:tcMar>
          </w:tcPr>
          <w:p>
            <w:pPr>
              <w:spacing w:after="0" w:before="0"/>
            </w:pPr>
            <w:r/>
            <w:r>
              <w:rPr>
                <w:rFonts w:ascii="Calibri" w:hAnsi="Calibri"/>
                <w:b w:val="0"/>
                <w:color w:val="000000"/>
                <w:sz w:val="17"/>
              </w:rPr>
              <w:t>Binary gate and non-executable dispositions</w:t>
            </w:r>
          </w:p>
        </w:tc>
        <w:tc>
          <w:tcPr>
            <w:tcW w:type="dxa" w:w="4980"/>
            <w:vAlign w:val="center"/>
            <w:tcMar>
              <w:top w:w="80" w:type="dxa"/>
              <w:start w:w="120" w:type="dxa"/>
              <w:bottom w:w="80" w:type="dxa"/>
              <w:end w:w="120" w:type="dxa"/>
            </w:tcMar>
          </w:tcPr>
          <w:p>
            <w:pPr>
              <w:spacing w:after="0" w:before="0"/>
            </w:pPr>
            <w:r/>
            <w:r>
              <w:rPr>
                <w:rFonts w:ascii="Calibri" w:hAnsi="Calibri"/>
                <w:b w:val="0"/>
                <w:color w:val="000000"/>
                <w:sz w:val="17"/>
              </w:rPr>
              <w:t>Resource limits and trusted evidence</w:t>
            </w:r>
          </w:p>
        </w:tc>
      </w:tr>
      <w:tr>
        <w:trPr>
          <w:cantSplit/>
        </w:trPr>
        <w:tc>
          <w:tcPr>
            <w:tcW w:type="dxa" w:w="4380"/>
            <w:vAlign w:val="center"/>
            <w:tcMar>
              <w:top w:w="80" w:type="dxa"/>
              <w:start w:w="120" w:type="dxa"/>
              <w:bottom w:w="80" w:type="dxa"/>
              <w:end w:w="120" w:type="dxa"/>
            </w:tcMar>
          </w:tcPr>
          <w:p>
            <w:pPr>
              <w:spacing w:after="0" w:before="0"/>
            </w:pPr>
            <w:r/>
            <w:r>
              <w:rPr>
                <w:rFonts w:ascii="Calibri" w:hAnsi="Calibri"/>
                <w:b w:val="0"/>
                <w:color w:val="000000"/>
                <w:sz w:val="17"/>
              </w:rPr>
              <w:t>Reservation and exactly-once permit consumption</w:t>
            </w:r>
          </w:p>
        </w:tc>
        <w:tc>
          <w:tcPr>
            <w:tcW w:type="dxa" w:w="4980"/>
            <w:vAlign w:val="center"/>
            <w:tcMar>
              <w:top w:w="80" w:type="dxa"/>
              <w:start w:w="120" w:type="dxa"/>
              <w:bottom w:w="80" w:type="dxa"/>
              <w:end w:w="120" w:type="dxa"/>
            </w:tcMar>
          </w:tcPr>
          <w:p>
            <w:pPr>
              <w:spacing w:after="0" w:before="0"/>
            </w:pPr>
            <w:r/>
            <w:r>
              <w:rPr>
                <w:rFonts w:ascii="Calibri" w:hAnsi="Calibri"/>
                <w:b w:val="0"/>
                <w:color w:val="000000"/>
                <w:sz w:val="17"/>
              </w:rPr>
              <w:t>Mapping witness and approval evidence</w:t>
            </w:r>
          </w:p>
        </w:tc>
      </w:tr>
      <w:tr>
        <w:trPr>
          <w:cantSplit/>
        </w:trPr>
        <w:tc>
          <w:tcPr>
            <w:tcW w:type="dxa" w:w="4380"/>
            <w:vAlign w:val="center"/>
            <w:tcMar>
              <w:top w:w="80" w:type="dxa"/>
              <w:start w:w="120" w:type="dxa"/>
              <w:bottom w:w="80" w:type="dxa"/>
              <w:end w:w="120" w:type="dxa"/>
            </w:tcMar>
          </w:tcPr>
          <w:p>
            <w:pPr>
              <w:spacing w:after="0" w:before="0"/>
            </w:pPr>
            <w:r/>
            <w:r>
              <w:rPr>
                <w:rFonts w:ascii="Calibri" w:hAnsi="Calibri"/>
                <w:b w:val="0"/>
                <w:color w:val="000000"/>
                <w:sz w:val="17"/>
              </w:rPr>
              <w:t>Append-only local ledger and receipt roots</w:t>
            </w:r>
          </w:p>
        </w:tc>
        <w:tc>
          <w:tcPr>
            <w:tcW w:type="dxa" w:w="4980"/>
            <w:vAlign w:val="center"/>
            <w:tcMar>
              <w:top w:w="80" w:type="dxa"/>
              <w:start w:w="120" w:type="dxa"/>
              <w:bottom w:w="80" w:type="dxa"/>
              <w:end w:w="120" w:type="dxa"/>
            </w:tcMar>
          </w:tcPr>
          <w:p>
            <w:pPr>
              <w:spacing w:after="0" w:before="0"/>
            </w:pPr>
            <w:r/>
            <w:r>
              <w:rPr>
                <w:rFonts w:ascii="Calibri" w:hAnsi="Calibri"/>
                <w:b w:val="0"/>
                <w:color w:val="000000"/>
                <w:sz w:val="17"/>
              </w:rPr>
              <w:t>Production identity, atomicity, and retention</w:t>
            </w:r>
          </w:p>
        </w:tc>
      </w:tr>
    </w:tbl>
    <w:p>
      <w:pPr>
        <w:spacing w:after="0"/>
      </w:pPr>
    </w:p>
    <w:tbl>
      <w:tblPr>
        <w:tblW w:type="dxa" w:w="9360"/>
        <w:jc w:val="center"/>
        <w:tblLayout w:type="fixed"/>
        <w:tblLook w:firstColumn="1" w:firstRow="1" w:lastColumn="0" w:lastRow="0" w:noHBand="0" w:noVBand="1" w:val="04A0"/>
        <w:tblInd w:w="180" w:type="dxa"/>
      </w:tblPr>
      <w:tblGrid>
        <w:gridCol w:w="9360"/>
      </w:tblGrid>
      <w:tr>
        <w:tc>
          <w:tcPr>
            <w:tcW w:type="dxa" w:w="9360"/>
            <w:shd w:fill="EEF4FA"/>
            <w:tcMar>
              <w:top w:w="140" w:type="dxa"/>
              <w:start w:w="180" w:type="dxa"/>
              <w:bottom w:w="140" w:type="dxa"/>
              <w:end w:w="180" w:type="dxa"/>
            </w:tcMar>
          </w:tcPr>
          <w:p>
            <w:pPr>
              <w:spacing w:before="60" w:after="60"/>
            </w:pPr>
            <w:r/>
            <w:r>
              <w:rPr>
                <w:rFonts w:ascii="Calibri" w:hAnsi="Calibri"/>
                <w:b/>
                <w:color w:val="17365D"/>
                <w:sz w:val="20"/>
              </w:rPr>
              <w:t xml:space="preserve">RULE  </w:t>
            </w:r>
            <w:r>
              <w:rPr>
                <w:rFonts w:ascii="Calibri" w:hAnsi="Calibri"/>
                <w:sz w:val="20"/>
              </w:rPr>
              <w:t>Connection similarity never creates admissibility. A new profile must carry its own mapping witness even when it reuses the same API or adapter.</w:t>
            </w:r>
          </w:p>
        </w:tc>
      </w:tr>
    </w:tbl>
    <w:p>
      <w:pPr>
        <w:spacing w:after="0"/>
      </w:pPr>
    </w:p>
    <w:p>
      <w:pPr>
        <w:pStyle w:val="Heading2"/>
      </w:pPr>
      <w:r>
        <w:t>1.1 What this package is</w:t>
      </w:r>
    </w:p>
    <w:p>
      <w:pPr>
        <w:pStyle w:val="ListBullet"/>
      </w:pPr>
      <w:r>
        <w:t>a domain-neutral connection contract;</w:t>
      </w:r>
    </w:p>
    <w:p>
      <w:pPr>
        <w:pStyle w:val="ListBullet"/>
      </w:pPr>
      <w:r>
        <w:t>a strict schema envelope for profile, declaration, and runtime messages;</w:t>
      </w:r>
    </w:p>
    <w:p>
      <w:pPr>
        <w:pStyle w:val="ListBullet"/>
      </w:pPr>
      <w:r>
        <w:t>a reference state machine implementing fail-closed behavior;</w:t>
      </w:r>
    </w:p>
    <w:p>
      <w:pPr>
        <w:pStyle w:val="ListBullet"/>
      </w:pPr>
      <w:r>
        <w:t>banking, document-release, and OTCS registry profiles sharing one admission and receipt contract;</w:t>
      </w:r>
    </w:p>
    <w:p>
      <w:pPr>
        <w:pStyle w:val="ListBullet"/>
      </w:pPr>
      <w:r>
        <w:t>a local verification set for positive, contradictory, and deliberately broken cases.</w:t>
      </w:r>
    </w:p>
    <w:p>
      <w:pPr>
        <w:pStyle w:val="Heading2"/>
      </w:pPr>
      <w:r>
        <w:t>1.2 What this package is not</w:t>
      </w:r>
    </w:p>
    <w:p>
      <w:pPr>
        <w:pStyle w:val="ListBullet"/>
      </w:pPr>
      <w:r>
        <w:t>a payment rail, core-banking system, policy engine, or legal approval;</w:t>
      </w:r>
    </w:p>
    <w:p>
      <w:pPr>
        <w:pStyle w:val="ListBullet"/>
      </w:pPr>
      <w:r>
        <w:t>an automatic proof that a concrete deployment belongs to an NC2.5 class;</w:t>
      </w:r>
    </w:p>
    <w:p>
      <w:pPr>
        <w:pStyle w:val="ListBullet"/>
      </w:pPr>
      <w:r>
        <w:t>a central store for raw intent, evidence, personal data, or gate internals;</w:t>
      </w:r>
    </w:p>
    <w:p>
      <w:pPr>
        <w:pStyle w:val="ListBullet"/>
      </w:pPr>
      <w:r>
        <w:t>a production identity, cryptographic key, time, or transactional system.</w:t>
      </w:r>
    </w:p>
    <w:p>
      <w:pPr>
        <w:pStyle w:val="Heading1"/>
      </w:pPr>
      <w:r>
        <w:t>2. Relationship to NC2.5</w:t>
      </w:r>
    </w:p>
    <w:p>
      <w:r>
        <w:t>The package is anchored to one read-only NC2.5 v3.0 source file. The source hash is repeated in the profile, declaration, source manifest, and crosswalk. The package translates declared interface and separation constraints into an engineering contract; it does not modify the core or turn conditional structural results into deployment guarantees.</w:t>
      </w:r>
    </w:p>
    <w:tbl>
      <w:tblPr>
        <w:tblStyle w:val="TableGrid"/>
        <w:tblW w:type="dxa" w:w="9360"/>
        <w:jc w:val="center"/>
        <w:tblLayout w:type="fixed"/>
        <w:tblLook w:firstColumn="1" w:firstRow="1" w:lastColumn="0" w:lastRow="0" w:noHBand="0" w:noVBand="1" w:val="04A0"/>
        <w:tblInd w:w="120" w:type="dxa"/>
      </w:tblPr>
      <w:tblGrid>
        <w:gridCol w:w="2300"/>
        <w:gridCol w:w="7060"/>
      </w:tblGrid>
      <w:tr>
        <w:trPr>
          <w:tblHeader w:val="true"/>
          <w:cantSplit/>
        </w:trPr>
        <w:tc>
          <w:tcPr>
            <w:tcW w:type="dxa" w:w="2300"/>
            <w:shd w:fill="F2F4F7"/>
            <w:vAlign w:val="center"/>
            <w:tcMar>
              <w:top w:w="80" w:type="dxa"/>
              <w:start w:w="120" w:type="dxa"/>
              <w:bottom w:w="80" w:type="dxa"/>
              <w:end w:w="120" w:type="dxa"/>
            </w:tcMar>
          </w:tcPr>
          <w:p>
            <w:pPr>
              <w:keepNext/>
              <w:spacing w:after="0" w:before="0"/>
            </w:pPr>
            <w:r/>
            <w:r>
              <w:rPr>
                <w:rFonts w:ascii="Calibri" w:hAnsi="Calibri"/>
                <w:b/>
                <w:color w:val="17365D"/>
                <w:sz w:val="17"/>
              </w:rPr>
              <w:t>Anchor</w:t>
            </w:r>
          </w:p>
        </w:tc>
        <w:tc>
          <w:tcPr>
            <w:tcW w:type="dxa" w:w="7060"/>
            <w:shd w:fill="F2F4F7"/>
            <w:vAlign w:val="center"/>
            <w:tcMar>
              <w:top w:w="80" w:type="dxa"/>
              <w:start w:w="120" w:type="dxa"/>
              <w:bottom w:w="80" w:type="dxa"/>
              <w:end w:w="120" w:type="dxa"/>
            </w:tcMar>
          </w:tcPr>
          <w:p>
            <w:pPr>
              <w:keepNext/>
              <w:spacing w:after="0" w:before="0"/>
            </w:pPr>
            <w:r/>
            <w:r>
              <w:rPr>
                <w:rFonts w:ascii="Calibri" w:hAnsi="Calibri"/>
                <w:b/>
                <w:color w:val="17365D"/>
                <w:sz w:val="17"/>
              </w:rPr>
              <w:t>Value</w:t>
            </w:r>
          </w:p>
        </w:tc>
      </w:tr>
      <w:tr>
        <w:trPr>
          <w:cantSplit/>
        </w:trPr>
        <w:tc>
          <w:tcPr>
            <w:tcW w:type="dxa" w:w="2300"/>
            <w:vAlign w:val="center"/>
            <w:tcMar>
              <w:top w:w="80" w:type="dxa"/>
              <w:start w:w="120" w:type="dxa"/>
              <w:bottom w:w="80" w:type="dxa"/>
              <w:end w:w="120" w:type="dxa"/>
            </w:tcMar>
          </w:tcPr>
          <w:p>
            <w:pPr>
              <w:spacing w:after="0" w:before="0"/>
            </w:pPr>
            <w:r/>
            <w:r>
              <w:rPr>
                <w:rFonts w:ascii="Calibri" w:hAnsi="Calibri"/>
                <w:b w:val="0"/>
                <w:color w:val="000000"/>
                <w:sz w:val="17"/>
              </w:rPr>
              <w:t>File</w:t>
            </w:r>
          </w:p>
        </w:tc>
        <w:tc>
          <w:tcPr>
            <w:tcW w:type="dxa" w:w="7060"/>
            <w:vAlign w:val="center"/>
            <w:tcMar>
              <w:top w:w="80" w:type="dxa"/>
              <w:start w:w="120" w:type="dxa"/>
              <w:bottom w:w="80" w:type="dxa"/>
              <w:end w:w="120" w:type="dxa"/>
            </w:tcMar>
          </w:tcPr>
          <w:p>
            <w:pPr>
              <w:spacing w:after="0" w:before="0"/>
            </w:pPr>
            <w:r/>
            <w:r>
              <w:rPr>
                <w:rFonts w:ascii="Calibri" w:hAnsi="Calibri"/>
                <w:b w:val="0"/>
                <w:color w:val="000000"/>
                <w:sz w:val="17"/>
              </w:rPr>
              <w:t>NC25_v3_0_patched_v4.tex</w:t>
            </w:r>
          </w:p>
        </w:tc>
      </w:tr>
      <w:tr>
        <w:trPr>
          <w:cantSplit/>
        </w:trPr>
        <w:tc>
          <w:tcPr>
            <w:tcW w:type="dxa" w:w="2300"/>
            <w:vAlign w:val="center"/>
            <w:tcMar>
              <w:top w:w="80" w:type="dxa"/>
              <w:start w:w="120" w:type="dxa"/>
              <w:bottom w:w="80" w:type="dxa"/>
              <w:end w:w="120" w:type="dxa"/>
            </w:tcMar>
          </w:tcPr>
          <w:p>
            <w:pPr>
              <w:spacing w:after="0" w:before="0"/>
            </w:pPr>
            <w:r/>
            <w:r>
              <w:rPr>
                <w:rFonts w:ascii="Calibri" w:hAnsi="Calibri"/>
                <w:b w:val="0"/>
                <w:color w:val="000000"/>
                <w:sz w:val="17"/>
              </w:rPr>
              <w:t>Version</w:t>
            </w:r>
          </w:p>
        </w:tc>
        <w:tc>
          <w:tcPr>
            <w:tcW w:type="dxa" w:w="7060"/>
            <w:vAlign w:val="center"/>
            <w:tcMar>
              <w:top w:w="80" w:type="dxa"/>
              <w:start w:w="120" w:type="dxa"/>
              <w:bottom w:w="80" w:type="dxa"/>
              <w:end w:w="120" w:type="dxa"/>
            </w:tcMar>
          </w:tcPr>
          <w:p>
            <w:pPr>
              <w:spacing w:after="0" w:before="0"/>
            </w:pPr>
            <w:r/>
            <w:r>
              <w:rPr>
                <w:rFonts w:ascii="Calibri" w:hAnsi="Calibri"/>
                <w:b w:val="0"/>
                <w:color w:val="000000"/>
                <w:sz w:val="17"/>
              </w:rPr>
              <w:t>3.0</w:t>
            </w:r>
          </w:p>
        </w:tc>
      </w:tr>
      <w:tr>
        <w:trPr>
          <w:cantSplit/>
        </w:trPr>
        <w:tc>
          <w:tcPr>
            <w:tcW w:type="dxa" w:w="2300"/>
            <w:vAlign w:val="center"/>
            <w:tcMar>
              <w:top w:w="80" w:type="dxa"/>
              <w:start w:w="120" w:type="dxa"/>
              <w:bottom w:w="80" w:type="dxa"/>
              <w:end w:w="120" w:type="dxa"/>
            </w:tcMar>
          </w:tcPr>
          <w:p>
            <w:pPr>
              <w:spacing w:after="0" w:before="0"/>
            </w:pPr>
            <w:r/>
            <w:r>
              <w:rPr>
                <w:rFonts w:ascii="Calibri" w:hAnsi="Calibri"/>
                <w:b w:val="0"/>
                <w:color w:val="000000"/>
                <w:sz w:val="17"/>
              </w:rPr>
              <w:t>DOI</w:t>
            </w:r>
          </w:p>
        </w:tc>
        <w:tc>
          <w:tcPr>
            <w:tcW w:type="dxa" w:w="7060"/>
            <w:vAlign w:val="center"/>
            <w:tcMar>
              <w:top w:w="80" w:type="dxa"/>
              <w:start w:w="120" w:type="dxa"/>
              <w:bottom w:w="80" w:type="dxa"/>
              <w:end w:w="120" w:type="dxa"/>
            </w:tcMar>
          </w:tcPr>
          <w:p>
            <w:pPr>
              <w:spacing w:after="0" w:before="0"/>
            </w:pPr>
            <w:r/>
            <w:r>
              <w:rPr>
                <w:rFonts w:ascii="Calibri" w:hAnsi="Calibri"/>
                <w:b w:val="0"/>
                <w:color w:val="000000"/>
                <w:sz w:val="17"/>
              </w:rPr>
              <w:t>10.17605/OSF.IO/NHTC5</w:t>
            </w:r>
          </w:p>
        </w:tc>
      </w:tr>
      <w:tr>
        <w:trPr>
          <w:cantSplit/>
        </w:trPr>
        <w:tc>
          <w:tcPr>
            <w:tcW w:type="dxa" w:w="2300"/>
            <w:vAlign w:val="center"/>
            <w:tcMar>
              <w:top w:w="80" w:type="dxa"/>
              <w:start w:w="120" w:type="dxa"/>
              <w:bottom w:w="80" w:type="dxa"/>
              <w:end w:w="120" w:type="dxa"/>
            </w:tcMar>
          </w:tcPr>
          <w:p>
            <w:pPr>
              <w:spacing w:after="0" w:before="0"/>
            </w:pPr>
            <w:r/>
            <w:r>
              <w:rPr>
                <w:rFonts w:ascii="Calibri" w:hAnsi="Calibri"/>
                <w:b w:val="0"/>
                <w:color w:val="000000"/>
                <w:sz w:val="17"/>
              </w:rPr>
              <w:t>SHA-256</w:t>
            </w:r>
          </w:p>
        </w:tc>
        <w:tc>
          <w:tcPr>
            <w:tcW w:type="dxa" w:w="7060"/>
            <w:vAlign w:val="center"/>
            <w:tcMar>
              <w:top w:w="80" w:type="dxa"/>
              <w:start w:w="120" w:type="dxa"/>
              <w:bottom w:w="80" w:type="dxa"/>
              <w:end w:w="120" w:type="dxa"/>
            </w:tcMar>
          </w:tcPr>
          <w:p>
            <w:pPr>
              <w:spacing w:after="0" w:before="0"/>
            </w:pPr>
            <w:r/>
            <w:r>
              <w:rPr>
                <w:rFonts w:ascii="Calibri" w:hAnsi="Calibri"/>
                <w:b w:val="0"/>
                <w:color w:val="000000"/>
                <w:sz w:val="17"/>
              </w:rPr>
              <w:t>20F1EA17E0B986627CAD9AFA7C02E1DC5088C43A779435E5A38F11E43A06C9C3</w:t>
            </w:r>
          </w:p>
        </w:tc>
      </w:tr>
      <w:tr>
        <w:trPr>
          <w:cantSplit/>
        </w:trPr>
        <w:tc>
          <w:tcPr>
            <w:tcW w:type="dxa" w:w="2300"/>
            <w:vAlign w:val="center"/>
            <w:tcMar>
              <w:top w:w="80" w:type="dxa"/>
              <w:start w:w="120" w:type="dxa"/>
              <w:bottom w:w="80" w:type="dxa"/>
              <w:end w:w="120" w:type="dxa"/>
            </w:tcMar>
          </w:tcPr>
          <w:p>
            <w:pPr>
              <w:spacing w:after="0" w:before="0"/>
            </w:pPr>
            <w:r/>
            <w:r>
              <w:rPr>
                <w:rFonts w:ascii="Calibri" w:hAnsi="Calibri"/>
                <w:b w:val="0"/>
                <w:color w:val="000000"/>
                <w:sz w:val="17"/>
              </w:rPr>
              <w:t>Bytes / lines</w:t>
            </w:r>
          </w:p>
        </w:tc>
        <w:tc>
          <w:tcPr>
            <w:tcW w:type="dxa" w:w="7060"/>
            <w:vAlign w:val="center"/>
            <w:tcMar>
              <w:top w:w="80" w:type="dxa"/>
              <w:start w:w="120" w:type="dxa"/>
              <w:bottom w:w="80" w:type="dxa"/>
              <w:end w:w="120" w:type="dxa"/>
            </w:tcMar>
          </w:tcPr>
          <w:p>
            <w:pPr>
              <w:spacing w:after="0" w:before="0"/>
            </w:pPr>
            <w:r/>
            <w:r>
              <w:rPr>
                <w:rFonts w:ascii="Calibri" w:hAnsi="Calibri"/>
                <w:b w:val="0"/>
                <w:color w:val="000000"/>
                <w:sz w:val="17"/>
              </w:rPr>
              <w:t>1,414,184 bytes / 14,228 lines</w:t>
            </w:r>
          </w:p>
        </w:tc>
      </w:tr>
      <w:tr>
        <w:trPr>
          <w:cantSplit/>
        </w:trPr>
        <w:tc>
          <w:tcPr>
            <w:tcW w:type="dxa" w:w="2300"/>
            <w:vAlign w:val="center"/>
            <w:tcMar>
              <w:top w:w="80" w:type="dxa"/>
              <w:start w:w="120" w:type="dxa"/>
              <w:bottom w:w="80" w:type="dxa"/>
              <w:end w:w="120" w:type="dxa"/>
            </w:tcMar>
          </w:tcPr>
          <w:p>
            <w:pPr>
              <w:spacing w:after="0" w:before="0"/>
            </w:pPr>
            <w:r/>
            <w:r>
              <w:rPr>
                <w:rFonts w:ascii="Calibri" w:hAnsi="Calibri"/>
                <w:b w:val="0"/>
                <w:color w:val="000000"/>
                <w:sz w:val="17"/>
              </w:rPr>
              <w:t>Package posture</w:t>
            </w:r>
          </w:p>
        </w:tc>
        <w:tc>
          <w:tcPr>
            <w:tcW w:type="dxa" w:w="7060"/>
            <w:vAlign w:val="center"/>
            <w:tcMar>
              <w:top w:w="80" w:type="dxa"/>
              <w:start w:w="120" w:type="dxa"/>
              <w:bottom w:w="80" w:type="dxa"/>
              <w:end w:w="120" w:type="dxa"/>
            </w:tcMar>
          </w:tcPr>
          <w:p>
            <w:pPr>
              <w:spacing w:after="0" w:before="0"/>
            </w:pPr>
            <w:r/>
            <w:r>
              <w:rPr>
                <w:rFonts w:ascii="Calibri" w:hAnsi="Calibri"/>
                <w:b w:val="0"/>
                <w:color w:val="000000"/>
                <w:sz w:val="17"/>
              </w:rPr>
              <w:t>Read-only input; no source modification</w:t>
            </w:r>
          </w:p>
        </w:tc>
      </w:tr>
    </w:tbl>
    <w:p>
      <w:pPr>
        <w:spacing w:after="0"/>
      </w:pPr>
    </w:p>
    <w:p>
      <w:pPr>
        <w:pStyle w:val="Heading2"/>
      </w:pPr>
      <w:r>
        <w:t>2.1 Load-bearing translations</w:t>
      </w:r>
    </w:p>
    <w:tbl>
      <w:tblPr>
        <w:tblStyle w:val="TableGrid"/>
        <w:tblW w:type="dxa" w:w="9360"/>
        <w:jc w:val="center"/>
        <w:tblLayout w:type="fixed"/>
        <w:tblLook w:firstColumn="1" w:firstRow="1" w:lastColumn="0" w:lastRow="0" w:noHBand="0" w:noVBand="1" w:val="04A0"/>
        <w:tblInd w:w="120" w:type="dxa"/>
      </w:tblPr>
      <w:tblGrid>
        <w:gridCol w:w="2100"/>
        <w:gridCol w:w="1700"/>
        <w:gridCol w:w="5560"/>
      </w:tblGrid>
      <w:tr>
        <w:trPr>
          <w:tblHeader w:val="true"/>
          <w:cantSplit/>
        </w:trPr>
        <w:tc>
          <w:tcPr>
            <w:tcW w:type="dxa" w:w="2100"/>
            <w:shd w:fill="F2F4F7"/>
            <w:vAlign w:val="center"/>
            <w:tcMar>
              <w:top w:w="80" w:type="dxa"/>
              <w:start w:w="120" w:type="dxa"/>
              <w:bottom w:w="80" w:type="dxa"/>
              <w:end w:w="120" w:type="dxa"/>
            </w:tcMar>
          </w:tcPr>
          <w:p>
            <w:pPr>
              <w:keepNext/>
              <w:spacing w:after="0" w:before="0"/>
            </w:pPr>
            <w:r/>
            <w:r>
              <w:rPr>
                <w:rFonts w:ascii="Calibri" w:hAnsi="Calibri"/>
                <w:b/>
                <w:color w:val="17365D"/>
                <w:sz w:val="16"/>
              </w:rPr>
              <w:t>Core anchor</w:t>
            </w:r>
          </w:p>
        </w:tc>
        <w:tc>
          <w:tcPr>
            <w:tcW w:type="dxa" w:w="1700"/>
            <w:shd w:fill="F2F4F7"/>
            <w:vAlign w:val="center"/>
            <w:tcMar>
              <w:top w:w="80" w:type="dxa"/>
              <w:start w:w="120" w:type="dxa"/>
              <w:bottom w:w="80" w:type="dxa"/>
              <w:end w:w="120" w:type="dxa"/>
            </w:tcMar>
          </w:tcPr>
          <w:p>
            <w:pPr>
              <w:keepNext/>
              <w:spacing w:after="0" w:before="0"/>
            </w:pPr>
            <w:r/>
            <w:r>
              <w:rPr>
                <w:rFonts w:ascii="Calibri" w:hAnsi="Calibri"/>
                <w:b/>
                <w:color w:val="17365D"/>
                <w:sz w:val="16"/>
              </w:rPr>
              <w:t>Lines</w:t>
            </w:r>
          </w:p>
        </w:tc>
        <w:tc>
          <w:tcPr>
            <w:tcW w:type="dxa" w:w="5560"/>
            <w:shd w:fill="F2F4F7"/>
            <w:vAlign w:val="center"/>
            <w:tcMar>
              <w:top w:w="80" w:type="dxa"/>
              <w:start w:w="120" w:type="dxa"/>
              <w:bottom w:w="80" w:type="dxa"/>
              <w:end w:w="120" w:type="dxa"/>
            </w:tcMar>
          </w:tcPr>
          <w:p>
            <w:pPr>
              <w:keepNext/>
              <w:spacing w:after="0" w:before="0"/>
            </w:pPr>
            <w:r/>
            <w:r>
              <w:rPr>
                <w:rFonts w:ascii="Calibri" w:hAnsi="Calibri"/>
                <w:b/>
                <w:color w:val="17365D"/>
                <w:sz w:val="16"/>
              </w:rPr>
              <w:t>Engineering consequence</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CORE-DECLARATION</w:t>
            </w:r>
          </w:p>
        </w:tc>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313-326</w:t>
            </w:r>
          </w:p>
        </w:tc>
        <w:tc>
          <w:tcPr>
            <w:tcW w:type="dxa" w:w="5560"/>
            <w:vAlign w:val="center"/>
            <w:tcMar>
              <w:top w:w="80" w:type="dxa"/>
              <w:start w:w="120" w:type="dxa"/>
              <w:bottom w:w="80" w:type="dxa"/>
              <w:end w:w="120" w:type="dxa"/>
            </w:tcMar>
          </w:tcPr>
          <w:p>
            <w:pPr>
              <w:spacing w:after="0" w:before="0"/>
            </w:pPr>
            <w:r/>
            <w:r>
              <w:rPr>
                <w:rFonts w:ascii="Calibri" w:hAnsi="Calibri"/>
                <w:b w:val="0"/>
                <w:color w:val="000000"/>
                <w:sz w:val="16"/>
              </w:rPr>
              <w:t>Complete, sealed, versioned profile and connection declaration.</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CORE-NON-ACTIONABILITY</w:t>
            </w:r>
          </w:p>
        </w:tc>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337-351</w:t>
            </w:r>
          </w:p>
        </w:tc>
        <w:tc>
          <w:tcPr>
            <w:tcW w:type="dxa" w:w="5560"/>
            <w:vAlign w:val="center"/>
            <w:tcMar>
              <w:top w:w="80" w:type="dxa"/>
              <w:start w:w="120" w:type="dxa"/>
              <w:bottom w:w="80" w:type="dxa"/>
              <w:end w:w="120" w:type="dxa"/>
            </w:tcMar>
          </w:tcPr>
          <w:p>
            <w:pPr>
              <w:spacing w:after="0" w:before="0"/>
            </w:pPr>
            <w:r/>
            <w:r>
              <w:rPr>
                <w:rFonts w:ascii="Calibri" w:hAnsi="Calibri"/>
                <w:b w:val="0"/>
                <w:color w:val="000000"/>
                <w:sz w:val="16"/>
              </w:rPr>
              <w:t>Exclusion-only gate and minimal operator projection.</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A29-A33-GATE</w:t>
            </w:r>
          </w:p>
        </w:tc>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1186-1284</w:t>
            </w:r>
          </w:p>
        </w:tc>
        <w:tc>
          <w:tcPr>
            <w:tcW w:type="dxa" w:w="5560"/>
            <w:vAlign w:val="center"/>
            <w:tcMar>
              <w:top w:w="80" w:type="dxa"/>
              <w:start w:w="120" w:type="dxa"/>
              <w:bottom w:w="80" w:type="dxa"/>
              <w:end w:w="120" w:type="dxa"/>
            </w:tcMar>
          </w:tcPr>
          <w:p>
            <w:pPr>
              <w:spacing w:after="0" w:before="0"/>
            </w:pPr>
            <w:r/>
            <w:r>
              <w:rPr>
                <w:rFonts w:ascii="Calibri" w:hAnsi="Calibri"/>
                <w:b w:val="0"/>
                <w:color w:val="000000"/>
                <w:sz w:val="16"/>
              </w:rPr>
              <w:t>Authority before evaluation, zero executability for refusal, declared safe fallback.</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A64-A66-SEPARATION</w:t>
            </w:r>
          </w:p>
        </w:tc>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10334-10387</w:t>
            </w:r>
          </w:p>
        </w:tc>
        <w:tc>
          <w:tcPr>
            <w:tcW w:type="dxa" w:w="5560"/>
            <w:vAlign w:val="center"/>
            <w:tcMar>
              <w:top w:w="80" w:type="dxa"/>
              <w:start w:w="120" w:type="dxa"/>
              <w:bottom w:w="80" w:type="dxa"/>
              <w:end w:w="120" w:type="dxa"/>
            </w:tcMar>
          </w:tcPr>
          <w:p>
            <w:pPr>
              <w:spacing w:after="0" w:before="0"/>
            </w:pPr>
            <w:r/>
            <w:r>
              <w:rPr>
                <w:rFonts w:ascii="Calibri" w:hAnsi="Calibri"/>
                <w:b w:val="0"/>
                <w:color w:val="000000"/>
                <w:sz w:val="16"/>
              </w:rPr>
              <w:t>Read-only profile and gate, validated debit, role-restricted trace.</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T67-HALT</w:t>
            </w:r>
          </w:p>
        </w:tc>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7057-7148</w:t>
            </w:r>
          </w:p>
        </w:tc>
        <w:tc>
          <w:tcPr>
            <w:tcW w:type="dxa" w:w="5560"/>
            <w:vAlign w:val="center"/>
            <w:tcMar>
              <w:top w:w="80" w:type="dxa"/>
              <w:start w:w="120" w:type="dxa"/>
              <w:bottom w:w="80" w:type="dxa"/>
              <w:end w:w="120" w:type="dxa"/>
            </w:tcMar>
          </w:tcPr>
          <w:p>
            <w:pPr>
              <w:spacing w:after="0" w:before="0"/>
            </w:pPr>
            <w:r/>
            <w:r>
              <w:rPr>
                <w:rFonts w:ascii="Calibri" w:hAnsi="Calibri"/>
                <w:b w:val="0"/>
                <w:color w:val="000000"/>
                <w:sz w:val="16"/>
              </w:rPr>
              <w:t>Commit guard with halt authority and append-only local state.</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T98-FRAMEWORK-CORE</w:t>
            </w:r>
          </w:p>
        </w:tc>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12252-12458</w:t>
            </w:r>
          </w:p>
        </w:tc>
        <w:tc>
          <w:tcPr>
            <w:tcW w:type="dxa" w:w="5560"/>
            <w:vAlign w:val="center"/>
            <w:tcMar>
              <w:top w:w="80" w:type="dxa"/>
              <w:start w:w="120" w:type="dxa"/>
              <w:bottom w:w="80" w:type="dxa"/>
              <w:end w:w="120" w:type="dxa"/>
            </w:tcMar>
          </w:tcPr>
          <w:p>
            <w:pPr>
              <w:spacing w:after="0" w:before="0"/>
            </w:pPr>
            <w:r/>
            <w:r>
              <w:rPr>
                <w:rFonts w:ascii="Calibri" w:hAnsi="Calibri"/>
                <w:b w:val="0"/>
                <w:color w:val="000000"/>
                <w:sz w:val="16"/>
              </w:rPr>
              <w:t>Independent determination and non-accumulating realization layers.</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T107-T108-TRANSFER</w:t>
            </w:r>
          </w:p>
        </w:tc>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12995-13065</w:t>
            </w:r>
          </w:p>
        </w:tc>
        <w:tc>
          <w:tcPr>
            <w:tcW w:type="dxa" w:w="5560"/>
            <w:vAlign w:val="center"/>
            <w:tcMar>
              <w:top w:w="80" w:type="dxa"/>
              <w:start w:w="120" w:type="dxa"/>
              <w:bottom w:w="80" w:type="dxa"/>
              <w:end w:w="120" w:type="dxa"/>
            </w:tcMar>
          </w:tcPr>
          <w:p>
            <w:pPr>
              <w:spacing w:after="0" w:before="0"/>
            </w:pPr>
            <w:r/>
            <w:r>
              <w:rPr>
                <w:rFonts w:ascii="Calibri" w:hAnsi="Calibri"/>
                <w:b w:val="0"/>
                <w:color w:val="000000"/>
                <w:sz w:val="16"/>
              </w:rPr>
              <w:t>Explicit profile mapping witness for each domain.</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L47-NON-WEAPONIZABILITY</w:t>
            </w:r>
          </w:p>
        </w:tc>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13317-13341</w:t>
            </w:r>
          </w:p>
        </w:tc>
        <w:tc>
          <w:tcPr>
            <w:tcW w:type="dxa" w:w="5560"/>
            <w:vAlign w:val="center"/>
            <w:tcMar>
              <w:top w:w="80" w:type="dxa"/>
              <w:start w:w="120" w:type="dxa"/>
              <w:bottom w:w="80" w:type="dxa"/>
              <w:end w:w="120" w:type="dxa"/>
            </w:tcMar>
          </w:tcPr>
          <w:p>
            <w:pPr>
              <w:spacing w:after="0" w:before="0"/>
            </w:pPr>
            <w:r/>
            <w:r>
              <w:rPr>
                <w:rFonts w:ascii="Calibri" w:hAnsi="Calibri"/>
                <w:b w:val="0"/>
                <w:color w:val="000000"/>
                <w:sz w:val="16"/>
              </w:rPr>
              <w:t>Hash-only registry, coarse operator codes, forbidden-key scans, and adapter-level anti-probing controls.</w:t>
            </w:r>
          </w:p>
        </w:tc>
      </w:tr>
    </w:tbl>
    <w:p>
      <w:pPr>
        <w:spacing w:after="0"/>
      </w:pPr>
    </w:p>
    <w:tbl>
      <w:tblPr>
        <w:tblW w:type="dxa" w:w="9360"/>
        <w:jc w:val="center"/>
        <w:tblLayout w:type="fixed"/>
        <w:tblLook w:firstColumn="1" w:firstRow="1" w:lastColumn="0" w:lastRow="0" w:noHBand="0" w:noVBand="1" w:val="04A0"/>
        <w:tblInd w:w="180" w:type="dxa"/>
      </w:tblPr>
      <w:tblGrid>
        <w:gridCol w:w="9360"/>
      </w:tblGrid>
      <w:tr>
        <w:tc>
          <w:tcPr>
            <w:tcW w:type="dxa" w:w="9360"/>
            <w:shd w:fill="EEF4FA"/>
            <w:tcMar>
              <w:top w:w="140" w:type="dxa"/>
              <w:start w:w="180" w:type="dxa"/>
              <w:bottom w:w="140" w:type="dxa"/>
              <w:end w:w="180" w:type="dxa"/>
            </w:tcMar>
          </w:tcPr>
          <w:p>
            <w:pPr>
              <w:spacing w:before="60" w:after="60"/>
            </w:pPr>
            <w:r/>
            <w:r>
              <w:rPr>
                <w:rFonts w:ascii="Calibri" w:hAnsi="Calibri"/>
                <w:b/>
                <w:color w:val="17365D"/>
                <w:sz w:val="20"/>
              </w:rPr>
              <w:t xml:space="preserve">NON-ACTIONABILITY  </w:t>
            </w:r>
            <w:r>
              <w:rPr>
                <w:rFonts w:ascii="Calibri" w:hAnsi="Calibri"/>
                <w:sz w:val="20"/>
              </w:rPr>
              <w:t>The operator receives only a normalized permit or non-executable result. Gate geometry, margins, thresholds, sub-verdicts, reason vectors, and retained statistics stay outside operation selection.</w:t>
            </w:r>
          </w:p>
        </w:tc>
      </w:tr>
    </w:tbl>
    <w:p>
      <w:pPr>
        <w:spacing w:after="0"/>
      </w:pPr>
    </w:p>
    <w:p>
      <w:pPr>
        <w:pStyle w:val="Heading2"/>
      </w:pPr>
      <w:r>
        <w:t>2.2 Accounting registers and their limits</w:t>
      </w:r>
    </w:p>
    <w:p>
      <w:pPr>
        <w:pStyle w:val="ListBullet"/>
      </w:pPr>
      <w:r>
        <w:t>The hash-chained event ledger is an immutable append-only record of the declared event types: genealogy, not load. Permit-state changes that append no event (reservation expiry, window-limit invalidation) are visible in permit state only.</w:t>
      </w:r>
    </w:p>
    <w:p>
      <w:pPr>
        <w:pStyle w:val="ListBullet"/>
      </w:pPr>
      <w:r>
        <w:t>The structural budget is a monotone committed-action counter read by the gate. It debits committed actions only; standing pressure, refusals, and failed commits are not accounted, so it is narrower than the core's structural-pressure accounting.</w:t>
      </w:r>
    </w:p>
    <w:p>
      <w:pPr>
        <w:pStyle w:val="ListBullet"/>
      </w:pPr>
      <w:r>
        <w:t>Resource limits are sliding windows; committed amounts age out, so they are rate boundaries, not burden.</w:t>
      </w:r>
    </w:p>
    <w:p>
      <w:pPr>
        <w:pStyle w:val="ListBullet"/>
      </w:pPr>
      <w:r>
        <w:t>A new declaration version starts a new accounting instance. No burden crosses versions, and a cross-version continuation claim requires an external ledger.</w:t>
      </w:r>
    </w:p>
    <w:p>
      <w:pPr>
        <w:pStyle w:val="ListBullet"/>
      </w:pPr>
      <w:r>
        <w:t>The declared capacity carries a provenance coding (fully stipulated, empirically calibrated, derived from a load model, or mixed). The coding is sealed by the declaration hash and never read by the gate.</w:t>
      </w:r>
    </w:p>
    <w:p>
      <w:pPr>
        <w:pStyle w:val="Heading1"/>
      </w:pPr>
      <w:r>
        <w:t>3. Architecture</w:t>
      </w:r>
    </w:p>
    <w:p>
      <w:pPr>
        <w:pStyle w:val="Heading2"/>
      </w:pPr>
      <w:r>
        <w:t>3.1 Seven contract layers</w:t>
      </w:r>
    </w:p>
    <w:tbl>
      <w:tblPr>
        <w:tblStyle w:val="TableGrid"/>
        <w:tblW w:type="dxa" w:w="9360"/>
        <w:jc w:val="center"/>
        <w:tblLayout w:type="fixed"/>
        <w:tblLook w:firstColumn="1" w:firstRow="1" w:lastColumn="0" w:lastRow="0" w:noHBand="0" w:noVBand="1" w:val="04A0"/>
        <w:tblInd w:w="120" w:type="dxa"/>
      </w:tblPr>
      <w:tblGrid>
        <w:gridCol w:w="650"/>
        <w:gridCol w:w="1750"/>
        <w:gridCol w:w="4550"/>
        <w:gridCol w:w="2410"/>
      </w:tblGrid>
      <w:tr>
        <w:trPr>
          <w:tblHeader w:val="true"/>
          <w:cantSplit/>
        </w:trPr>
        <w:tc>
          <w:tcPr>
            <w:tcW w:type="dxa" w:w="650"/>
            <w:shd w:fill="F2F4F7"/>
            <w:vAlign w:val="center"/>
            <w:tcMar>
              <w:top w:w="80" w:type="dxa"/>
              <w:start w:w="120" w:type="dxa"/>
              <w:bottom w:w="80" w:type="dxa"/>
              <w:end w:w="120" w:type="dxa"/>
            </w:tcMar>
          </w:tcPr>
          <w:p>
            <w:pPr>
              <w:keepNext/>
              <w:spacing w:after="0" w:before="0"/>
            </w:pPr>
            <w:r/>
            <w:r>
              <w:rPr>
                <w:rFonts w:ascii="Calibri" w:hAnsi="Calibri"/>
                <w:b/>
                <w:color w:val="17365D"/>
                <w:sz w:val="16"/>
              </w:rPr>
              <w:t>Layer</w:t>
            </w:r>
          </w:p>
        </w:tc>
        <w:tc>
          <w:tcPr>
            <w:tcW w:type="dxa" w:w="1750"/>
            <w:shd w:fill="F2F4F7"/>
            <w:vAlign w:val="center"/>
            <w:tcMar>
              <w:top w:w="80" w:type="dxa"/>
              <w:start w:w="120" w:type="dxa"/>
              <w:bottom w:w="80" w:type="dxa"/>
              <w:end w:w="120" w:type="dxa"/>
            </w:tcMar>
          </w:tcPr>
          <w:p>
            <w:pPr>
              <w:keepNext/>
              <w:spacing w:after="0" w:before="0"/>
            </w:pPr>
            <w:r/>
            <w:r>
              <w:rPr>
                <w:rFonts w:ascii="Calibri" w:hAnsi="Calibri"/>
                <w:b/>
                <w:color w:val="17365D"/>
                <w:sz w:val="16"/>
              </w:rPr>
              <w:t>Object</w:t>
            </w:r>
          </w:p>
        </w:tc>
        <w:tc>
          <w:tcPr>
            <w:tcW w:type="dxa" w:w="4550"/>
            <w:shd w:fill="F2F4F7"/>
            <w:vAlign w:val="center"/>
            <w:tcMar>
              <w:top w:w="80" w:type="dxa"/>
              <w:start w:w="120" w:type="dxa"/>
              <w:bottom w:w="80" w:type="dxa"/>
              <w:end w:w="120" w:type="dxa"/>
            </w:tcMar>
          </w:tcPr>
          <w:p>
            <w:pPr>
              <w:keepNext/>
              <w:spacing w:after="0" w:before="0"/>
            </w:pPr>
            <w:r/>
            <w:r>
              <w:rPr>
                <w:rFonts w:ascii="Calibri" w:hAnsi="Calibri"/>
                <w:b/>
                <w:color w:val="17365D"/>
                <w:sz w:val="16"/>
              </w:rPr>
              <w:t>Purpose</w:t>
            </w:r>
          </w:p>
        </w:tc>
        <w:tc>
          <w:tcPr>
            <w:tcW w:type="dxa" w:w="2410"/>
            <w:shd w:fill="F2F4F7"/>
            <w:vAlign w:val="center"/>
            <w:tcMar>
              <w:top w:w="80" w:type="dxa"/>
              <w:start w:w="120" w:type="dxa"/>
              <w:bottom w:w="80" w:type="dxa"/>
              <w:end w:w="120" w:type="dxa"/>
            </w:tcMar>
          </w:tcPr>
          <w:p>
            <w:pPr>
              <w:keepNext/>
              <w:spacing w:after="0" w:before="0"/>
            </w:pPr>
            <w:r/>
            <w:r>
              <w:rPr>
                <w:rFonts w:ascii="Calibri" w:hAnsi="Calibri"/>
                <w:b/>
                <w:color w:val="17365D"/>
                <w:sz w:val="16"/>
              </w:rPr>
              <w:t>Write authority</w:t>
            </w:r>
          </w:p>
        </w:tc>
      </w:tr>
      <w:tr>
        <w:trPr>
          <w:cantSplit/>
        </w:trPr>
        <w:tc>
          <w:tcPr>
            <w:tcW w:type="dxa" w:w="650"/>
            <w:vAlign w:val="center"/>
            <w:tcMar>
              <w:top w:w="80" w:type="dxa"/>
              <w:start w:w="120" w:type="dxa"/>
              <w:bottom w:w="80" w:type="dxa"/>
              <w:end w:w="120" w:type="dxa"/>
            </w:tcMar>
          </w:tcPr>
          <w:p>
            <w:pPr>
              <w:spacing w:after="0" w:before="0"/>
            </w:pPr>
            <w:r/>
            <w:r>
              <w:rPr>
                <w:rFonts w:ascii="Calibri" w:hAnsi="Calibri"/>
                <w:b w:val="0"/>
                <w:color w:val="000000"/>
                <w:sz w:val="16"/>
              </w:rPr>
              <w:t>1</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Domain profile</w:t>
            </w:r>
          </w:p>
        </w:tc>
        <w:tc>
          <w:tcPr>
            <w:tcW w:type="dxa" w:w="4550"/>
            <w:vAlign w:val="center"/>
            <w:tcMar>
              <w:top w:w="80" w:type="dxa"/>
              <w:start w:w="120" w:type="dxa"/>
              <w:bottom w:w="80" w:type="dxa"/>
              <w:end w:w="120" w:type="dxa"/>
            </w:tcMar>
          </w:tcPr>
          <w:p>
            <w:pPr>
              <w:spacing w:after="0" w:before="0"/>
            </w:pPr>
            <w:r/>
            <w:r>
              <w:rPr>
                <w:rFonts w:ascii="Calibri" w:hAnsi="Calibri"/>
                <w:b w:val="0"/>
                <w:color w:val="000000"/>
                <w:sz w:val="16"/>
              </w:rPr>
              <w:t>Types actions, effects, resources, controls, evidence, and witness</w:t>
            </w:r>
          </w:p>
        </w:tc>
        <w:tc>
          <w:tcPr>
            <w:tcW w:type="dxa" w:w="2410"/>
            <w:vAlign w:val="center"/>
            <w:tcMar>
              <w:top w:w="80" w:type="dxa"/>
              <w:start w:w="120" w:type="dxa"/>
              <w:bottom w:w="80" w:type="dxa"/>
              <w:end w:w="120" w:type="dxa"/>
            </w:tcMar>
          </w:tcPr>
          <w:p>
            <w:pPr>
              <w:spacing w:after="0" w:before="0"/>
            </w:pPr>
            <w:r/>
            <w:r>
              <w:rPr>
                <w:rFonts w:ascii="Calibri" w:hAnsi="Calibri"/>
                <w:b w:val="0"/>
                <w:color w:val="000000"/>
                <w:sz w:val="16"/>
              </w:rPr>
              <w:t>Governance only; new version</w:t>
            </w:r>
          </w:p>
        </w:tc>
      </w:tr>
      <w:tr>
        <w:trPr>
          <w:cantSplit/>
        </w:trPr>
        <w:tc>
          <w:tcPr>
            <w:tcW w:type="dxa" w:w="650"/>
            <w:vAlign w:val="center"/>
            <w:tcMar>
              <w:top w:w="80" w:type="dxa"/>
              <w:start w:w="120" w:type="dxa"/>
              <w:bottom w:w="80" w:type="dxa"/>
              <w:end w:w="120" w:type="dxa"/>
            </w:tcMar>
          </w:tcPr>
          <w:p>
            <w:pPr>
              <w:spacing w:after="0" w:before="0"/>
            </w:pPr>
            <w:r/>
            <w:r>
              <w:rPr>
                <w:rFonts w:ascii="Calibri" w:hAnsi="Calibri"/>
                <w:b w:val="0"/>
                <w:color w:val="000000"/>
                <w:sz w:val="16"/>
              </w:rPr>
              <w:t>2</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Connection declaration</w:t>
            </w:r>
          </w:p>
        </w:tc>
        <w:tc>
          <w:tcPr>
            <w:tcW w:type="dxa" w:w="4550"/>
            <w:vAlign w:val="center"/>
            <w:tcMar>
              <w:top w:w="80" w:type="dxa"/>
              <w:start w:w="120" w:type="dxa"/>
              <w:bottom w:w="80" w:type="dxa"/>
              <w:end w:w="120" w:type="dxa"/>
            </w:tcMar>
          </w:tcPr>
          <w:p>
            <w:pPr>
              <w:spacing w:after="0" w:before="0"/>
            </w:pPr>
            <w:r/>
            <w:r>
              <w:rPr>
                <w:rFonts w:ascii="Calibri" w:hAnsi="Calibri"/>
                <w:b w:val="0"/>
                <w:color w:val="000000"/>
                <w:sz w:val="16"/>
              </w:rPr>
              <w:t>Binds one connector and exact instance scope to one profile hash</w:t>
            </w:r>
          </w:p>
        </w:tc>
        <w:tc>
          <w:tcPr>
            <w:tcW w:type="dxa" w:w="2410"/>
            <w:vAlign w:val="center"/>
            <w:tcMar>
              <w:top w:w="80" w:type="dxa"/>
              <w:start w:w="120" w:type="dxa"/>
              <w:bottom w:w="80" w:type="dxa"/>
              <w:end w:w="120" w:type="dxa"/>
            </w:tcMar>
          </w:tcPr>
          <w:p>
            <w:pPr>
              <w:spacing w:after="0" w:before="0"/>
            </w:pPr>
            <w:r/>
            <w:r>
              <w:rPr>
                <w:rFonts w:ascii="Calibri" w:hAnsi="Calibri"/>
                <w:b w:val="0"/>
                <w:color w:val="000000"/>
                <w:sz w:val="16"/>
              </w:rPr>
              <w:t>Governance only; new version</w:t>
            </w:r>
          </w:p>
        </w:tc>
      </w:tr>
      <w:tr>
        <w:trPr>
          <w:cantSplit/>
        </w:trPr>
        <w:tc>
          <w:tcPr>
            <w:tcW w:type="dxa" w:w="650"/>
            <w:vAlign w:val="center"/>
            <w:tcMar>
              <w:top w:w="80" w:type="dxa"/>
              <w:start w:w="120" w:type="dxa"/>
              <w:bottom w:w="80" w:type="dxa"/>
              <w:end w:w="120" w:type="dxa"/>
            </w:tcMar>
          </w:tcPr>
          <w:p>
            <w:pPr>
              <w:spacing w:after="0" w:before="0"/>
            </w:pPr>
            <w:r/>
            <w:r>
              <w:rPr>
                <w:rFonts w:ascii="Calibri" w:hAnsi="Calibri"/>
                <w:b w:val="0"/>
                <w:color w:val="000000"/>
                <w:sz w:val="16"/>
              </w:rPr>
              <w:t>3</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Authority grant</w:t>
            </w:r>
          </w:p>
        </w:tc>
        <w:tc>
          <w:tcPr>
            <w:tcW w:type="dxa" w:w="4550"/>
            <w:vAlign w:val="center"/>
            <w:tcMar>
              <w:top w:w="80" w:type="dxa"/>
              <w:start w:w="120" w:type="dxa"/>
              <w:bottom w:w="80" w:type="dxa"/>
              <w:end w:w="120" w:type="dxa"/>
            </w:tcMar>
          </w:tcPr>
          <w:p>
            <w:pPr>
              <w:spacing w:after="0" w:before="0"/>
            </w:pPr>
            <w:r/>
            <w:r>
              <w:rPr>
                <w:rFonts w:ascii="Calibri" w:hAnsi="Calibri"/>
                <w:b w:val="0"/>
                <w:color w:val="000000"/>
                <w:sz w:val="16"/>
              </w:rPr>
              <w:t>Limits one workload subject by action, target, and time</w:t>
            </w:r>
          </w:p>
        </w:tc>
        <w:tc>
          <w:tcPr>
            <w:tcW w:type="dxa" w:w="2410"/>
            <w:vAlign w:val="center"/>
            <w:tcMar>
              <w:top w:w="80" w:type="dxa"/>
              <w:start w:w="120" w:type="dxa"/>
              <w:bottom w:w="80" w:type="dxa"/>
              <w:end w:w="120" w:type="dxa"/>
            </w:tcMar>
          </w:tcPr>
          <w:p>
            <w:pPr>
              <w:spacing w:after="0" w:before="0"/>
            </w:pPr>
            <w:r/>
            <w:r>
              <w:rPr>
                <w:rFonts w:ascii="Calibri" w:hAnsi="Calibri"/>
                <w:b w:val="0"/>
                <w:color w:val="000000"/>
                <w:sz w:val="16"/>
              </w:rPr>
              <w:t>Authority issuer</w:t>
            </w:r>
          </w:p>
        </w:tc>
      </w:tr>
      <w:tr>
        <w:trPr>
          <w:cantSplit/>
        </w:trPr>
        <w:tc>
          <w:tcPr>
            <w:tcW w:type="dxa" w:w="650"/>
            <w:vAlign w:val="center"/>
            <w:tcMar>
              <w:top w:w="80" w:type="dxa"/>
              <w:start w:w="120" w:type="dxa"/>
              <w:bottom w:w="80" w:type="dxa"/>
              <w:end w:w="120" w:type="dxa"/>
            </w:tcMar>
          </w:tcPr>
          <w:p>
            <w:pPr>
              <w:spacing w:after="0" w:before="0"/>
            </w:pPr>
            <w:r/>
            <w:r>
              <w:rPr>
                <w:rFonts w:ascii="Calibri" w:hAnsi="Calibri"/>
                <w:b w:val="0"/>
                <w:color w:val="000000"/>
                <w:sz w:val="16"/>
              </w:rPr>
              <w:t>4</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Intent + evidence</w:t>
            </w:r>
          </w:p>
        </w:tc>
        <w:tc>
          <w:tcPr>
            <w:tcW w:type="dxa" w:w="4550"/>
            <w:vAlign w:val="center"/>
            <w:tcMar>
              <w:top w:w="80" w:type="dxa"/>
              <w:start w:w="120" w:type="dxa"/>
              <w:bottom w:w="80" w:type="dxa"/>
              <w:end w:w="120" w:type="dxa"/>
            </w:tcMar>
          </w:tcPr>
          <w:p>
            <w:pPr>
              <w:spacing w:after="0" w:before="0"/>
            </w:pPr>
            <w:r/>
            <w:r>
              <w:rPr>
                <w:rFonts w:ascii="Calibri" w:hAnsi="Calibri"/>
                <w:b w:val="0"/>
                <w:color w:val="000000"/>
                <w:sz w:val="16"/>
              </w:rPr>
              <w:t>Binds one proposed action to hashes, state, derived controls, and resolved evidence</w:t>
            </w:r>
          </w:p>
        </w:tc>
        <w:tc>
          <w:tcPr>
            <w:tcW w:type="dxa" w:w="2410"/>
            <w:vAlign w:val="center"/>
            <w:tcMar>
              <w:top w:w="80" w:type="dxa"/>
              <w:start w:w="120" w:type="dxa"/>
              <w:bottom w:w="80" w:type="dxa"/>
              <w:end w:w="120" w:type="dxa"/>
            </w:tcMar>
          </w:tcPr>
          <w:p>
            <w:pPr>
              <w:spacing w:after="0" w:before="0"/>
            </w:pPr>
            <w:r/>
            <w:r>
              <w:rPr>
                <w:rFonts w:ascii="Calibri" w:hAnsi="Calibri"/>
                <w:b w:val="0"/>
                <w:color w:val="000000"/>
                <w:sz w:val="16"/>
              </w:rPr>
              <w:t>Operator proposes; production adapter resolves evidence and controls</w:t>
            </w:r>
          </w:p>
        </w:tc>
      </w:tr>
      <w:tr>
        <w:trPr>
          <w:cantSplit/>
        </w:trPr>
        <w:tc>
          <w:tcPr>
            <w:tcW w:type="dxa" w:w="650"/>
            <w:vAlign w:val="center"/>
            <w:tcMar>
              <w:top w:w="80" w:type="dxa"/>
              <w:start w:w="120" w:type="dxa"/>
              <w:bottom w:w="80" w:type="dxa"/>
              <w:end w:w="120" w:type="dxa"/>
            </w:tcMar>
          </w:tcPr>
          <w:p>
            <w:pPr>
              <w:spacing w:after="0" w:before="0"/>
            </w:pPr>
            <w:r/>
            <w:r>
              <w:rPr>
                <w:rFonts w:ascii="Calibri" w:hAnsi="Calibri"/>
                <w:b w:val="0"/>
                <w:color w:val="000000"/>
                <w:sz w:val="16"/>
              </w:rPr>
              <w:t>5</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Independent evaluator</w:t>
            </w:r>
          </w:p>
        </w:tc>
        <w:tc>
          <w:tcPr>
            <w:tcW w:type="dxa" w:w="4550"/>
            <w:vAlign w:val="center"/>
            <w:tcMar>
              <w:top w:w="80" w:type="dxa"/>
              <w:start w:w="120" w:type="dxa"/>
              <w:bottom w:w="80" w:type="dxa"/>
              <w:end w:w="120" w:type="dxa"/>
            </w:tcMar>
          </w:tcPr>
          <w:p>
            <w:pPr>
              <w:spacing w:after="0" w:before="0"/>
            </w:pPr>
            <w:r/>
            <w:r>
              <w:rPr>
                <w:rFonts w:ascii="Calibri" w:hAnsi="Calibri"/>
                <w:b w:val="0"/>
                <w:color w:val="000000"/>
                <w:sz w:val="16"/>
              </w:rPr>
              <w:t>Runs preflight and the binary structural/domain-resource-admissibility conjunction</w:t>
            </w:r>
          </w:p>
        </w:tc>
        <w:tc>
          <w:tcPr>
            <w:tcW w:type="dxa" w:w="2410"/>
            <w:vAlign w:val="center"/>
            <w:tcMar>
              <w:top w:w="80" w:type="dxa"/>
              <w:start w:w="120" w:type="dxa"/>
              <w:bottom w:w="80" w:type="dxa"/>
              <w:end w:w="120" w:type="dxa"/>
            </w:tcMar>
          </w:tcPr>
          <w:p>
            <w:pPr>
              <w:spacing w:after="0" w:before="0"/>
            </w:pPr>
            <w:r/>
            <w:r>
              <w:rPr>
                <w:rFonts w:ascii="Calibri" w:hAnsi="Calibri"/>
                <w:b w:val="0"/>
                <w:color w:val="000000"/>
                <w:sz w:val="16"/>
              </w:rPr>
              <w:t>Read-only over profile and declaration</w:t>
            </w:r>
          </w:p>
        </w:tc>
      </w:tr>
      <w:tr>
        <w:trPr>
          <w:cantSplit/>
        </w:trPr>
        <w:tc>
          <w:tcPr>
            <w:tcW w:type="dxa" w:w="650"/>
            <w:vAlign w:val="center"/>
            <w:tcMar>
              <w:top w:w="80" w:type="dxa"/>
              <w:start w:w="120" w:type="dxa"/>
              <w:bottom w:w="80" w:type="dxa"/>
              <w:end w:w="120" w:type="dxa"/>
            </w:tcMar>
          </w:tcPr>
          <w:p>
            <w:pPr>
              <w:spacing w:after="0" w:before="0"/>
            </w:pPr>
            <w:r/>
            <w:r>
              <w:rPr>
                <w:rFonts w:ascii="Calibri" w:hAnsi="Calibri"/>
                <w:b w:val="0"/>
                <w:color w:val="000000"/>
                <w:sz w:val="16"/>
              </w:rPr>
              <w:t>6</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Reservation + permit</w:t>
            </w:r>
          </w:p>
        </w:tc>
        <w:tc>
          <w:tcPr>
            <w:tcW w:type="dxa" w:w="4550"/>
            <w:vAlign w:val="center"/>
            <w:tcMar>
              <w:top w:w="80" w:type="dxa"/>
              <w:start w:w="120" w:type="dxa"/>
              <w:bottom w:w="80" w:type="dxa"/>
              <w:end w:w="120" w:type="dxa"/>
            </w:tcMar>
          </w:tcPr>
          <w:p>
            <w:pPr>
              <w:spacing w:after="0" w:before="0"/>
            </w:pPr>
            <w:r/>
            <w:r>
              <w:rPr>
                <w:rFonts w:ascii="Calibri" w:hAnsi="Calibri"/>
                <w:b w:val="0"/>
                <w:color w:val="000000"/>
                <w:sz w:val="16"/>
              </w:rPr>
              <w:t>Temporarily reserves capacity and authorizes one exact commit</w:t>
            </w:r>
          </w:p>
        </w:tc>
        <w:tc>
          <w:tcPr>
            <w:tcW w:type="dxa" w:w="2410"/>
            <w:vAlign w:val="center"/>
            <w:tcMar>
              <w:top w:w="80" w:type="dxa"/>
              <w:start w:w="120" w:type="dxa"/>
              <w:bottom w:w="80" w:type="dxa"/>
              <w:end w:w="120" w:type="dxa"/>
            </w:tcMar>
          </w:tcPr>
          <w:p>
            <w:pPr>
              <w:spacing w:after="0" w:before="0"/>
            </w:pPr>
            <w:r/>
            <w:r>
              <w:rPr>
                <w:rFonts w:ascii="Calibri" w:hAnsi="Calibri"/>
                <w:b w:val="0"/>
                <w:color w:val="000000"/>
                <w:sz w:val="16"/>
              </w:rPr>
              <w:t>Evaluator issues; executor consumes once</w:t>
            </w:r>
          </w:p>
        </w:tc>
      </w:tr>
      <w:tr>
        <w:trPr>
          <w:cantSplit/>
        </w:trPr>
        <w:tc>
          <w:tcPr>
            <w:tcW w:type="dxa" w:w="650"/>
            <w:vAlign w:val="center"/>
            <w:tcMar>
              <w:top w:w="80" w:type="dxa"/>
              <w:start w:w="120" w:type="dxa"/>
              <w:bottom w:w="80" w:type="dxa"/>
              <w:end w:w="120" w:type="dxa"/>
            </w:tcMar>
          </w:tcPr>
          <w:p>
            <w:pPr>
              <w:spacing w:after="0" w:before="0"/>
            </w:pPr>
            <w:r/>
            <w:r>
              <w:rPr>
                <w:rFonts w:ascii="Calibri" w:hAnsi="Calibri"/>
                <w:b w:val="0"/>
                <w:color w:val="000000"/>
                <w:sz w:val="16"/>
              </w:rPr>
              <w:t>7</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Local ledger + registry</w:t>
            </w:r>
          </w:p>
        </w:tc>
        <w:tc>
          <w:tcPr>
            <w:tcW w:type="dxa" w:w="4550"/>
            <w:vAlign w:val="center"/>
            <w:tcMar>
              <w:top w:w="80" w:type="dxa"/>
              <w:start w:w="120" w:type="dxa"/>
              <w:bottom w:w="80" w:type="dxa"/>
              <w:end w:w="120" w:type="dxa"/>
            </w:tcMar>
          </w:tcPr>
          <w:p>
            <w:pPr>
              <w:spacing w:after="0" w:before="0"/>
            </w:pPr>
            <w:r/>
            <w:r>
              <w:rPr>
                <w:rFonts w:ascii="Calibri" w:hAnsi="Calibri"/>
                <w:b w:val="0"/>
                <w:color w:val="000000"/>
                <w:sz w:val="16"/>
              </w:rPr>
              <w:t>Keeps full local evidence and a minimal shared hash projection</w:t>
            </w:r>
          </w:p>
        </w:tc>
        <w:tc>
          <w:tcPr>
            <w:tcW w:type="dxa" w:w="2410"/>
            <w:vAlign w:val="center"/>
            <w:tcMar>
              <w:top w:w="80" w:type="dxa"/>
              <w:start w:w="120" w:type="dxa"/>
              <w:bottom w:w="80" w:type="dxa"/>
              <w:end w:w="120" w:type="dxa"/>
            </w:tcMar>
          </w:tcPr>
          <w:p>
            <w:pPr>
              <w:spacing w:after="0" w:before="0"/>
            </w:pPr>
            <w:r/>
            <w:r>
              <w:rPr>
                <w:rFonts w:ascii="Calibri" w:hAnsi="Calibri"/>
                <w:b w:val="0"/>
                <w:color w:val="000000"/>
                <w:sz w:val="16"/>
              </w:rPr>
              <w:t>Append-only local writer</w:t>
            </w:r>
          </w:p>
        </w:tc>
      </w:tr>
    </w:tbl>
    <w:p>
      <w:pPr>
        <w:spacing w:after="0"/>
      </w:pPr>
    </w:p>
    <w:p>
      <w:pPr>
        <w:pStyle w:val="Heading2"/>
      </w:pPr>
      <w:r>
        <w:t>3.2 Runtime data flow</w:t>
      </w:r>
    </w:p>
    <w:tbl>
      <w:tblPr>
        <w:tblW w:type="dxa" w:w="9360"/>
        <w:jc w:val="center"/>
        <w:tblLayout w:type="fixed"/>
        <w:tblLook w:firstColumn="1" w:firstRow="1" w:lastColumn="0" w:lastRow="0" w:noHBand="0" w:noVBand="1" w:val="04A0"/>
        <w:tblInd w:w="180" w:type="dxa"/>
      </w:tblPr>
      <w:tblGrid>
        <w:gridCol w:w="9360"/>
      </w:tblGrid>
      <w:tr>
        <w:tc>
          <w:tcPr>
            <w:tcW w:type="dxa" w:w="9360"/>
            <w:shd w:fill="F7F9FB"/>
            <w:tcMar>
              <w:top w:w="140" w:type="dxa"/>
              <w:start w:w="180" w:type="dxa"/>
              <w:bottom w:w="140" w:type="dxa"/>
              <w:end w:w="180" w:type="dxa"/>
            </w:tcMar>
          </w:tcPr>
          <w:p>
            <w:pPr>
              <w:spacing w:before="0" w:after="0"/>
            </w:pPr>
            <w:r/>
            <w:r>
              <w:rPr>
                <w:rFonts w:ascii="Consolas" w:hAnsi="Consolas"/>
                <w:color w:val="263238"/>
                <w:sz w:val="17"/>
              </w:rPr>
              <w:t>PROFILE + DECLARATION  ──sealed hashes──►  GOVERNANCE ACTIVATION</w:t>
            </w:r>
          </w:p>
          <w:p>
            <w:pPr>
              <w:spacing w:before="0" w:after="0"/>
            </w:pPr>
            <w:r>
              <w:rPr>
                <w:rFonts w:ascii="Consolas" w:hAnsi="Consolas"/>
                <w:color w:val="263238"/>
                <w:sz w:val="17"/>
              </w:rPr>
              <w:t>AUTHORITY GRANT       ──scoped identity─►  OPERATOR INTENT + EVIDENCE</w:t>
            </w:r>
          </w:p>
          <w:p>
            <w:pPr>
              <w:spacing w:before="0" w:after="0"/>
            </w:pPr>
            <w:r>
              <w:rPr>
                <w:rFonts w:ascii="Consolas" w:hAnsi="Consolas"/>
                <w:color w:val="263238"/>
                <w:sz w:val="17"/>
              </w:rPr>
              <w:t>INTENT                ──read-only───────►  PREFLIGHT</w:t>
            </w:r>
          </w:p>
          <w:p>
            <w:pPr>
              <w:spacing w:before="0" w:after="0"/>
            </w:pPr>
            <w:r>
              <w:rPr>
                <w:rFonts w:ascii="Consolas" w:hAnsi="Consolas"/>
                <w:color w:val="263238"/>
                <w:sz w:val="17"/>
              </w:rPr>
              <w:t>PREFLIGHT PASS        ────────────────►  structural_gate AND effect_gate  # effect_gate checks domain-resource admissibility; it does not execute or simulate the external effect</w:t>
            </w:r>
          </w:p>
          <w:p>
            <w:pPr>
              <w:spacing w:before="0" w:after="0"/>
            </w:pPr>
            <w:r>
              <w:rPr>
                <w:rFonts w:ascii="Consolas" w:hAnsi="Consolas"/>
                <w:color w:val="263238"/>
                <w:sz w:val="17"/>
              </w:rPr>
              <w:t>1 AND 1               ────────────────►  RESERVATION + SINGLE-USE PERMIT</w:t>
            </w:r>
          </w:p>
          <w:p>
            <w:pPr>
              <w:spacing w:before="0" w:after="0"/>
            </w:pPr>
            <w:r>
              <w:rPr>
                <w:rFonts w:ascii="Consolas" w:hAnsi="Consolas"/>
                <w:color w:val="263238"/>
                <w:sz w:val="17"/>
              </w:rPr>
              <w:t>EXECUTOR              ──same binding──►  COMMIT / FAILED / ABORTED RECEIPT</w:t>
            </w:r>
          </w:p>
          <w:p>
            <w:pPr>
              <w:spacing w:before="0" w:after="0"/>
            </w:pPr>
            <w:r>
              <w:rPr>
                <w:rFonts w:ascii="Consolas" w:hAnsi="Consolas"/>
                <w:color w:val="263238"/>
                <w:sz w:val="17"/>
              </w:rPr>
              <w:t>ALL EVENTS            ────────────────►  SIGNED LOCAL CHAIN</w:t>
            </w:r>
          </w:p>
          <w:p>
            <w:pPr>
              <w:spacing w:before="0" w:after="0"/>
            </w:pPr>
            <w:r>
              <w:rPr>
                <w:rFonts w:ascii="Consolas" w:hAnsi="Consolas"/>
                <w:color w:val="263238"/>
                <w:sz w:val="17"/>
              </w:rPr>
              <w:t>HASHES + STATUS ONLY  ────────────────►  OPTIONAL SHARED REGISTRY</w:t>
            </w:r>
          </w:p>
        </w:tc>
      </w:tr>
    </w:tbl>
    <w:p>
      <w:pPr>
        <w:spacing w:after="0"/>
      </w:pPr>
    </w:p>
    <w:p>
      <w:pPr>
        <w:pStyle w:val="Heading2"/>
      </w:pPr>
      <w:r>
        <w:t>3.3 Trust boundaries</w:t>
      </w:r>
    </w:p>
    <w:p>
      <w:pPr>
        <w:pStyle w:val="ListBullet"/>
      </w:pPr>
      <w:r>
        <w:t>Connector-supplied evidence status and control booleans are untrusted claims; the production evaluator resolves and derives them from authoritative systems.</w:t>
      </w:r>
    </w:p>
    <w:p>
      <w:pPr>
        <w:pStyle w:val="ListBullet"/>
      </w:pPr>
      <w:r>
        <w:t>Resolved evidence and derived controls are bound to the exact request and current-state anchor before gate evaluation.</w:t>
      </w:r>
    </w:p>
    <w:p>
      <w:pPr>
        <w:pStyle w:val="ListBullet"/>
      </w:pPr>
      <w:r>
        <w:t>The connector cannot activate, revise, or write the profile or declaration.</w:t>
      </w:r>
    </w:p>
    <w:p>
      <w:pPr>
        <w:pStyle w:val="ListBullet"/>
      </w:pPr>
      <w:r>
        <w:t>The evaluator does not expose its internal gate trace to the operator.</w:t>
      </w:r>
    </w:p>
    <w:p>
      <w:pPr>
        <w:pStyle w:val="ListBullet"/>
      </w:pPr>
      <w:r>
        <w:t>The executor cannot consume a refusal, hold, manual-review result, or expired permit.</w:t>
      </w:r>
    </w:p>
    <w:p>
      <w:pPr>
        <w:pStyle w:val="ListBullet"/>
      </w:pPr>
      <w:r>
        <w:t>The architect store is post-event and cannot feed a score back into action selection.</w:t>
      </w:r>
    </w:p>
    <w:p>
      <w:pPr>
        <w:pStyle w:val="ListBullet"/>
      </w:pPr>
      <w:r>
        <w:t>The observer sees normalized event messages only and has no mutating scope.</w:t>
      </w:r>
    </w:p>
    <w:p>
      <w:pPr>
        <w:pStyle w:val="ListBullet"/>
      </w:pPr>
      <w:r>
        <w:t>A registry projection cannot expand beyond hashes, status, revocation, and receipt roots.</w:t>
      </w:r>
    </w:p>
    <w:p>
      <w:pPr>
        <w:pStyle w:val="Heading1"/>
      </w:pPr>
      <w:r>
        <w:t>4. Roles and visibility</w:t>
      </w:r>
    </w:p>
    <w:tbl>
      <w:tblPr>
        <w:tblStyle w:val="TableGrid"/>
        <w:tblW w:type="dxa" w:w="9360"/>
        <w:jc w:val="center"/>
        <w:tblLayout w:type="fixed"/>
        <w:tblLook w:firstColumn="1" w:firstRow="1" w:lastColumn="0" w:lastRow="0" w:noHBand="0" w:noVBand="1" w:val="04A0"/>
        <w:tblInd w:w="120" w:type="dxa"/>
      </w:tblPr>
      <w:tblGrid>
        <w:gridCol w:w="1250"/>
        <w:gridCol w:w="1750"/>
        <w:gridCol w:w="3150"/>
        <w:gridCol w:w="3210"/>
      </w:tblGrid>
      <w:tr>
        <w:trPr>
          <w:tblHeader w:val="true"/>
          <w:cantSplit/>
        </w:trPr>
        <w:tc>
          <w:tcPr>
            <w:tcW w:type="dxa" w:w="1250"/>
            <w:shd w:fill="F2F4F7"/>
            <w:vAlign w:val="center"/>
            <w:tcMar>
              <w:top w:w="80" w:type="dxa"/>
              <w:start w:w="120" w:type="dxa"/>
              <w:bottom w:w="80" w:type="dxa"/>
              <w:end w:w="120" w:type="dxa"/>
            </w:tcMar>
          </w:tcPr>
          <w:p>
            <w:pPr>
              <w:keepNext/>
              <w:spacing w:after="0" w:before="0"/>
            </w:pPr>
            <w:r/>
            <w:r>
              <w:rPr>
                <w:rFonts w:ascii="Calibri" w:hAnsi="Calibri"/>
                <w:b/>
                <w:color w:val="17365D"/>
                <w:sz w:val="16"/>
              </w:rPr>
              <w:t>Role</w:t>
            </w:r>
          </w:p>
        </w:tc>
        <w:tc>
          <w:tcPr>
            <w:tcW w:type="dxa" w:w="1750"/>
            <w:shd w:fill="F2F4F7"/>
            <w:vAlign w:val="center"/>
            <w:tcMar>
              <w:top w:w="80" w:type="dxa"/>
              <w:start w:w="120" w:type="dxa"/>
              <w:bottom w:w="80" w:type="dxa"/>
              <w:end w:w="120" w:type="dxa"/>
            </w:tcMar>
          </w:tcPr>
          <w:p>
            <w:pPr>
              <w:keepNext/>
              <w:spacing w:after="0" w:before="0"/>
            </w:pPr>
            <w:r/>
            <w:r>
              <w:rPr>
                <w:rFonts w:ascii="Calibri" w:hAnsi="Calibri"/>
                <w:b/>
                <w:color w:val="17365D"/>
                <w:sz w:val="16"/>
              </w:rPr>
              <w:t>OAuth scope</w:t>
            </w:r>
          </w:p>
        </w:tc>
        <w:tc>
          <w:tcPr>
            <w:tcW w:type="dxa" w:w="3150"/>
            <w:shd w:fill="F2F4F7"/>
            <w:vAlign w:val="center"/>
            <w:tcMar>
              <w:top w:w="80" w:type="dxa"/>
              <w:start w:w="120" w:type="dxa"/>
              <w:bottom w:w="80" w:type="dxa"/>
              <w:end w:w="120" w:type="dxa"/>
            </w:tcMar>
          </w:tcPr>
          <w:p>
            <w:pPr>
              <w:keepNext/>
              <w:spacing w:after="0" w:before="0"/>
            </w:pPr>
            <w:r/>
            <w:r>
              <w:rPr>
                <w:rFonts w:ascii="Calibri" w:hAnsi="Calibri"/>
                <w:b/>
                <w:color w:val="17365D"/>
                <w:sz w:val="16"/>
              </w:rPr>
              <w:t>May do</w:t>
            </w:r>
          </w:p>
        </w:tc>
        <w:tc>
          <w:tcPr>
            <w:tcW w:type="dxa" w:w="3210"/>
            <w:shd w:fill="F2F4F7"/>
            <w:vAlign w:val="center"/>
            <w:tcMar>
              <w:top w:w="80" w:type="dxa"/>
              <w:start w:w="120" w:type="dxa"/>
              <w:bottom w:w="80" w:type="dxa"/>
              <w:end w:w="120" w:type="dxa"/>
            </w:tcMar>
          </w:tcPr>
          <w:p>
            <w:pPr>
              <w:keepNext/>
              <w:spacing w:after="0" w:before="0"/>
            </w:pPr>
            <w:r/>
            <w:r>
              <w:rPr>
                <w:rFonts w:ascii="Calibri" w:hAnsi="Calibri"/>
                <w:b/>
                <w:color w:val="17365D"/>
                <w:sz w:val="16"/>
              </w:rPr>
              <w:t>Must not do</w:t>
            </w:r>
          </w:p>
        </w:tc>
      </w:tr>
      <w:tr>
        <w:trPr>
          <w:cantSplit/>
        </w:trPr>
        <w:tc>
          <w:tcPr>
            <w:tcW w:type="dxa" w:w="1250"/>
            <w:vAlign w:val="center"/>
            <w:tcMar>
              <w:top w:w="80" w:type="dxa"/>
              <w:start w:w="120" w:type="dxa"/>
              <w:bottom w:w="80" w:type="dxa"/>
              <w:end w:w="120" w:type="dxa"/>
            </w:tcMar>
          </w:tcPr>
          <w:p>
            <w:pPr>
              <w:spacing w:after="0" w:before="0"/>
            </w:pPr>
            <w:r/>
            <w:r>
              <w:rPr>
                <w:rFonts w:ascii="Calibri" w:hAnsi="Calibri"/>
                <w:b w:val="0"/>
                <w:color w:val="000000"/>
                <w:sz w:val="16"/>
              </w:rPr>
              <w:t>Governance</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nc25.governance</w:t>
            </w:r>
          </w:p>
        </w:tc>
        <w:tc>
          <w:tcPr>
            <w:tcW w:type="dxa" w:w="3150"/>
            <w:vAlign w:val="center"/>
            <w:tcMar>
              <w:top w:w="80" w:type="dxa"/>
              <w:start w:w="120" w:type="dxa"/>
              <w:bottom w:w="80" w:type="dxa"/>
              <w:end w:w="120" w:type="dxa"/>
            </w:tcMar>
          </w:tcPr>
          <w:p>
            <w:pPr>
              <w:spacing w:after="0" w:before="0"/>
            </w:pPr>
            <w:r/>
            <w:r>
              <w:rPr>
                <w:rFonts w:ascii="Calibri" w:hAnsi="Calibri"/>
                <w:b w:val="0"/>
                <w:color w:val="000000"/>
                <w:sz w:val="16"/>
              </w:rPr>
              <w:t>Activate declarations; issue and revoke grants; rotate and revoke permit signing keys</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Submit operator intent; consume permit; override a live refusal</w:t>
            </w:r>
          </w:p>
        </w:tc>
      </w:tr>
      <w:tr>
        <w:trPr>
          <w:cantSplit/>
        </w:trPr>
        <w:tc>
          <w:tcPr>
            <w:tcW w:type="dxa" w:w="1250"/>
            <w:vAlign w:val="center"/>
            <w:tcMar>
              <w:top w:w="80" w:type="dxa"/>
              <w:start w:w="120" w:type="dxa"/>
              <w:bottom w:w="80" w:type="dxa"/>
              <w:end w:w="120" w:type="dxa"/>
            </w:tcMar>
          </w:tcPr>
          <w:p>
            <w:pPr>
              <w:spacing w:after="0" w:before="0"/>
            </w:pPr>
            <w:r/>
            <w:r>
              <w:rPr>
                <w:rFonts w:ascii="Calibri" w:hAnsi="Calibri"/>
                <w:b w:val="0"/>
                <w:color w:val="000000"/>
                <w:sz w:val="16"/>
              </w:rPr>
              <w:t>Operator</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nc25.operator</w:t>
            </w:r>
          </w:p>
        </w:tc>
        <w:tc>
          <w:tcPr>
            <w:tcW w:type="dxa" w:w="3150"/>
            <w:vAlign w:val="center"/>
            <w:tcMar>
              <w:top w:w="80" w:type="dxa"/>
              <w:start w:w="120" w:type="dxa"/>
              <w:bottom w:w="80" w:type="dxa"/>
              <w:end w:w="120" w:type="dxa"/>
            </w:tcMar>
          </w:tcPr>
          <w:p>
            <w:pPr>
              <w:spacing w:after="0" w:before="0"/>
            </w:pPr>
            <w:r/>
            <w:r>
              <w:rPr>
                <w:rFonts w:ascii="Calibri" w:hAnsi="Calibri"/>
                <w:b w:val="0"/>
                <w:color w:val="000000"/>
                <w:sz w:val="16"/>
              </w:rPr>
              <w:t>Submit bound intent and evidence; receive minimal result</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Read gate internals; write profile, declaration, or architect trace</w:t>
            </w:r>
          </w:p>
        </w:tc>
      </w:tr>
      <w:tr>
        <w:trPr>
          <w:cantSplit/>
        </w:trPr>
        <w:tc>
          <w:tcPr>
            <w:tcW w:type="dxa" w:w="1250"/>
            <w:vAlign w:val="center"/>
            <w:tcMar>
              <w:top w:w="80" w:type="dxa"/>
              <w:start w:w="120" w:type="dxa"/>
              <w:bottom w:w="80" w:type="dxa"/>
              <w:end w:w="120" w:type="dxa"/>
            </w:tcMar>
          </w:tcPr>
          <w:p>
            <w:pPr>
              <w:spacing w:after="0" w:before="0"/>
            </w:pPr>
            <w:r/>
            <w:r>
              <w:rPr>
                <w:rFonts w:ascii="Calibri" w:hAnsi="Calibri"/>
                <w:b w:val="0"/>
                <w:color w:val="000000"/>
                <w:sz w:val="16"/>
              </w:rPr>
              <w:t>Executor</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nc25.executor</w:t>
            </w:r>
          </w:p>
        </w:tc>
        <w:tc>
          <w:tcPr>
            <w:tcW w:type="dxa" w:w="3150"/>
            <w:vAlign w:val="center"/>
            <w:tcMar>
              <w:top w:w="80" w:type="dxa"/>
              <w:start w:w="120" w:type="dxa"/>
              <w:bottom w:w="80" w:type="dxa"/>
              <w:end w:w="120" w:type="dxa"/>
            </w:tcMar>
          </w:tcPr>
          <w:p>
            <w:pPr>
              <w:spacing w:after="0" w:before="0"/>
            </w:pPr>
            <w:r/>
            <w:r>
              <w:rPr>
                <w:rFonts w:ascii="Calibri" w:hAnsi="Calibri"/>
                <w:b w:val="0"/>
                <w:color w:val="000000"/>
                <w:sz w:val="16"/>
              </w:rPr>
              <w:t>Consume one valid permit against the same binding and state</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Execute without permit; reuse permit; change action or target</w:t>
            </w:r>
          </w:p>
        </w:tc>
      </w:tr>
      <w:tr>
        <w:trPr>
          <w:cantSplit/>
        </w:trPr>
        <w:tc>
          <w:tcPr>
            <w:tcW w:type="dxa" w:w="1250"/>
            <w:vAlign w:val="center"/>
            <w:tcMar>
              <w:top w:w="80" w:type="dxa"/>
              <w:start w:w="120" w:type="dxa"/>
              <w:bottom w:w="80" w:type="dxa"/>
              <w:end w:w="120" w:type="dxa"/>
            </w:tcMar>
          </w:tcPr>
          <w:p>
            <w:pPr>
              <w:spacing w:after="0" w:before="0"/>
            </w:pPr>
            <w:r/>
            <w:r>
              <w:rPr>
                <w:rFonts w:ascii="Calibri" w:hAnsi="Calibri"/>
                <w:b w:val="0"/>
                <w:color w:val="000000"/>
                <w:sz w:val="16"/>
              </w:rPr>
              <w:t>Architect</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nc25.architect</w:t>
            </w:r>
          </w:p>
        </w:tc>
        <w:tc>
          <w:tcPr>
            <w:tcW w:type="dxa" w:w="3150"/>
            <w:vAlign w:val="center"/>
            <w:tcMar>
              <w:top w:w="80" w:type="dxa"/>
              <w:start w:w="120" w:type="dxa"/>
              <w:bottom w:w="80" w:type="dxa"/>
              <w:end w:w="120" w:type="dxa"/>
            </w:tcMar>
          </w:tcPr>
          <w:p>
            <w:pPr>
              <w:spacing w:after="0" w:before="0"/>
            </w:pPr>
            <w:r/>
            <w:r>
              <w:rPr>
                <w:rFonts w:ascii="Calibri" w:hAnsi="Calibri"/>
                <w:b w:val="0"/>
                <w:color w:val="000000"/>
                <w:sz w:val="16"/>
              </w:rPr>
              <w:t>Read post-event decisions, permits, chain head, and registry projection</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Feed trace data into action selection or alter the live gate</w:t>
            </w:r>
          </w:p>
        </w:tc>
      </w:tr>
      <w:tr>
        <w:trPr>
          <w:cantSplit/>
        </w:trPr>
        <w:tc>
          <w:tcPr>
            <w:tcW w:type="dxa" w:w="1250"/>
            <w:vAlign w:val="center"/>
            <w:tcMar>
              <w:top w:w="80" w:type="dxa"/>
              <w:start w:w="120" w:type="dxa"/>
              <w:bottom w:w="80" w:type="dxa"/>
              <w:end w:w="120" w:type="dxa"/>
            </w:tcMar>
          </w:tcPr>
          <w:p>
            <w:pPr>
              <w:spacing w:after="0" w:before="0"/>
            </w:pPr>
            <w:r/>
            <w:r>
              <w:rPr>
                <w:rFonts w:ascii="Calibri" w:hAnsi="Calibri"/>
                <w:b w:val="0"/>
                <w:color w:val="000000"/>
                <w:sz w:val="16"/>
              </w:rPr>
              <w:t>Observer</w:t>
            </w:r>
          </w:p>
        </w:tc>
        <w:tc>
          <w:tcPr>
            <w:tcW w:type="dxa" w:w="1750"/>
            <w:vAlign w:val="center"/>
            <w:tcMar>
              <w:top w:w="80" w:type="dxa"/>
              <w:start w:w="120" w:type="dxa"/>
              <w:bottom w:w="80" w:type="dxa"/>
              <w:end w:w="120" w:type="dxa"/>
            </w:tcMar>
          </w:tcPr>
          <w:p>
            <w:pPr>
              <w:spacing w:after="0" w:before="0"/>
            </w:pPr>
            <w:r/>
            <w:r>
              <w:rPr>
                <w:rFonts w:ascii="Calibri" w:hAnsi="Calibri"/>
                <w:b w:val="0"/>
                <w:color w:val="000000"/>
                <w:sz w:val="16"/>
              </w:rPr>
              <w:t>No authority principal</w:t>
            </w:r>
          </w:p>
        </w:tc>
        <w:tc>
          <w:tcPr>
            <w:tcW w:type="dxa" w:w="3150"/>
            <w:vAlign w:val="center"/>
            <w:tcMar>
              <w:top w:w="80" w:type="dxa"/>
              <w:start w:w="120" w:type="dxa"/>
              <w:bottom w:w="80" w:type="dxa"/>
              <w:end w:w="120" w:type="dxa"/>
            </w:tcMar>
          </w:tcPr>
          <w:p>
            <w:pPr>
              <w:spacing w:after="0" w:before="0"/>
            </w:pPr>
            <w:r/>
            <w:r>
              <w:rPr>
                <w:rFonts w:ascii="Calibri" w:hAnsi="Calibri"/>
                <w:b w:val="0"/>
                <w:color w:val="000000"/>
                <w:sz w:val="16"/>
              </w:rPr>
              <w:t>Read normalized channel, message code, event time, and subject reference</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Activate, evaluate, consume, or access architect evidence</w:t>
            </w:r>
          </w:p>
        </w:tc>
      </w:tr>
    </w:tbl>
    <w:p>
      <w:pPr>
        <w:spacing w:after="0"/>
      </w:pPr>
    </w:p>
    <w:tbl>
      <w:tblPr>
        <w:tblW w:type="dxa" w:w="9360"/>
        <w:jc w:val="center"/>
        <w:tblLayout w:type="fixed"/>
        <w:tblLook w:firstColumn="1" w:firstRow="1" w:lastColumn="0" w:lastRow="0" w:noHBand="0" w:noVBand="1" w:val="04A0"/>
        <w:tblInd w:w="180" w:type="dxa"/>
      </w:tblPr>
      <w:tblGrid>
        <w:gridCol w:w="9360"/>
      </w:tblGrid>
      <w:tr>
        <w:tc>
          <w:tcPr>
            <w:tcW w:type="dxa" w:w="9360"/>
            <w:shd w:fill="EEF4FA"/>
            <w:tcMar>
              <w:top w:w="140" w:type="dxa"/>
              <w:start w:w="180" w:type="dxa"/>
              <w:bottom w:w="140" w:type="dxa"/>
              <w:end w:w="180" w:type="dxa"/>
            </w:tcMar>
          </w:tcPr>
          <w:p>
            <w:pPr>
              <w:spacing w:before="60" w:after="60"/>
            </w:pPr>
            <w:r/>
            <w:r>
              <w:rPr>
                <w:rFonts w:ascii="Calibri" w:hAnsi="Calibri"/>
                <w:b/>
                <w:color w:val="17365D"/>
                <w:sz w:val="20"/>
              </w:rPr>
              <w:t xml:space="preserve">SEPARATION  </w:t>
            </w:r>
            <w:r>
              <w:rPr>
                <w:rFonts w:ascii="Calibri" w:hAnsi="Calibri"/>
                <w:sz w:val="20"/>
              </w:rPr>
              <w:t>mTLS authenticates the connection; scoped workload identity authorizes the role. The four authority scopes are non-interchangeable.</w:t>
            </w:r>
          </w:p>
        </w:tc>
      </w:tr>
    </w:tbl>
    <w:p>
      <w:pPr>
        <w:spacing w:after="0"/>
      </w:pPr>
    </w:p>
    <w:p>
      <w:pPr>
        <w:pStyle w:val="Heading1"/>
      </w:pPr>
      <w:r>
        <w:t>5. Contract objects</w:t>
      </w:r>
    </w:p>
    <w:p>
      <w:pPr>
        <w:pStyle w:val="Heading2"/>
      </w:pPr>
      <w:r>
        <w:t>5.1 Domain profile</w:t>
      </w:r>
    </w:p>
    <w:tbl>
      <w:tblPr>
        <w:tblStyle w:val="TableGrid"/>
        <w:tblW w:type="dxa" w:w="9360"/>
        <w:jc w:val="center"/>
        <w:tblLayout w:type="fixed"/>
        <w:tblLook w:firstColumn="1" w:firstRow="1" w:lastColumn="0" w:lastRow="0" w:noHBand="0" w:noVBand="1" w:val="04A0"/>
        <w:tblInd w:w="120" w:type="dxa"/>
      </w:tblPr>
      <w:tblGrid>
        <w:gridCol w:w="1900"/>
        <w:gridCol w:w="4250"/>
        <w:gridCol w:w="3210"/>
      </w:tblGrid>
      <w:tr>
        <w:trPr>
          <w:tblHeader w:val="true"/>
          <w:cantSplit/>
        </w:trPr>
        <w:tc>
          <w:tcPr>
            <w:tcW w:type="dxa" w:w="1900"/>
            <w:shd w:fill="F2F4F7"/>
            <w:vAlign w:val="center"/>
            <w:tcMar>
              <w:top w:w="80" w:type="dxa"/>
              <w:start w:w="120" w:type="dxa"/>
              <w:bottom w:w="80" w:type="dxa"/>
              <w:end w:w="120" w:type="dxa"/>
            </w:tcMar>
          </w:tcPr>
          <w:p>
            <w:pPr>
              <w:keepNext/>
              <w:spacing w:after="0" w:before="0"/>
            </w:pPr>
            <w:r/>
            <w:r>
              <w:rPr>
                <w:rFonts w:ascii="Calibri" w:hAnsi="Calibri"/>
                <w:b/>
                <w:color w:val="17365D"/>
                <w:sz w:val="16"/>
              </w:rPr>
              <w:t>Field group</w:t>
            </w:r>
          </w:p>
        </w:tc>
        <w:tc>
          <w:tcPr>
            <w:tcW w:type="dxa" w:w="4250"/>
            <w:shd w:fill="F2F4F7"/>
            <w:vAlign w:val="center"/>
            <w:tcMar>
              <w:top w:w="80" w:type="dxa"/>
              <w:start w:w="120" w:type="dxa"/>
              <w:bottom w:w="80" w:type="dxa"/>
              <w:end w:w="120" w:type="dxa"/>
            </w:tcMar>
          </w:tcPr>
          <w:p>
            <w:pPr>
              <w:keepNext/>
              <w:spacing w:after="0" w:before="0"/>
            </w:pPr>
            <w:r/>
            <w:r>
              <w:rPr>
                <w:rFonts w:ascii="Calibri" w:hAnsi="Calibri"/>
                <w:b/>
                <w:color w:val="17365D"/>
                <w:sz w:val="16"/>
              </w:rPr>
              <w:t>Required content</w:t>
            </w:r>
          </w:p>
        </w:tc>
        <w:tc>
          <w:tcPr>
            <w:tcW w:type="dxa" w:w="3210"/>
            <w:shd w:fill="F2F4F7"/>
            <w:vAlign w:val="center"/>
            <w:tcMar>
              <w:top w:w="80" w:type="dxa"/>
              <w:start w:w="120" w:type="dxa"/>
              <w:bottom w:w="80" w:type="dxa"/>
              <w:end w:w="120" w:type="dxa"/>
            </w:tcMar>
          </w:tcPr>
          <w:p>
            <w:pPr>
              <w:keepNext/>
              <w:spacing w:after="0" w:before="0"/>
            </w:pPr>
            <w:r/>
            <w:r>
              <w:rPr>
                <w:rFonts w:ascii="Calibri" w:hAnsi="Calibri"/>
                <w:b/>
                <w:color w:val="17365D"/>
                <w:sz w:val="16"/>
              </w:rPr>
              <w:t>Why it is load-bearing</w:t>
            </w:r>
          </w:p>
        </w:tc>
      </w:tr>
      <w:tr>
        <w:trPr>
          <w:cantSplit/>
        </w:trPr>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Core anchor</w:t>
            </w:r>
          </w:p>
        </w:tc>
        <w:tc>
          <w:tcPr>
            <w:tcW w:type="dxa" w:w="4250"/>
            <w:vAlign w:val="center"/>
            <w:tcMar>
              <w:top w:w="80" w:type="dxa"/>
              <w:start w:w="120" w:type="dxa"/>
              <w:bottom w:w="80" w:type="dxa"/>
              <w:end w:w="120" w:type="dxa"/>
            </w:tcMar>
          </w:tcPr>
          <w:p>
            <w:pPr>
              <w:spacing w:after="0" w:before="0"/>
            </w:pPr>
            <w:r/>
            <w:r>
              <w:rPr>
                <w:rFonts w:ascii="Calibri" w:hAnsi="Calibri"/>
                <w:b w:val="0"/>
                <w:color w:val="000000"/>
                <w:sz w:val="16"/>
              </w:rPr>
              <w:t>File, version, DOI, SHA-256</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Prevents silent rebinding to another source</w:t>
            </w:r>
          </w:p>
        </w:tc>
      </w:tr>
      <w:tr>
        <w:trPr>
          <w:cantSplit/>
        </w:trPr>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Action alphabet</w:t>
            </w:r>
          </w:p>
        </w:tc>
        <w:tc>
          <w:tcPr>
            <w:tcW w:type="dxa" w:w="4250"/>
            <w:vAlign w:val="center"/>
            <w:tcMar>
              <w:top w:w="80" w:type="dxa"/>
              <w:start w:w="120" w:type="dxa"/>
              <w:bottom w:w="80" w:type="dxa"/>
              <w:end w:w="120" w:type="dxa"/>
            </w:tcMar>
          </w:tcPr>
          <w:p>
            <w:pPr>
              <w:spacing w:after="0" w:before="0"/>
            </w:pPr>
            <w:r/>
            <w:r>
              <w:rPr>
                <w:rFonts w:ascii="Calibri" w:hAnsi="Calibri"/>
                <w:b w:val="0"/>
                <w:color w:val="000000"/>
                <w:sz w:val="16"/>
              </w:rPr>
              <w:t>Action ID, description, effect class, structural cost, resources</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Closes the candidate type</w:t>
            </w:r>
          </w:p>
        </w:tc>
      </w:tr>
      <w:tr>
        <w:trPr>
          <w:cantSplit/>
        </w:trPr>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Effect classes</w:t>
            </w:r>
          </w:p>
        </w:tc>
        <w:tc>
          <w:tcPr>
            <w:tcW w:type="dxa" w:w="4250"/>
            <w:vAlign w:val="center"/>
            <w:tcMar>
              <w:top w:w="80" w:type="dxa"/>
              <w:start w:w="120" w:type="dxa"/>
              <w:bottom w:w="80" w:type="dxa"/>
              <w:end w:w="120" w:type="dxa"/>
            </w:tcMar>
          </w:tcPr>
          <w:p>
            <w:pPr>
              <w:spacing w:after="0" w:before="0"/>
            </w:pPr>
            <w:r/>
            <w:r>
              <w:rPr>
                <w:rFonts w:ascii="Calibri" w:hAnsi="Calibri"/>
                <w:b w:val="0"/>
                <w:color w:val="000000"/>
                <w:sz w:val="16"/>
              </w:rPr>
              <w:t>Effect ID and external-mutation flag</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Separates action from effect</w:t>
            </w:r>
          </w:p>
        </w:tc>
      </w:tr>
      <w:tr>
        <w:trPr>
          <w:cantSplit/>
        </w:trPr>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Resource catalog</w:t>
            </w:r>
          </w:p>
        </w:tc>
        <w:tc>
          <w:tcPr>
            <w:tcW w:type="dxa" w:w="4250"/>
            <w:vAlign w:val="center"/>
            <w:tcMar>
              <w:top w:w="80" w:type="dxa"/>
              <w:start w:w="120" w:type="dxa"/>
              <w:bottom w:w="80" w:type="dxa"/>
              <w:end w:w="120" w:type="dxa"/>
            </w:tcMar>
          </w:tcPr>
          <w:p>
            <w:pPr>
              <w:spacing w:after="0" w:before="0"/>
            </w:pPr>
            <w:r/>
            <w:r>
              <w:rPr>
                <w:rFonts w:ascii="Calibri" w:hAnsi="Calibri"/>
                <w:b w:val="0"/>
                <w:color w:val="000000"/>
                <w:sz w:val="16"/>
              </w:rPr>
              <w:t>Unit, claim rule, reservation requirement</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Makes domain capacity explicit</w:t>
            </w:r>
          </w:p>
        </w:tc>
      </w:tr>
      <w:tr>
        <w:trPr>
          <w:cantSplit/>
        </w:trPr>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Controls</w:t>
            </w:r>
          </w:p>
        </w:tc>
        <w:tc>
          <w:tcPr>
            <w:tcW w:type="dxa" w:w="4250"/>
            <w:vAlign w:val="center"/>
            <w:tcMar>
              <w:top w:w="80" w:type="dxa"/>
              <w:start w:w="120" w:type="dxa"/>
              <w:bottom w:w="80" w:type="dxa"/>
              <w:end w:w="120" w:type="dxa"/>
            </w:tcMar>
          </w:tcPr>
          <w:p>
            <w:pPr>
              <w:spacing w:after="0" w:before="0"/>
            </w:pPr>
            <w:r/>
            <w:r>
              <w:rPr>
                <w:rFonts w:ascii="Calibri" w:hAnsi="Calibri"/>
                <w:b w:val="0"/>
                <w:color w:val="000000"/>
                <w:sz w:val="16"/>
              </w:rPr>
              <w:t>Prerequisites, hard blocks, review flags, safe fallback</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Separates gate logic from workflow routing</w:t>
            </w:r>
          </w:p>
        </w:tc>
      </w:tr>
      <w:tr>
        <w:trPr>
          <w:cantSplit/>
        </w:trPr>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Evidence requirements</w:t>
            </w:r>
          </w:p>
        </w:tc>
        <w:tc>
          <w:tcPr>
            <w:tcW w:type="dxa" w:w="4250"/>
            <w:vAlign w:val="center"/>
            <w:tcMar>
              <w:top w:w="80" w:type="dxa"/>
              <w:start w:w="120" w:type="dxa"/>
              <w:bottom w:w="80" w:type="dxa"/>
              <w:end w:w="120" w:type="dxa"/>
            </w:tcMar>
          </w:tcPr>
          <w:p>
            <w:pPr>
              <w:spacing w:after="0" w:before="0"/>
            </w:pPr>
            <w:r/>
            <w:r>
              <w:rPr>
                <w:rFonts w:ascii="Calibri" w:hAnsi="Calibri"/>
                <w:b w:val="0"/>
                <w:color w:val="000000"/>
                <w:sz w:val="16"/>
              </w:rPr>
              <w:t>Action coverage and evidence types</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Prevents unsupported mapping</w:t>
            </w:r>
          </w:p>
        </w:tc>
      </w:tr>
      <w:tr>
        <w:trPr>
          <w:cantSplit/>
        </w:trPr>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Mapping witness</w:t>
            </w:r>
          </w:p>
        </w:tc>
        <w:tc>
          <w:tcPr>
            <w:tcW w:type="dxa" w:w="4250"/>
            <w:vAlign w:val="center"/>
            <w:tcMar>
              <w:top w:w="80" w:type="dxa"/>
              <w:start w:w="120" w:type="dxa"/>
              <w:bottom w:w="80" w:type="dxa"/>
              <w:end w:w="120" w:type="dxa"/>
            </w:tcMar>
          </w:tcPr>
          <w:p>
            <w:pPr>
              <w:spacing w:after="0" w:before="0"/>
            </w:pPr>
            <w:r/>
            <w:r>
              <w:rPr>
                <w:rFonts w:ascii="Calibri" w:hAnsi="Calibri"/>
                <w:b w:val="0"/>
                <w:color w:val="000000"/>
                <w:sz w:val="16"/>
              </w:rPr>
              <w:t>Method, evidence, full action/effect coverage, hash</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Blocks transfer-by-similarity</w:t>
            </w:r>
          </w:p>
        </w:tc>
      </w:tr>
      <w:tr>
        <w:trPr>
          <w:cantSplit/>
        </w:trPr>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Roles and failure posture</w:t>
            </w:r>
          </w:p>
        </w:tc>
        <w:tc>
          <w:tcPr>
            <w:tcW w:type="dxa" w:w="4250"/>
            <w:vAlign w:val="center"/>
            <w:tcMar>
              <w:top w:w="80" w:type="dxa"/>
              <w:start w:w="120" w:type="dxa"/>
              <w:bottom w:w="80" w:type="dxa"/>
              <w:end w:w="120" w:type="dxa"/>
            </w:tcMar>
          </w:tcPr>
          <w:p>
            <w:pPr>
              <w:spacing w:after="0" w:before="0"/>
            </w:pPr>
            <w:r/>
            <w:r>
              <w:rPr>
                <w:rFonts w:ascii="Calibri" w:hAnsi="Calibri"/>
                <w:b w:val="0"/>
                <w:color w:val="000000"/>
                <w:sz w:val="16"/>
              </w:rPr>
              <w:t>Scopes, forbidden operator fields, non-executable outcomes</w:t>
            </w:r>
          </w:p>
        </w:tc>
        <w:tc>
          <w:tcPr>
            <w:tcW w:type="dxa" w:w="3210"/>
            <w:vAlign w:val="center"/>
            <w:tcMar>
              <w:top w:w="80" w:type="dxa"/>
              <w:start w:w="120" w:type="dxa"/>
              <w:bottom w:w="80" w:type="dxa"/>
              <w:end w:w="120" w:type="dxa"/>
            </w:tcMar>
          </w:tcPr>
          <w:p>
            <w:pPr>
              <w:spacing w:after="0" w:before="0"/>
            </w:pPr>
            <w:r/>
            <w:r>
              <w:rPr>
                <w:rFonts w:ascii="Calibri" w:hAnsi="Calibri"/>
                <w:b w:val="0"/>
                <w:color w:val="000000"/>
                <w:sz w:val="16"/>
              </w:rPr>
              <w:t>Preserves interface separation</w:t>
            </w:r>
          </w:p>
        </w:tc>
      </w:tr>
    </w:tbl>
    <w:p>
      <w:pPr>
        <w:spacing w:after="0"/>
      </w:pPr>
    </w:p>
    <w:p>
      <w:pPr>
        <w:pStyle w:val="Heading2"/>
      </w:pPr>
      <w:r>
        <w:t>5.2 Connection declaration</w:t>
      </w:r>
    </w:p>
    <w:p>
      <w:pPr>
        <w:pStyle w:val="ListBullet"/>
      </w:pPr>
      <w:r>
        <w:t>binds one profile identifier, version, and canonical hash;</w:t>
      </w:r>
    </w:p>
    <w:p>
      <w:pPr>
        <w:pStyle w:val="ListBullet"/>
      </w:pPr>
      <w:r>
        <w:t>identifies one connector, identity issuer, and permitted environments;</w:t>
      </w:r>
    </w:p>
    <w:p>
      <w:pPr>
        <w:pStyle w:val="ListBullet"/>
      </w:pPr>
      <w:r>
        <w:t>narrows actions, effects, targets, explicit action-target bindings, and scope values;</w:t>
      </w:r>
    </w:p>
    <w:p>
      <w:pPr>
        <w:pStyle w:val="ListBullet"/>
      </w:pPr>
      <w:r>
        <w:t>declares a structural selector, capacity, and capacity provenance coding independently from domain limits;</w:t>
      </w:r>
    </w:p>
    <w:p>
      <w:pPr>
        <w:pStyle w:val="ListBullet"/>
      </w:pPr>
      <w:r>
        <w:t>declares resource limits per intent and per time window;</w:t>
      </w:r>
    </w:p>
    <w:p>
      <w:pPr>
        <w:pStyle w:val="ListBullet"/>
      </w:pPr>
      <w:r>
        <w:t>names owners, interfaces, off-limits systems, and change process;</w:t>
      </w:r>
    </w:p>
    <w:p>
      <w:pPr>
        <w:pStyle w:val="ListBullet"/>
      </w:pPr>
      <w:r>
        <w:t>binds the mapping witness and immutable approval evidence.</w:t>
      </w:r>
    </w:p>
    <w:p>
      <w:pPr>
        <w:pStyle w:val="Heading2"/>
      </w:pPr>
      <w:r>
        <w:t>5.3 Runtime objects</w:t>
      </w:r>
    </w:p>
    <w:tbl>
      <w:tblPr>
        <w:tblStyle w:val="TableGrid"/>
        <w:tblW w:type="dxa" w:w="9360"/>
        <w:jc w:val="center"/>
        <w:tblLayout w:type="fixed"/>
        <w:tblLook w:firstColumn="1" w:firstRow="1" w:lastColumn="0" w:lastRow="0" w:noHBand="0" w:noVBand="1" w:val="04A0"/>
        <w:tblInd w:w="120" w:type="dxa"/>
      </w:tblPr>
      <w:tblGrid>
        <w:gridCol w:w="1700"/>
        <w:gridCol w:w="5770"/>
        <w:gridCol w:w="1890"/>
      </w:tblGrid>
      <w:tr>
        <w:trPr>
          <w:tblHeader w:val="true"/>
          <w:cantSplit/>
        </w:trPr>
        <w:tc>
          <w:tcPr>
            <w:tcW w:type="dxa" w:w="1700"/>
            <w:shd w:fill="F2F4F7"/>
            <w:vAlign w:val="center"/>
            <w:tcMar>
              <w:top w:w="80" w:type="dxa"/>
              <w:start w:w="120" w:type="dxa"/>
              <w:bottom w:w="80" w:type="dxa"/>
              <w:end w:w="120" w:type="dxa"/>
            </w:tcMar>
          </w:tcPr>
          <w:p>
            <w:pPr>
              <w:keepNext/>
              <w:spacing w:after="0" w:before="0"/>
            </w:pPr>
            <w:r/>
            <w:r>
              <w:rPr>
                <w:rFonts w:ascii="Calibri" w:hAnsi="Calibri"/>
                <w:b/>
                <w:color w:val="17365D"/>
                <w:sz w:val="16"/>
              </w:rPr>
              <w:t>Object</w:t>
            </w:r>
          </w:p>
        </w:tc>
        <w:tc>
          <w:tcPr>
            <w:tcW w:type="dxa" w:w="5770"/>
            <w:shd w:fill="F2F4F7"/>
            <w:vAlign w:val="center"/>
            <w:tcMar>
              <w:top w:w="80" w:type="dxa"/>
              <w:start w:w="120" w:type="dxa"/>
              <w:bottom w:w="80" w:type="dxa"/>
              <w:end w:w="120" w:type="dxa"/>
            </w:tcMar>
          </w:tcPr>
          <w:p>
            <w:pPr>
              <w:keepNext/>
              <w:spacing w:after="0" w:before="0"/>
            </w:pPr>
            <w:r/>
            <w:r>
              <w:rPr>
                <w:rFonts w:ascii="Calibri" w:hAnsi="Calibri"/>
                <w:b/>
                <w:color w:val="17365D"/>
                <w:sz w:val="16"/>
              </w:rPr>
              <w:t>Binding</w:t>
            </w:r>
          </w:p>
        </w:tc>
        <w:tc>
          <w:tcPr>
            <w:tcW w:type="dxa" w:w="1890"/>
            <w:shd w:fill="F2F4F7"/>
            <w:vAlign w:val="center"/>
            <w:tcMar>
              <w:top w:w="80" w:type="dxa"/>
              <w:start w:w="120" w:type="dxa"/>
              <w:bottom w:w="80" w:type="dxa"/>
              <w:end w:w="120" w:type="dxa"/>
            </w:tcMar>
          </w:tcPr>
          <w:p>
            <w:pPr>
              <w:keepNext/>
              <w:spacing w:after="0" w:before="0"/>
            </w:pPr>
            <w:r/>
            <w:r>
              <w:rPr>
                <w:rFonts w:ascii="Calibri" w:hAnsi="Calibri"/>
                <w:b/>
                <w:color w:val="17365D"/>
                <w:sz w:val="16"/>
              </w:rPr>
              <w:t>Executable?</w:t>
            </w:r>
          </w:p>
        </w:tc>
      </w:tr>
      <w:tr>
        <w:trPr>
          <w:cantSplit/>
        </w:trPr>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Authority grant</w:t>
            </w:r>
          </w:p>
        </w:tc>
        <w:tc>
          <w:tcPr>
            <w:tcW w:type="dxa" w:w="5770"/>
            <w:vAlign w:val="center"/>
            <w:tcMar>
              <w:top w:w="80" w:type="dxa"/>
              <w:start w:w="120" w:type="dxa"/>
              <w:bottom w:w="80" w:type="dxa"/>
              <w:end w:w="120" w:type="dxa"/>
            </w:tcMar>
          </w:tcPr>
          <w:p>
            <w:pPr>
              <w:spacing w:after="0" w:before="0"/>
            </w:pPr>
            <w:r/>
            <w:r>
              <w:rPr>
                <w:rFonts w:ascii="Calibri" w:hAnsi="Calibri"/>
                <w:b w:val="0"/>
                <w:color w:val="000000"/>
                <w:sz w:val="16"/>
              </w:rPr>
              <w:t>Profile + declaration hashes, subject, connector, actions, targets, time</w:t>
            </w:r>
          </w:p>
        </w:tc>
        <w:tc>
          <w:tcPr>
            <w:tcW w:type="dxa" w:w="1890"/>
            <w:vAlign w:val="center"/>
            <w:tcMar>
              <w:top w:w="80" w:type="dxa"/>
              <w:start w:w="120" w:type="dxa"/>
              <w:bottom w:w="80" w:type="dxa"/>
              <w:end w:w="120" w:type="dxa"/>
            </w:tcMar>
          </w:tcPr>
          <w:p>
            <w:pPr>
              <w:spacing w:after="0" w:before="0"/>
            </w:pPr>
            <w:r/>
            <w:r>
              <w:rPr>
                <w:rFonts w:ascii="Calibri" w:hAnsi="Calibri"/>
                <w:b w:val="0"/>
                <w:color w:val="000000"/>
                <w:sz w:val="16"/>
              </w:rPr>
              <w:t>No</w:t>
            </w:r>
          </w:p>
        </w:tc>
      </w:tr>
      <w:tr>
        <w:trPr>
          <w:cantSplit/>
        </w:trPr>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Intent</w:t>
            </w:r>
          </w:p>
        </w:tc>
        <w:tc>
          <w:tcPr>
            <w:tcW w:type="dxa" w:w="5770"/>
            <w:vAlign w:val="center"/>
            <w:tcMar>
              <w:top w:w="80" w:type="dxa"/>
              <w:start w:w="120" w:type="dxa"/>
              <w:bottom w:w="80" w:type="dxa"/>
              <w:end w:w="120" w:type="dxa"/>
            </w:tcMar>
          </w:tcPr>
          <w:p>
            <w:pPr>
              <w:spacing w:after="0" w:before="0"/>
            </w:pPr>
            <w:r/>
            <w:r>
              <w:rPr>
                <w:rFonts w:ascii="Calibri" w:hAnsi="Calibri"/>
                <w:b w:val="0"/>
                <w:color w:val="000000"/>
                <w:sz w:val="16"/>
              </w:rPr>
              <w:t>Grant, profile + declaration hashes, action, target, scope, state, resource claims</w:t>
            </w:r>
          </w:p>
        </w:tc>
        <w:tc>
          <w:tcPr>
            <w:tcW w:type="dxa" w:w="1890"/>
            <w:vAlign w:val="center"/>
            <w:tcMar>
              <w:top w:w="80" w:type="dxa"/>
              <w:start w:w="120" w:type="dxa"/>
              <w:bottom w:w="80" w:type="dxa"/>
              <w:end w:w="120" w:type="dxa"/>
            </w:tcMar>
          </w:tcPr>
          <w:p>
            <w:pPr>
              <w:spacing w:after="0" w:before="0"/>
            </w:pPr>
            <w:r/>
            <w:r>
              <w:rPr>
                <w:rFonts w:ascii="Calibri" w:hAnsi="Calibri"/>
                <w:b w:val="0"/>
                <w:color w:val="000000"/>
                <w:sz w:val="16"/>
              </w:rPr>
              <w:t>No</w:t>
            </w:r>
          </w:p>
        </w:tc>
      </w:tr>
      <w:tr>
        <w:trPr>
          <w:cantSplit/>
        </w:trPr>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Evidence bundle</w:t>
            </w:r>
          </w:p>
        </w:tc>
        <w:tc>
          <w:tcPr>
            <w:tcW w:type="dxa" w:w="5770"/>
            <w:vAlign w:val="center"/>
            <w:tcMar>
              <w:top w:w="80" w:type="dxa"/>
              <w:start w:w="120" w:type="dxa"/>
              <w:bottom w:w="80" w:type="dxa"/>
              <w:end w:w="120" w:type="dxa"/>
            </w:tcMar>
          </w:tcPr>
          <w:p>
            <w:pPr>
              <w:spacing w:after="0" w:before="0"/>
            </w:pPr>
            <w:r/>
            <w:r>
              <w:rPr>
                <w:rFonts w:ascii="Calibri" w:hAnsi="Calibri"/>
                <w:b w:val="0"/>
                <w:color w:val="000000"/>
                <w:sz w:val="16"/>
              </w:rPr>
              <w:t>Intent ID, typed references, content hashes, evaluator-resolved status</w:t>
            </w:r>
          </w:p>
        </w:tc>
        <w:tc>
          <w:tcPr>
            <w:tcW w:type="dxa" w:w="1890"/>
            <w:vAlign w:val="center"/>
            <w:tcMar>
              <w:top w:w="80" w:type="dxa"/>
              <w:start w:w="120" w:type="dxa"/>
              <w:bottom w:w="80" w:type="dxa"/>
              <w:end w:w="120" w:type="dxa"/>
            </w:tcMar>
          </w:tcPr>
          <w:p>
            <w:pPr>
              <w:spacing w:after="0" w:before="0"/>
            </w:pPr>
            <w:r/>
            <w:r>
              <w:rPr>
                <w:rFonts w:ascii="Calibri" w:hAnsi="Calibri"/>
                <w:b w:val="0"/>
                <w:color w:val="000000"/>
                <w:sz w:val="16"/>
              </w:rPr>
              <w:t>No</w:t>
            </w:r>
          </w:p>
        </w:tc>
      </w:tr>
      <w:tr>
        <w:trPr>
          <w:cantSplit/>
        </w:trPr>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Operator result</w:t>
            </w:r>
          </w:p>
        </w:tc>
        <w:tc>
          <w:tcPr>
            <w:tcW w:type="dxa" w:w="5770"/>
            <w:vAlign w:val="center"/>
            <w:tcMar>
              <w:top w:w="80" w:type="dxa"/>
              <w:start w:w="120" w:type="dxa"/>
              <w:bottom w:w="80" w:type="dxa"/>
              <w:end w:w="120" w:type="dxa"/>
            </w:tcMar>
          </w:tcPr>
          <w:p>
            <w:pPr>
              <w:spacing w:after="0" w:before="0"/>
            </w:pPr>
            <w:r/>
            <w:r>
              <w:rPr>
                <w:rFonts w:ascii="Calibri" w:hAnsi="Calibri"/>
                <w:b w:val="0"/>
                <w:color w:val="000000"/>
                <w:sz w:val="16"/>
              </w:rPr>
              <w:t>Intent and request hashes; normalized disposition</w:t>
            </w:r>
          </w:p>
        </w:tc>
        <w:tc>
          <w:tcPr>
            <w:tcW w:type="dxa" w:w="1890"/>
            <w:vAlign w:val="center"/>
            <w:tcMar>
              <w:top w:w="80" w:type="dxa"/>
              <w:start w:w="120" w:type="dxa"/>
              <w:bottom w:w="80" w:type="dxa"/>
              <w:end w:w="120" w:type="dxa"/>
            </w:tcMar>
          </w:tcPr>
          <w:p>
            <w:pPr>
              <w:spacing w:after="0" w:before="0"/>
            </w:pPr>
            <w:r/>
            <w:r>
              <w:rPr>
                <w:rFonts w:ascii="Calibri" w:hAnsi="Calibri"/>
                <w:b w:val="0"/>
                <w:color w:val="000000"/>
                <w:sz w:val="16"/>
              </w:rPr>
              <w:t>Only ALLOW carries a permit hash</w:t>
            </w:r>
          </w:p>
        </w:tc>
      </w:tr>
      <w:tr>
        <w:trPr>
          <w:cantSplit/>
        </w:trPr>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Execution permit</w:t>
            </w:r>
          </w:p>
        </w:tc>
        <w:tc>
          <w:tcPr>
            <w:tcW w:type="dxa" w:w="5770"/>
            <w:vAlign w:val="center"/>
            <w:tcMar>
              <w:top w:w="80" w:type="dxa"/>
              <w:start w:w="120" w:type="dxa"/>
              <w:bottom w:w="80" w:type="dxa"/>
              <w:end w:w="120" w:type="dxa"/>
            </w:tcMar>
          </w:tcPr>
          <w:p>
            <w:pPr>
              <w:spacing w:after="0" w:before="0"/>
            </w:pPr>
            <w:r/>
            <w:r>
              <w:rPr>
                <w:rFonts w:ascii="Calibri" w:hAnsi="Calibri"/>
                <w:b w:val="0"/>
                <w:color w:val="000000"/>
                <w:sz w:val="16"/>
              </w:rPr>
              <w:t>Exact request, state, grant, action, effect, target, reservation, expiry</w:t>
            </w:r>
          </w:p>
        </w:tc>
        <w:tc>
          <w:tcPr>
            <w:tcW w:type="dxa" w:w="1890"/>
            <w:vAlign w:val="center"/>
            <w:tcMar>
              <w:top w:w="80" w:type="dxa"/>
              <w:start w:w="120" w:type="dxa"/>
              <w:bottom w:w="80" w:type="dxa"/>
              <w:end w:w="120" w:type="dxa"/>
            </w:tcMar>
          </w:tcPr>
          <w:p>
            <w:pPr>
              <w:spacing w:after="0" w:before="0"/>
            </w:pPr>
            <w:r/>
            <w:r>
              <w:rPr>
                <w:rFonts w:ascii="Calibri" w:hAnsi="Calibri"/>
                <w:b w:val="0"/>
                <w:color w:val="000000"/>
                <w:sz w:val="16"/>
              </w:rPr>
              <w:t>Yes, once</w:t>
            </w:r>
          </w:p>
        </w:tc>
      </w:tr>
      <w:tr>
        <w:trPr>
          <w:cantSplit/>
        </w:trPr>
        <w:tc>
          <w:tcPr>
            <w:tcW w:type="dxa" w:w="1700"/>
            <w:vAlign w:val="center"/>
            <w:tcMar>
              <w:top w:w="80" w:type="dxa"/>
              <w:start w:w="120" w:type="dxa"/>
              <w:bottom w:w="80" w:type="dxa"/>
              <w:end w:w="120" w:type="dxa"/>
            </w:tcMar>
          </w:tcPr>
          <w:p>
            <w:pPr>
              <w:spacing w:after="0" w:before="0"/>
            </w:pPr>
            <w:r/>
            <w:r>
              <w:rPr>
                <w:rFonts w:ascii="Calibri" w:hAnsi="Calibri"/>
                <w:b w:val="0"/>
                <w:color w:val="000000"/>
                <w:sz w:val="16"/>
              </w:rPr>
              <w:t>Execution receipt</w:t>
            </w:r>
          </w:p>
        </w:tc>
        <w:tc>
          <w:tcPr>
            <w:tcW w:type="dxa" w:w="5770"/>
            <w:vAlign w:val="center"/>
            <w:tcMar>
              <w:top w:w="80" w:type="dxa"/>
              <w:start w:w="120" w:type="dxa"/>
              <w:bottom w:w="80" w:type="dxa"/>
              <w:end w:w="120" w:type="dxa"/>
            </w:tcMar>
          </w:tcPr>
          <w:p>
            <w:pPr>
              <w:spacing w:after="0" w:before="0"/>
            </w:pPr>
            <w:r/>
            <w:r>
              <w:rPr>
                <w:rFonts w:ascii="Calibri" w:hAnsi="Calibri"/>
                <w:b w:val="0"/>
                <w:color w:val="000000"/>
                <w:sz w:val="16"/>
              </w:rPr>
              <w:t>Permit, outcome, debits, local event hash, receipt hash</w:t>
            </w:r>
          </w:p>
        </w:tc>
        <w:tc>
          <w:tcPr>
            <w:tcW w:type="dxa" w:w="1890"/>
            <w:vAlign w:val="center"/>
            <w:tcMar>
              <w:top w:w="80" w:type="dxa"/>
              <w:start w:w="120" w:type="dxa"/>
              <w:bottom w:w="80" w:type="dxa"/>
              <w:end w:w="120" w:type="dxa"/>
            </w:tcMar>
          </w:tcPr>
          <w:p>
            <w:pPr>
              <w:spacing w:after="0" w:before="0"/>
            </w:pPr>
            <w:r/>
            <w:r>
              <w:rPr>
                <w:rFonts w:ascii="Calibri" w:hAnsi="Calibri"/>
                <w:b w:val="0"/>
                <w:color w:val="000000"/>
                <w:sz w:val="16"/>
              </w:rPr>
              <w:t>Post-event evidence</w:t>
            </w:r>
          </w:p>
        </w:tc>
      </w:tr>
    </w:tbl>
    <w:p>
      <w:pPr>
        <w:spacing w:after="0"/>
      </w:pPr>
    </w:p>
    <w:p>
      <w:pPr>
        <w:pStyle w:val="Heading2"/>
      </w:pPr>
      <w:r>
        <w:t>5.4 Canonical hash rule</w:t>
      </w:r>
    </w:p>
    <w:tbl>
      <w:tblPr>
        <w:tblW w:type="dxa" w:w="9360"/>
        <w:jc w:val="center"/>
        <w:tblLayout w:type="fixed"/>
        <w:tblLook w:firstColumn="1" w:firstRow="1" w:lastColumn="0" w:lastRow="0" w:noHBand="0" w:noVBand="1" w:val="04A0"/>
        <w:tblInd w:w="180" w:type="dxa"/>
      </w:tblPr>
      <w:tblGrid>
        <w:gridCol w:w="9360"/>
      </w:tblGrid>
      <w:tr>
        <w:tc>
          <w:tcPr>
            <w:tcW w:type="dxa" w:w="9360"/>
            <w:shd w:fill="F7F9FB"/>
            <w:tcMar>
              <w:top w:w="140" w:type="dxa"/>
              <w:start w:w="180" w:type="dxa"/>
              <w:bottom w:w="140" w:type="dxa"/>
              <w:end w:w="180" w:type="dxa"/>
            </w:tcMar>
          </w:tcPr>
          <w:p>
            <w:pPr>
              <w:spacing w:before="0" w:after="0"/>
            </w:pPr>
            <w:r/>
            <w:r>
              <w:rPr>
                <w:rFonts w:ascii="Consolas" w:hAnsi="Consolas"/>
                <w:color w:val="263238"/>
                <w:sz w:val="17"/>
              </w:rPr>
              <w:t>bytes = UTF8(JSON(value, sort_keys=true, separators=(',', ':'), ensure_ascii=false))</w:t>
            </w:r>
          </w:p>
          <w:p>
            <w:pPr>
              <w:spacing w:before="0" w:after="0"/>
            </w:pPr>
            <w:r>
              <w:rPr>
                <w:rFonts w:ascii="Consolas" w:hAnsi="Consolas"/>
                <w:color w:val="263238"/>
                <w:sz w:val="17"/>
              </w:rPr>
              <w:t>object_hash = UPPERCASE_HEX(SHA256(bytes))</w:t>
            </w:r>
          </w:p>
          <w:p>
            <w:pPr>
              <w:spacing w:before="0" w:after="0"/>
            </w:pPr>
            <w:r>
              <w:rPr>
                <w:rFonts w:ascii="Consolas" w:hAnsi="Consolas"/>
                <w:color w:val="263238"/>
                <w:sz w:val="17"/>
              </w:rPr>
              <w:t>witness_hash = SHA256(canonical witness object with witness_hash omitted)</w:t>
            </w:r>
          </w:p>
        </w:tc>
      </w:tr>
    </w:tbl>
    <w:p>
      <w:pPr>
        <w:spacing w:after="0"/>
      </w:pPr>
    </w:p>
    <w:p>
      <w:r>
        <w:t>A changed canonical byte sequence is a changed object. A material change must therefore produce a new version, new hash, and new approval record.</w:t>
      </w:r>
    </w:p>
    <w:p>
      <w:pPr>
        <w:pStyle w:val="Heading1"/>
      </w:pPr>
      <w:r>
        <w:t>6. Runtime state machine</w:t>
      </w:r>
    </w:p>
    <w:p>
      <w:pPr>
        <w:pStyle w:val="Heading2"/>
      </w:pPr>
      <w:r>
        <w:t>6.1 Declaration lifecycle</w:t>
      </w:r>
    </w:p>
    <w:tbl>
      <w:tblPr>
        <w:tblStyle w:val="TableGrid"/>
        <w:tblW w:type="dxa" w:w="9360"/>
        <w:jc w:val="center"/>
        <w:tblLayout w:type="fixed"/>
        <w:tblLook w:firstColumn="1" w:firstRow="1" w:lastColumn="0" w:lastRow="0" w:noHBand="0" w:noVBand="1" w:val="04A0"/>
        <w:tblInd w:w="120" w:type="dxa"/>
      </w:tblPr>
      <w:tblGrid>
        <w:gridCol w:w="1200"/>
        <w:gridCol w:w="4710"/>
        <w:gridCol w:w="3450"/>
      </w:tblGrid>
      <w:tr>
        <w:trPr>
          <w:tblHeader w:val="true"/>
          <w:cantSplit/>
        </w:trPr>
        <w:tc>
          <w:tcPr>
            <w:tcW w:type="dxa" w:w="1200"/>
            <w:shd w:fill="F2F4F7"/>
            <w:vAlign w:val="center"/>
            <w:tcMar>
              <w:top w:w="80" w:type="dxa"/>
              <w:start w:w="120" w:type="dxa"/>
              <w:bottom w:w="80" w:type="dxa"/>
              <w:end w:w="120" w:type="dxa"/>
            </w:tcMar>
          </w:tcPr>
          <w:p>
            <w:pPr>
              <w:keepNext/>
              <w:spacing w:after="0" w:before="0"/>
            </w:pPr>
            <w:r/>
            <w:r>
              <w:rPr>
                <w:rFonts w:ascii="Calibri" w:hAnsi="Calibri"/>
                <w:b/>
                <w:color w:val="17365D"/>
                <w:sz w:val="16"/>
              </w:rPr>
              <w:t>State</w:t>
            </w:r>
          </w:p>
        </w:tc>
        <w:tc>
          <w:tcPr>
            <w:tcW w:type="dxa" w:w="4710"/>
            <w:shd w:fill="F2F4F7"/>
            <w:vAlign w:val="center"/>
            <w:tcMar>
              <w:top w:w="80" w:type="dxa"/>
              <w:start w:w="120" w:type="dxa"/>
              <w:bottom w:w="80" w:type="dxa"/>
              <w:end w:w="120" w:type="dxa"/>
            </w:tcMar>
          </w:tcPr>
          <w:p>
            <w:pPr>
              <w:keepNext/>
              <w:spacing w:after="0" w:before="0"/>
            </w:pPr>
            <w:r/>
            <w:r>
              <w:rPr>
                <w:rFonts w:ascii="Calibri" w:hAnsi="Calibri"/>
                <w:b/>
                <w:color w:val="17365D"/>
                <w:sz w:val="16"/>
              </w:rPr>
              <w:t>Entry condition</w:t>
            </w:r>
          </w:p>
        </w:tc>
        <w:tc>
          <w:tcPr>
            <w:tcW w:type="dxa" w:w="3450"/>
            <w:shd w:fill="F2F4F7"/>
            <w:vAlign w:val="center"/>
            <w:tcMar>
              <w:top w:w="80" w:type="dxa"/>
              <w:start w:w="120" w:type="dxa"/>
              <w:bottom w:w="80" w:type="dxa"/>
              <w:end w:w="120" w:type="dxa"/>
            </w:tcMar>
          </w:tcPr>
          <w:p>
            <w:pPr>
              <w:keepNext/>
              <w:spacing w:after="0" w:before="0"/>
            </w:pPr>
            <w:r/>
            <w:r>
              <w:rPr>
                <w:rFonts w:ascii="Calibri" w:hAnsi="Calibri"/>
                <w:b/>
                <w:color w:val="17365D"/>
                <w:sz w:val="16"/>
              </w:rPr>
              <w:t>Permitted transition</w:t>
            </w:r>
          </w:p>
        </w:tc>
      </w:tr>
      <w:tr>
        <w:trPr>
          <w:cantSplit/>
        </w:trPr>
        <w:tc>
          <w:tcPr>
            <w:tcW w:type="dxa" w:w="1200"/>
            <w:vAlign w:val="center"/>
            <w:tcMar>
              <w:top w:w="80" w:type="dxa"/>
              <w:start w:w="120" w:type="dxa"/>
              <w:bottom w:w="80" w:type="dxa"/>
              <w:end w:w="120" w:type="dxa"/>
            </w:tcMar>
          </w:tcPr>
          <w:p>
            <w:pPr>
              <w:spacing w:after="0" w:before="0"/>
            </w:pPr>
            <w:r/>
            <w:r>
              <w:rPr>
                <w:rFonts w:ascii="Calibri" w:hAnsi="Calibri"/>
                <w:b w:val="0"/>
                <w:color w:val="000000"/>
                <w:sz w:val="16"/>
              </w:rPr>
              <w:t>DRAFT</w:t>
            </w:r>
          </w:p>
        </w:tc>
        <w:tc>
          <w:tcPr>
            <w:tcW w:type="dxa" w:w="4710"/>
            <w:vAlign w:val="center"/>
            <w:tcMar>
              <w:top w:w="80" w:type="dxa"/>
              <w:start w:w="120" w:type="dxa"/>
              <w:bottom w:w="80" w:type="dxa"/>
              <w:end w:w="120" w:type="dxa"/>
            </w:tcMar>
          </w:tcPr>
          <w:p>
            <w:pPr>
              <w:spacing w:after="0" w:before="0"/>
            </w:pPr>
            <w:r/>
            <w:r>
              <w:rPr>
                <w:rFonts w:ascii="Calibri" w:hAnsi="Calibri"/>
                <w:b w:val="0"/>
                <w:color w:val="000000"/>
                <w:sz w:val="16"/>
              </w:rPr>
              <w:t>Profile and declaration validate but are not activated</w:t>
            </w:r>
          </w:p>
        </w:tc>
        <w:tc>
          <w:tcPr>
            <w:tcW w:type="dxa" w:w="3450"/>
            <w:vAlign w:val="center"/>
            <w:tcMar>
              <w:top w:w="80" w:type="dxa"/>
              <w:start w:w="120" w:type="dxa"/>
              <w:bottom w:w="80" w:type="dxa"/>
              <w:end w:w="120" w:type="dxa"/>
            </w:tcMar>
          </w:tcPr>
          <w:p>
            <w:pPr>
              <w:spacing w:after="0" w:before="0"/>
            </w:pPr>
            <w:r/>
            <w:r>
              <w:rPr>
                <w:rFonts w:ascii="Calibri" w:hAnsi="Calibri"/>
                <w:b w:val="0"/>
                <w:color w:val="000000"/>
                <w:sz w:val="16"/>
              </w:rPr>
              <w:t>ACTIVE after governance approval of exact hashes</w:t>
            </w:r>
          </w:p>
        </w:tc>
      </w:tr>
      <w:tr>
        <w:trPr>
          <w:cantSplit/>
        </w:trPr>
        <w:tc>
          <w:tcPr>
            <w:tcW w:type="dxa" w:w="1200"/>
            <w:vAlign w:val="center"/>
            <w:tcMar>
              <w:top w:w="80" w:type="dxa"/>
              <w:start w:w="120" w:type="dxa"/>
              <w:bottom w:w="80" w:type="dxa"/>
              <w:end w:w="120" w:type="dxa"/>
            </w:tcMar>
          </w:tcPr>
          <w:p>
            <w:pPr>
              <w:spacing w:after="0" w:before="0"/>
            </w:pPr>
            <w:r/>
            <w:r>
              <w:rPr>
                <w:rFonts w:ascii="Calibri" w:hAnsi="Calibri"/>
                <w:b w:val="0"/>
                <w:color w:val="000000"/>
                <w:sz w:val="16"/>
              </w:rPr>
              <w:t>ACTIVE</w:t>
            </w:r>
          </w:p>
        </w:tc>
        <w:tc>
          <w:tcPr>
            <w:tcW w:type="dxa" w:w="4710"/>
            <w:vAlign w:val="center"/>
            <w:tcMar>
              <w:top w:w="80" w:type="dxa"/>
              <w:start w:w="120" w:type="dxa"/>
              <w:bottom w:w="80" w:type="dxa"/>
              <w:end w:w="120" w:type="dxa"/>
            </w:tcMar>
          </w:tcPr>
          <w:p>
            <w:pPr>
              <w:spacing w:after="0" w:before="0"/>
            </w:pPr>
            <w:r/>
            <w:r>
              <w:rPr>
                <w:rFonts w:ascii="Calibri" w:hAnsi="Calibri"/>
                <w:b w:val="0"/>
                <w:color w:val="000000"/>
                <w:sz w:val="16"/>
              </w:rPr>
              <w:t>Reference status is ACTIVE, current time is valid, and the chain is intact</w:t>
            </w:r>
          </w:p>
        </w:tc>
        <w:tc>
          <w:tcPr>
            <w:tcW w:type="dxa" w:w="3450"/>
            <w:vAlign w:val="center"/>
            <w:tcMar>
              <w:top w:w="80" w:type="dxa"/>
              <w:start w:w="120" w:type="dxa"/>
              <w:bottom w:w="80" w:type="dxa"/>
              <w:end w:w="120" w:type="dxa"/>
            </w:tcMar>
          </w:tcPr>
          <w:p>
            <w:pPr>
              <w:spacing w:after="0" w:before="0"/>
            </w:pPr>
            <w:r/>
            <w:r>
              <w:rPr>
                <w:rFonts w:ascii="Calibri" w:hAnsi="Calibri"/>
                <w:b w:val="0"/>
                <w:color w:val="000000"/>
                <w:sz w:val="16"/>
              </w:rPr>
              <w:t>No additional reference-engine lifecycle command</w:t>
            </w:r>
          </w:p>
        </w:tc>
      </w:tr>
      <w:tr>
        <w:trPr>
          <w:cantSplit/>
        </w:trPr>
        <w:tc>
          <w:tcPr>
            <w:tcW w:type="dxa" w:w="1200"/>
            <w:vAlign w:val="center"/>
            <w:tcMar>
              <w:top w:w="80" w:type="dxa"/>
              <w:start w:w="120" w:type="dxa"/>
              <w:bottom w:w="80" w:type="dxa"/>
              <w:end w:w="120" w:type="dxa"/>
            </w:tcMar>
          </w:tcPr>
          <w:p>
            <w:pPr>
              <w:spacing w:after="0" w:before="0"/>
            </w:pPr>
            <w:r/>
            <w:r>
              <w:rPr>
                <w:rFonts w:ascii="Calibri" w:hAnsi="Calibri"/>
                <w:b w:val="0"/>
                <w:color w:val="000000"/>
                <w:sz w:val="16"/>
              </w:rPr>
              <w:t>OUTSIDE VALIDITY (guard)</w:t>
            </w:r>
          </w:p>
        </w:tc>
        <w:tc>
          <w:tcPr>
            <w:tcW w:type="dxa" w:w="4710"/>
            <w:vAlign w:val="center"/>
            <w:tcMar>
              <w:top w:w="80" w:type="dxa"/>
              <w:start w:w="120" w:type="dxa"/>
              <w:bottom w:w="80" w:type="dxa"/>
              <w:end w:w="120" w:type="dxa"/>
            </w:tcMar>
          </w:tcPr>
          <w:p>
            <w:pPr>
              <w:spacing w:after="0" w:before="0"/>
            </w:pPr>
            <w:r/>
            <w:r>
              <w:rPr>
                <w:rFonts w:ascii="Calibri" w:hAnsi="Calibri"/>
                <w:b w:val="0"/>
                <w:color w:val="000000"/>
                <w:sz w:val="16"/>
              </w:rPr>
              <w:t>Current time is before effective_from or at/after expires_at</w:t>
            </w:r>
          </w:p>
        </w:tc>
        <w:tc>
          <w:tcPr>
            <w:tcW w:type="dxa" w:w="3450"/>
            <w:vAlign w:val="center"/>
            <w:tcMar>
              <w:top w:w="80" w:type="dxa"/>
              <w:start w:w="120" w:type="dxa"/>
              <w:bottom w:w="80" w:type="dxa"/>
              <w:end w:w="120" w:type="dxa"/>
            </w:tcMar>
          </w:tcPr>
          <w:p>
            <w:pPr>
              <w:spacing w:after="0" w:before="0"/>
            </w:pPr>
            <w:r/>
            <w:r>
              <w:rPr>
                <w:rFonts w:ascii="Calibri" w:hAnsi="Calibri"/>
                <w:b w:val="0"/>
                <w:color w:val="000000"/>
                <w:sz w:val="16"/>
              </w:rPr>
              <w:t>Execution is blocked; use a new approved version or a production governance transition</w:t>
            </w:r>
          </w:p>
        </w:tc>
      </w:tr>
    </w:tbl>
    <w:p>
      <w:pPr>
        <w:spacing w:after="0"/>
      </w:pPr>
    </w:p>
    <w:p>
      <w:r>
        <w:t>The reference engine implements DRAFT to ACTIVE plus validity blocking. SUSPENDED, REVOKED, and EXPIRED are production registry projection states whose transitions must be defined and persisted by a production governance adapter.</w:t>
      </w:r>
    </w:p>
    <w:p>
      <w:pPr>
        <w:pStyle w:val="Heading2"/>
      </w:pPr>
      <w:r>
        <w:t>6.2 Evaluation order</w:t>
      </w:r>
    </w:p>
    <w:p>
      <w:pPr>
        <w:pStyle w:val="ListNumber"/>
        <w:numPr>
          <w:ilvl w:val="0"/>
          <w:numId w:val="10"/>
        </w:numPr>
      </w:pPr>
      <w:r>
        <w:t>Verify profile seal, declaration seal, and local ledger chain.</w:t>
      </w:r>
    </w:p>
    <w:p>
      <w:pPr>
        <w:pStyle w:val="ListNumber"/>
        <w:numPr>
          <w:ilvl w:val="0"/>
          <w:numId w:val="10"/>
        </w:numPr>
      </w:pPr>
      <w:r>
        <w:t>Verify active validity, strict message shape, and forbidden operator inputs.</w:t>
      </w:r>
    </w:p>
    <w:p>
      <w:pPr>
        <w:pStyle w:val="ListNumber"/>
        <w:numPr>
          <w:ilvl w:val="0"/>
          <w:numId w:val="10"/>
        </w:numPr>
      </w:pPr>
      <w:r>
        <w:t>Resolve idempotency from the canonical connector-submitted request and reject a changed request under the same key.</w:t>
      </w:r>
    </w:p>
    <w:p>
      <w:pPr>
        <w:pStyle w:val="ListNumber"/>
        <w:numPr>
          <w:ilvl w:val="0"/>
          <w:numId w:val="10"/>
        </w:numPr>
      </w:pPr>
      <w:r>
        <w:t>Verify declaration binding, connector, grant, subject, time, explicit action-target binding, scope, and revocation.</w:t>
      </w:r>
    </w:p>
    <w:p>
      <w:pPr>
        <w:pStyle w:val="ListNumber"/>
        <w:numPr>
          <w:ilvl w:val="0"/>
          <w:numId w:val="10"/>
        </w:numPr>
      </w:pPr>
      <w:r>
        <w:t>Resolve authoritative evidence, verify provenance and hashes, and independently derive control results.</w:t>
      </w:r>
    </w:p>
    <w:p>
      <w:pPr>
        <w:pStyle w:val="ListNumber"/>
        <w:numPr>
          <w:ilvl w:val="0"/>
          <w:numId w:val="10"/>
        </w:numPr>
      </w:pPr>
      <w:r>
        <w:t>Compute the current structural-capacity input after active reservations without emitting a verdict.</w:t>
      </w:r>
    </w:p>
    <w:p>
      <w:pPr>
        <w:pStyle w:val="ListNumber"/>
        <w:numPr>
          <w:ilvl w:val="0"/>
          <w:numId w:val="10"/>
        </w:numPr>
      </w:pPr>
      <w:r>
        <w:t>Compute the domain-resource and window input without emitting a verdict.</w:t>
      </w:r>
    </w:p>
    <w:p>
      <w:pPr>
        <w:pStyle w:val="ListNumber"/>
        <w:numPr>
          <w:ilvl w:val="0"/>
          <w:numId w:val="10"/>
        </w:numPr>
      </w:pPr>
      <w:r>
        <w:t>Engage the binary conjunction: the structural branch decides capacity and the effect branch decides resource admissibility.</w:t>
      </w:r>
    </w:p>
    <w:p>
      <w:pPr>
        <w:pStyle w:val="ListNumber"/>
        <w:numPr>
          <w:ilvl w:val="0"/>
          <w:numId w:val="10"/>
        </w:numPr>
      </w:pPr>
      <w:r>
        <w:t>Issue a short-lived reservation and permit only for one-and-one.</w:t>
      </w:r>
    </w:p>
    <w:p>
      <w:r>
        <w:t>The SDK resolves exact submitted-request idempotency first, verifies binding, authority, action-target, and scope authorization, and only then calls the injected evidence and control resolvers. Connector claims are ignored on each wired surface, resolver output is validated and bound into the result and permit request hash, and resolver failure is closed. Without the resolvers, evaluate_intent gates on the declared intent flags and remains the explicit internal post-resolution boundary — a documented reference boundary that production closes by wiring both resolvers.</w:t>
      </w:r>
    </w:p>
    <w:p>
      <w:pPr>
        <w:pStyle w:val="Heading2"/>
      </w:pPr>
      <w:r>
        <w:t>6.3 Gate semantics</w:t>
      </w:r>
    </w:p>
    <w:tbl>
      <w:tblPr>
        <w:tblW w:type="dxa" w:w="9360"/>
        <w:jc w:val="center"/>
        <w:tblLayout w:type="fixed"/>
        <w:tblLook w:firstColumn="1" w:firstRow="1" w:lastColumn="0" w:lastRow="0" w:noHBand="0" w:noVBand="1" w:val="04A0"/>
        <w:tblInd w:w="180" w:type="dxa"/>
      </w:tblPr>
      <w:tblGrid>
        <w:gridCol w:w="9360"/>
      </w:tblGrid>
      <w:tr>
        <w:tc>
          <w:tcPr>
            <w:tcW w:type="dxa" w:w="9360"/>
            <w:shd w:fill="F7F9FB"/>
            <w:tcMar>
              <w:top w:w="140" w:type="dxa"/>
              <w:start w:w="180" w:type="dxa"/>
              <w:bottom w:w="140" w:type="dxa"/>
              <w:end w:w="180" w:type="dxa"/>
            </w:tcMar>
          </w:tcPr>
          <w:p>
            <w:pPr>
              <w:spacing w:before="0" w:after="0"/>
            </w:pPr>
            <w:r/>
            <w:r>
              <w:rPr>
                <w:rFonts w:ascii="Consolas" w:hAnsi="Consolas"/>
                <w:color w:val="263238"/>
                <w:sz w:val="17"/>
              </w:rPr>
              <w:t>structural_gate ∈ {0,1}</w:t>
            </w:r>
          </w:p>
          <w:p>
            <w:pPr>
              <w:spacing w:before="0" w:after="0"/>
            </w:pPr>
            <w:r>
              <w:rPr>
                <w:rFonts w:ascii="Consolas" w:hAnsi="Consolas"/>
                <w:color w:val="263238"/>
                <w:sz w:val="17"/>
              </w:rPr>
              <w:t>effect_gate     ∈ {0,1}</w:t>
            </w:r>
          </w:p>
          <w:p>
            <w:pPr>
              <w:spacing w:before="0" w:after="0"/>
            </w:pPr>
            <w:r>
              <w:rPr>
                <w:rFonts w:ascii="Consolas" w:hAnsi="Consolas"/>
                <w:color w:val="263238"/>
                <w:sz w:val="17"/>
              </w:rPr>
              <w:t>gate_bit = structural_gate AND effect_gate  # effect_gate checks domain-resource admissibility; it does not execute or simulate the external effect</w:t>
            </w:r>
          </w:p>
          <w:p>
            <w:pPr>
              <w:spacing w:before="0" w:after="0"/>
            </w:pPr>
            <w:r>
              <w:rPr>
                <w:rFonts w:ascii="Consolas" w:hAnsi="Consolas"/>
                <w:color w:val="263238"/>
                <w:sz w:val="17"/>
              </w:rPr>
            </w:r>
          </w:p>
          <w:p>
            <w:pPr>
              <w:spacing w:before="0" w:after="0"/>
            </w:pPr>
            <w:r>
              <w:rPr>
                <w:rFonts w:ascii="Consolas" w:hAnsi="Consolas"/>
                <w:color w:val="263238"/>
                <w:sz w:val="17"/>
              </w:rPr>
              <w:t>gate_bit = 1  ⇒  ALLOW + reservation + single-use permit</w:t>
            </w:r>
          </w:p>
          <w:p>
            <w:pPr>
              <w:spacing w:before="0" w:after="0"/>
            </w:pPr>
            <w:r>
              <w:rPr>
                <w:rFonts w:ascii="Consolas" w:hAnsi="Consolas"/>
                <w:color w:val="263238"/>
                <w:sz w:val="17"/>
              </w:rPr>
              <w:t>gate_bit = 0  ⇒  REFUSAL; no permit; no execution path</w:t>
            </w:r>
          </w:p>
        </w:tc>
      </w:tr>
    </w:tbl>
    <w:p>
      <w:pPr>
        <w:spacing w:after="0"/>
      </w:pPr>
    </w:p>
    <w:tbl>
      <w:tblPr>
        <w:tblStyle w:val="TableGrid"/>
        <w:tblW w:type="dxa" w:w="9360"/>
        <w:jc w:val="center"/>
        <w:tblLayout w:type="fixed"/>
        <w:tblLook w:firstColumn="1" w:firstRow="1" w:lastColumn="0" w:lastRow="0" w:noHBand="0" w:noVBand="1" w:val="04A0"/>
        <w:tblInd w:w="120" w:type="dxa"/>
      </w:tblPr>
      <w:tblGrid>
        <w:gridCol w:w="1650"/>
        <w:gridCol w:w="1450"/>
        <w:gridCol w:w="1350"/>
        <w:gridCol w:w="4910"/>
      </w:tblGrid>
      <w:tr>
        <w:trPr>
          <w:tblHeader w:val="true"/>
          <w:cantSplit/>
        </w:trPr>
        <w:tc>
          <w:tcPr>
            <w:tcW w:type="dxa" w:w="1650"/>
            <w:shd w:fill="F2F4F7"/>
            <w:vAlign w:val="center"/>
            <w:tcMar>
              <w:top w:w="80" w:type="dxa"/>
              <w:start w:w="120" w:type="dxa"/>
              <w:bottom w:w="80" w:type="dxa"/>
              <w:end w:w="120" w:type="dxa"/>
            </w:tcMar>
          </w:tcPr>
          <w:p>
            <w:pPr>
              <w:keepNext/>
              <w:spacing w:after="0" w:before="0"/>
            </w:pPr>
            <w:r/>
            <w:r>
              <w:rPr>
                <w:rFonts w:ascii="Calibri" w:hAnsi="Calibri"/>
                <w:b/>
                <w:color w:val="17365D"/>
                <w:sz w:val="16"/>
              </w:rPr>
              <w:t>Disposition</w:t>
            </w:r>
          </w:p>
        </w:tc>
        <w:tc>
          <w:tcPr>
            <w:tcW w:type="dxa" w:w="1450"/>
            <w:shd w:fill="F2F4F7"/>
            <w:vAlign w:val="center"/>
            <w:tcMar>
              <w:top w:w="80" w:type="dxa"/>
              <w:start w:w="120" w:type="dxa"/>
              <w:bottom w:w="80" w:type="dxa"/>
              <w:end w:w="120" w:type="dxa"/>
            </w:tcMar>
          </w:tcPr>
          <w:p>
            <w:pPr>
              <w:keepNext/>
              <w:spacing w:after="0" w:before="0"/>
            </w:pPr>
            <w:r/>
            <w:r>
              <w:rPr>
                <w:rFonts w:ascii="Calibri" w:hAnsi="Calibri"/>
                <w:b/>
                <w:color w:val="17365D"/>
                <w:sz w:val="16"/>
              </w:rPr>
              <w:t>Channel</w:t>
            </w:r>
          </w:p>
        </w:tc>
        <w:tc>
          <w:tcPr>
            <w:tcW w:type="dxa" w:w="1350"/>
            <w:shd w:fill="F2F4F7"/>
            <w:vAlign w:val="center"/>
            <w:tcMar>
              <w:top w:w="80" w:type="dxa"/>
              <w:start w:w="120" w:type="dxa"/>
              <w:bottom w:w="80" w:type="dxa"/>
              <w:end w:w="120" w:type="dxa"/>
            </w:tcMar>
          </w:tcPr>
          <w:p>
            <w:pPr>
              <w:keepNext/>
              <w:spacing w:after="0" w:before="0"/>
            </w:pPr>
            <w:r/>
            <w:r>
              <w:rPr>
                <w:rFonts w:ascii="Calibri" w:hAnsi="Calibri"/>
                <w:b/>
                <w:color w:val="17365D"/>
                <w:sz w:val="16"/>
              </w:rPr>
              <w:t>Permit</w:t>
            </w:r>
          </w:p>
        </w:tc>
        <w:tc>
          <w:tcPr>
            <w:tcW w:type="dxa" w:w="4910"/>
            <w:shd w:fill="F2F4F7"/>
            <w:vAlign w:val="center"/>
            <w:tcMar>
              <w:top w:w="80" w:type="dxa"/>
              <w:start w:w="120" w:type="dxa"/>
              <w:bottom w:w="80" w:type="dxa"/>
              <w:end w:w="120" w:type="dxa"/>
            </w:tcMar>
          </w:tcPr>
          <w:p>
            <w:pPr>
              <w:keepNext/>
              <w:spacing w:after="0" w:before="0"/>
            </w:pPr>
            <w:r/>
            <w:r>
              <w:rPr>
                <w:rFonts w:ascii="Calibri" w:hAnsi="Calibri"/>
                <w:b/>
                <w:color w:val="17365D"/>
                <w:sz w:val="16"/>
              </w:rPr>
              <w:t>Executor behavior</w:t>
            </w:r>
          </w:p>
        </w:tc>
      </w:tr>
      <w:tr>
        <w:trPr>
          <w:cantSplit/>
        </w:trPr>
        <w:tc>
          <w:tcPr>
            <w:tcW w:type="dxa" w:w="1650"/>
            <w:vAlign w:val="center"/>
            <w:tcMar>
              <w:top w:w="80" w:type="dxa"/>
              <w:start w:w="120" w:type="dxa"/>
              <w:bottom w:w="80" w:type="dxa"/>
              <w:end w:w="120" w:type="dxa"/>
            </w:tcMar>
          </w:tcPr>
          <w:p>
            <w:pPr>
              <w:spacing w:after="0" w:before="0"/>
            </w:pPr>
            <w:r/>
            <w:r>
              <w:rPr>
                <w:rFonts w:ascii="Calibri" w:hAnsi="Calibri"/>
                <w:b w:val="0"/>
                <w:color w:val="000000"/>
                <w:sz w:val="16"/>
              </w:rPr>
              <w:t>ALLOW</w:t>
            </w:r>
          </w:p>
        </w:tc>
        <w:tc>
          <w:tcPr>
            <w:tcW w:type="dxa" w:w="1450"/>
            <w:vAlign w:val="center"/>
            <w:tcMar>
              <w:top w:w="80" w:type="dxa"/>
              <w:start w:w="120" w:type="dxa"/>
              <w:bottom w:w="80" w:type="dxa"/>
              <w:end w:w="120" w:type="dxa"/>
            </w:tcMar>
          </w:tcPr>
          <w:p>
            <w:pPr>
              <w:spacing w:after="0" w:before="0"/>
            </w:pPr>
            <w:r/>
            <w:r>
              <w:rPr>
                <w:rFonts w:ascii="Calibri" w:hAnsi="Calibri"/>
                <w:b w:val="0"/>
                <w:color w:val="000000"/>
                <w:sz w:val="16"/>
              </w:rPr>
              <w:t>OUTPUT</w:t>
            </w:r>
          </w:p>
        </w:tc>
        <w:tc>
          <w:tcPr>
            <w:tcW w:type="dxa" w:w="1350"/>
            <w:vAlign w:val="center"/>
            <w:tcMar>
              <w:top w:w="80" w:type="dxa"/>
              <w:start w:w="120" w:type="dxa"/>
              <w:bottom w:w="80" w:type="dxa"/>
              <w:end w:w="120" w:type="dxa"/>
            </w:tcMar>
          </w:tcPr>
          <w:p>
            <w:pPr>
              <w:spacing w:after="0" w:before="0"/>
            </w:pPr>
            <w:r/>
            <w:r>
              <w:rPr>
                <w:rFonts w:ascii="Calibri" w:hAnsi="Calibri"/>
                <w:b w:val="0"/>
                <w:color w:val="000000"/>
                <w:sz w:val="16"/>
              </w:rPr>
              <w:t>Required</w:t>
            </w:r>
          </w:p>
        </w:tc>
        <w:tc>
          <w:tcPr>
            <w:tcW w:type="dxa" w:w="4910"/>
            <w:vAlign w:val="center"/>
            <w:tcMar>
              <w:top w:w="80" w:type="dxa"/>
              <w:start w:w="120" w:type="dxa"/>
              <w:bottom w:w="80" w:type="dxa"/>
              <w:end w:w="120" w:type="dxa"/>
            </w:tcMar>
          </w:tcPr>
          <w:p>
            <w:pPr>
              <w:spacing w:after="0" w:before="0"/>
            </w:pPr>
            <w:r/>
            <w:r>
              <w:rPr>
                <w:rFonts w:ascii="Calibri" w:hAnsi="Calibri"/>
                <w:b w:val="0"/>
                <w:color w:val="000000"/>
                <w:sz w:val="16"/>
              </w:rPr>
              <w:t>May consume once before expiry against same state</w:t>
            </w:r>
          </w:p>
        </w:tc>
      </w:tr>
      <w:tr>
        <w:trPr>
          <w:cantSplit/>
        </w:trPr>
        <w:tc>
          <w:tcPr>
            <w:tcW w:type="dxa" w:w="1650"/>
            <w:vAlign w:val="center"/>
            <w:tcMar>
              <w:top w:w="80" w:type="dxa"/>
              <w:start w:w="120" w:type="dxa"/>
              <w:bottom w:w="80" w:type="dxa"/>
              <w:end w:w="120" w:type="dxa"/>
            </w:tcMar>
          </w:tcPr>
          <w:p>
            <w:pPr>
              <w:spacing w:after="0" w:before="0"/>
            </w:pPr>
            <w:r/>
            <w:r>
              <w:rPr>
                <w:rFonts w:ascii="Calibri" w:hAnsi="Calibri"/>
                <w:b w:val="0"/>
                <w:color w:val="000000"/>
                <w:sz w:val="16"/>
              </w:rPr>
              <w:t>REFUSAL</w:t>
            </w:r>
          </w:p>
        </w:tc>
        <w:tc>
          <w:tcPr>
            <w:tcW w:type="dxa" w:w="1450"/>
            <w:vAlign w:val="center"/>
            <w:tcMar>
              <w:top w:w="80" w:type="dxa"/>
              <w:start w:w="120" w:type="dxa"/>
              <w:bottom w:w="80" w:type="dxa"/>
              <w:end w:w="120" w:type="dxa"/>
            </w:tcMar>
          </w:tcPr>
          <w:p>
            <w:pPr>
              <w:spacing w:after="0" w:before="0"/>
            </w:pPr>
            <w:r/>
            <w:r>
              <w:rPr>
                <w:rFonts w:ascii="Calibri" w:hAnsi="Calibri"/>
                <w:b w:val="0"/>
                <w:color w:val="000000"/>
                <w:sz w:val="16"/>
              </w:rPr>
              <w:t>REFUSAL</w:t>
            </w:r>
          </w:p>
        </w:tc>
        <w:tc>
          <w:tcPr>
            <w:tcW w:type="dxa" w:w="1350"/>
            <w:vAlign w:val="center"/>
            <w:tcMar>
              <w:top w:w="80" w:type="dxa"/>
              <w:start w:w="120" w:type="dxa"/>
              <w:bottom w:w="80" w:type="dxa"/>
              <w:end w:w="120" w:type="dxa"/>
            </w:tcMar>
          </w:tcPr>
          <w:p>
            <w:pPr>
              <w:spacing w:after="0" w:before="0"/>
            </w:pPr>
            <w:r/>
            <w:r>
              <w:rPr>
                <w:rFonts w:ascii="Calibri" w:hAnsi="Calibri"/>
                <w:b w:val="0"/>
                <w:color w:val="000000"/>
                <w:sz w:val="16"/>
              </w:rPr>
              <w:t>None</w:t>
            </w:r>
          </w:p>
        </w:tc>
        <w:tc>
          <w:tcPr>
            <w:tcW w:type="dxa" w:w="4910"/>
            <w:vAlign w:val="center"/>
            <w:tcMar>
              <w:top w:w="80" w:type="dxa"/>
              <w:start w:w="120" w:type="dxa"/>
              <w:bottom w:w="80" w:type="dxa"/>
              <w:end w:w="120" w:type="dxa"/>
            </w:tcMar>
          </w:tcPr>
          <w:p>
            <w:pPr>
              <w:spacing w:after="0" w:before="0"/>
            </w:pPr>
            <w:r/>
            <w:r>
              <w:rPr>
                <w:rFonts w:ascii="Calibri" w:hAnsi="Calibri"/>
                <w:b w:val="0"/>
                <w:color w:val="000000"/>
                <w:sz w:val="16"/>
              </w:rPr>
              <w:t>Must not execute</w:t>
            </w:r>
          </w:p>
        </w:tc>
      </w:tr>
      <w:tr>
        <w:trPr>
          <w:cantSplit/>
        </w:trPr>
        <w:tc>
          <w:tcPr>
            <w:tcW w:type="dxa" w:w="1650"/>
            <w:vAlign w:val="center"/>
            <w:tcMar>
              <w:top w:w="80" w:type="dxa"/>
              <w:start w:w="120" w:type="dxa"/>
              <w:bottom w:w="80" w:type="dxa"/>
              <w:end w:w="120" w:type="dxa"/>
            </w:tcMar>
          </w:tcPr>
          <w:p>
            <w:pPr>
              <w:spacing w:after="0" w:before="0"/>
            </w:pPr>
            <w:r/>
            <w:r>
              <w:rPr>
                <w:rFonts w:ascii="Calibri" w:hAnsi="Calibri"/>
                <w:b w:val="0"/>
                <w:color w:val="000000"/>
                <w:sz w:val="16"/>
              </w:rPr>
              <w:t>MANUAL_REVIEW</w:t>
            </w:r>
          </w:p>
        </w:tc>
        <w:tc>
          <w:tcPr>
            <w:tcW w:type="dxa" w:w="1450"/>
            <w:vAlign w:val="center"/>
            <w:tcMar>
              <w:top w:w="80" w:type="dxa"/>
              <w:start w:w="120" w:type="dxa"/>
              <w:bottom w:w="80" w:type="dxa"/>
              <w:end w:w="120" w:type="dxa"/>
            </w:tcMar>
          </w:tcPr>
          <w:p>
            <w:pPr>
              <w:spacing w:after="0" w:before="0"/>
            </w:pPr>
            <w:r/>
            <w:r>
              <w:rPr>
                <w:rFonts w:ascii="Calibri" w:hAnsi="Calibri"/>
                <w:b w:val="0"/>
                <w:color w:val="000000"/>
                <w:sz w:val="16"/>
              </w:rPr>
              <w:t>REFUSAL</w:t>
            </w:r>
          </w:p>
        </w:tc>
        <w:tc>
          <w:tcPr>
            <w:tcW w:type="dxa" w:w="1350"/>
            <w:vAlign w:val="center"/>
            <w:tcMar>
              <w:top w:w="80" w:type="dxa"/>
              <w:start w:w="120" w:type="dxa"/>
              <w:bottom w:w="80" w:type="dxa"/>
              <w:end w:w="120" w:type="dxa"/>
            </w:tcMar>
          </w:tcPr>
          <w:p>
            <w:pPr>
              <w:spacing w:after="0" w:before="0"/>
            </w:pPr>
            <w:r/>
            <w:r>
              <w:rPr>
                <w:rFonts w:ascii="Calibri" w:hAnsi="Calibri"/>
                <w:b w:val="0"/>
                <w:color w:val="000000"/>
                <w:sz w:val="16"/>
              </w:rPr>
              <w:t>None</w:t>
            </w:r>
          </w:p>
        </w:tc>
        <w:tc>
          <w:tcPr>
            <w:tcW w:type="dxa" w:w="4910"/>
            <w:vAlign w:val="center"/>
            <w:tcMar>
              <w:top w:w="80" w:type="dxa"/>
              <w:start w:w="120" w:type="dxa"/>
              <w:bottom w:w="80" w:type="dxa"/>
              <w:end w:w="120" w:type="dxa"/>
            </w:tcMar>
          </w:tcPr>
          <w:p>
            <w:pPr>
              <w:spacing w:after="0" w:before="0"/>
            </w:pPr>
            <w:r/>
            <w:r>
              <w:rPr>
                <w:rFonts w:ascii="Calibri" w:hAnsi="Calibri"/>
                <w:b w:val="0"/>
                <w:color w:val="000000"/>
                <w:sz w:val="16"/>
              </w:rPr>
              <w:t>Route outside automated execution</w:t>
            </w:r>
          </w:p>
        </w:tc>
      </w:tr>
    </w:tbl>
    <w:p>
      <w:pPr>
        <w:spacing w:after="0"/>
      </w:pPr>
    </w:p>
    <w:p>
      <w:r>
        <w:t>The disposition alphabet is exactly these three values, and every one is producible by the reference engine. Integrity failures and availability faults halt as transport-level errors (HTTP 503 or 400); they are never surfaced as operator results, so there is no declared disposition the executable reference cannot emit.</w:t>
      </w:r>
    </w:p>
    <w:p>
      <w:pPr>
        <w:pStyle w:val="Heading2"/>
      </w:pPr>
      <w:r>
        <w:t>6.4 Minimal operator projection</w:t>
      </w:r>
    </w:p>
    <w:tbl>
      <w:tblPr>
        <w:tblW w:type="dxa" w:w="9360"/>
        <w:jc w:val="center"/>
        <w:tblLayout w:type="fixed"/>
        <w:tblLook w:firstColumn="1" w:firstRow="1" w:lastColumn="0" w:lastRow="0" w:noHBand="0" w:noVBand="1" w:val="04A0"/>
        <w:tblInd w:w="180" w:type="dxa"/>
      </w:tblPr>
      <w:tblGrid>
        <w:gridCol w:w="9360"/>
      </w:tblGrid>
      <w:tr>
        <w:tc>
          <w:tcPr>
            <w:tcW w:type="dxa" w:w="9360"/>
            <w:shd w:fill="F7F9FB"/>
            <w:tcMar>
              <w:top w:w="140" w:type="dxa"/>
              <w:start w:w="180" w:type="dxa"/>
              <w:bottom w:w="140" w:type="dxa"/>
              <w:end w:w="180" w:type="dxa"/>
            </w:tcMar>
          </w:tcPr>
          <w:p>
            <w:pPr>
              <w:spacing w:before="0" w:after="0"/>
            </w:pPr>
            <w:r/>
            <w:r>
              <w:rPr>
                <w:rFonts w:ascii="Consolas" w:hAnsi="Consolas"/>
                <w:color w:val="263238"/>
                <w:sz w:val="17"/>
              </w:rPr>
              <w:t>{</w:t>
            </w:r>
          </w:p>
          <w:p>
            <w:pPr>
              <w:spacing w:before="0" w:after="0"/>
            </w:pPr>
            <w:r>
              <w:rPr>
                <w:rFonts w:ascii="Consolas" w:hAnsi="Consolas"/>
                <w:color w:val="263238"/>
                <w:sz w:val="17"/>
              </w:rPr>
              <w:t xml:space="preserve">  "intent_id": "...",</w:t>
            </w:r>
          </w:p>
          <w:p>
            <w:pPr>
              <w:spacing w:before="0" w:after="0"/>
            </w:pPr>
            <w:r>
              <w:rPr>
                <w:rFonts w:ascii="Consolas" w:hAnsi="Consolas"/>
                <w:color w:val="263238"/>
                <w:sz w:val="17"/>
              </w:rPr>
              <w:t xml:space="preserve">  "request_hash": "...",</w:t>
            </w:r>
          </w:p>
          <w:p>
            <w:pPr>
              <w:spacing w:before="0" w:after="0"/>
            </w:pPr>
            <w:r>
              <w:rPr>
                <w:rFonts w:ascii="Consolas" w:hAnsi="Consolas"/>
                <w:color w:val="263238"/>
                <w:sz w:val="17"/>
              </w:rPr>
              <w:t xml:space="preserve">  "disposition": "ALLOW | REFUSAL | MANUAL_REVIEW",</w:t>
            </w:r>
          </w:p>
          <w:p>
            <w:pPr>
              <w:spacing w:before="0" w:after="0"/>
            </w:pPr>
            <w:r>
              <w:rPr>
                <w:rFonts w:ascii="Consolas" w:hAnsi="Consolas"/>
                <w:color w:val="263238"/>
                <w:sz w:val="17"/>
              </w:rPr>
              <w:t xml:space="preserve">  "channel": "OUTPUT | REFUSAL",</w:t>
            </w:r>
          </w:p>
          <w:p>
            <w:pPr>
              <w:spacing w:before="0" w:after="0"/>
            </w:pPr>
            <w:r>
              <w:rPr>
                <w:rFonts w:ascii="Consolas" w:hAnsi="Consolas"/>
                <w:color w:val="263238"/>
                <w:sz w:val="17"/>
              </w:rPr>
              <w:t xml:space="preserve">  "message_code": "EXECUTION_AUTHORIZED | EXECUTION_DENIED | HUMAN_REVIEW_REQUIRED",</w:t>
            </w:r>
          </w:p>
          <w:p>
            <w:pPr>
              <w:spacing w:before="0" w:after="0"/>
            </w:pPr>
            <w:r>
              <w:rPr>
                <w:rFonts w:ascii="Consolas" w:hAnsi="Consolas"/>
                <w:color w:val="263238"/>
                <w:sz w:val="17"/>
              </w:rPr>
              <w:t xml:space="preserve">  "permit_hash": "... | null",</w:t>
            </w:r>
          </w:p>
          <w:p>
            <w:pPr>
              <w:spacing w:before="0" w:after="0"/>
            </w:pPr>
            <w:r>
              <w:rPr>
                <w:rFonts w:ascii="Consolas" w:hAnsi="Consolas"/>
                <w:color w:val="263238"/>
                <w:sz w:val="17"/>
              </w:rPr>
              <w:t xml:space="preserve">  "expires_at": "... | null"</w:t>
            </w:r>
          </w:p>
          <w:p>
            <w:pPr>
              <w:spacing w:before="0" w:after="0"/>
            </w:pPr>
            <w:r>
              <w:rPr>
                <w:rFonts w:ascii="Consolas" w:hAnsi="Consolas"/>
                <w:color w:val="263238"/>
                <w:sz w:val="17"/>
              </w:rPr>
              <w:t>}</w:t>
            </w:r>
          </w:p>
        </w:tc>
      </w:tr>
    </w:tbl>
    <w:p>
      <w:pPr>
        <w:spacing w:after="0"/>
      </w:pPr>
    </w:p>
    <w:p>
      <w:r>
        <w:t>The operator message code is fixed by disposition: ALLOW maps to EXECUTION_AUTHORIZED, REFUSAL to EXECUTION_DENIED, and MANUAL_REVIEW to HUMAN_REVIEW_REQUIRED. It never identifies the failed gate, threshold, margin, or limit. Detailed reason codes remain architect-only.</w:t>
      </w:r>
    </w:p>
    <w:p>
      <w:r>
        <w:t>The disposition itself is an unavoidable one-bit decision channel. A production adapter MUST rate-limit distinct probes per connector and alert on systematic boundary-seeking sequences.</w:t>
      </w:r>
    </w:p>
    <w:p>
      <w:pPr>
        <w:pStyle w:val="Heading1"/>
      </w:pPr>
      <w:r>
        <w:t>7. Integrity, reservation, and revision</w:t>
      </w:r>
    </w:p>
    <w:p>
      <w:pPr>
        <w:pStyle w:val="Heading2"/>
      </w:pPr>
      <w:r>
        <w:t>7.1 Reservation and commit</w:t>
      </w:r>
    </w:p>
    <w:p>
      <w:pPr>
        <w:pStyle w:val="ListBullet"/>
      </w:pPr>
      <w:r>
        <w:t>An ALLOW always reserves the structural cost, and reserves each domain resource claim whose resource declares reservation_required.</w:t>
      </w:r>
    </w:p>
    <w:p>
      <w:pPr>
        <w:pStyle w:val="ListBullet"/>
      </w:pPr>
      <w:r>
        <w:t>The configured permit TTL is sealed into the permit, cannot exceed 900 seconds, and expires_at is capped by the authority-grant and declaration expiries.</w:t>
      </w:r>
    </w:p>
    <w:p>
      <w:pPr>
        <w:pStyle w:val="ListBullet"/>
      </w:pPr>
      <w:r>
        <w:t>Trusted-time causality permits at most five seconds of forward skew for intent receipt, evidence collection, revocation, and execution commit; execution may not precede permit issuance by more than five seconds.</w:t>
      </w:r>
    </w:p>
    <w:p>
      <w:pPr>
        <w:pStyle w:val="ListBullet"/>
      </w:pPr>
      <w:r>
        <w:t>A resource declared with reservation_required false holds nothing while a permit is outstanding; only committed amounts count against its window limit.</w:t>
      </w:r>
    </w:p>
    <w:p>
      <w:pPr>
        <w:pStyle w:val="ListBullet"/>
      </w:pPr>
      <w:r>
        <w:t>Active reservations count against later evaluations and prevent over-issue.</w:t>
      </w:r>
    </w:p>
    <w:p>
      <w:pPr>
        <w:pStyle w:val="ListBullet"/>
      </w:pPr>
      <w:r>
        <w:t>Immediately before COMMITTED, the engine recomputes committed usage for every claimed resource against the trusted current window. When unreserved permits race, the first admissible commit wins and a later permit is invalidated with RESOURCE_WINDOW_LIMIT.</w:t>
      </w:r>
    </w:p>
    <w:p>
      <w:pPr>
        <w:pStyle w:val="ListBullet"/>
      </w:pPr>
      <w:r>
        <w:t>The committed window is closed at its lower bound: a debit timestamped exactly at now minus window_seconds still counts and ages out only after that boundary.</w:t>
      </w:r>
    </w:p>
    <w:p>
      <w:pPr>
        <w:pStyle w:val="ListBullet"/>
      </w:pPr>
      <w:r>
        <w:t>COMMITTED records the declared debits and consumes the permit.</w:t>
      </w:r>
    </w:p>
    <w:p>
      <w:pPr>
        <w:pStyle w:val="ListBullet"/>
      </w:pPr>
      <w:r>
        <w:t>FAILED or ABORTED consumes the permit but releases the reservation without debit.</w:t>
      </w:r>
    </w:p>
    <w:p>
      <w:pPr>
        <w:pStyle w:val="ListBullet"/>
      </w:pPr>
      <w:r>
        <w:t>The executor must present the same connector, profile hash, declaration hash, and state anchor.</w:t>
      </w:r>
    </w:p>
    <w:p>
      <w:pPr>
        <w:pStyle w:val="ListBullet"/>
      </w:pPr>
      <w:r>
        <w:t>An expired, changed, revoked, or tampered permit blocks a new commit. After a successful commit, an exact canonical retry returns the stored receipt without another event or debit, including after permit, grant, or declaration expiry or revocation; a changed retry conflicts. This read-only replay cannot authorize new work.</w:t>
      </w:r>
    </w:p>
    <w:p>
      <w:pPr>
        <w:pStyle w:val="Heading2"/>
      </w:pPr>
      <w:r>
        <w:t>7.2 Idempotency</w:t>
      </w:r>
    </w:p>
    <w:p>
      <w:r>
        <w:t>The idempotency key binds a canonical hash of the connector-submitted intent and evidence bundle before external resolution. An exact evaluation replay therefore returns an active permit or the original non-executable result without calling the resolver again; the separately computed result request hash binds the authoritative resolved bundle used by the gate. Replay of a consumed, expired, revoked, or otherwise invalidated permit fails closed and never reissues ALLOW. A different submitted request under the same key is a conflict and produces no second decision or permit. Executor replay is separate: an exact canonical retry after a successful commit returns the stored receipt without a second event or debit, including after permit, grant, or declaration expiry or revocation, while a changed retry conflicts. This read-only replay cannot authorize new work. In the HTTP adapter, the Idempotency-Key header must exactly equal intent.idempotency_key; a mismatch is rejected before evaluation.</w:t>
      </w:r>
    </w:p>
    <w:p>
      <w:pPr>
        <w:pStyle w:val="Heading2"/>
      </w:pPr>
      <w:r>
        <w:t>7.3 Revocation</w:t>
      </w:r>
    </w:p>
    <w:p>
      <w:r>
        <w:t>A grant revocation recorded before commit invalidates every outstanding permit and releases its reservation. A later grant cannot revive an old permit. Revocation evidence is appended to the local chain. A caller-supplied revoked_at may be at most five seconds ahead of the trusted processing clock.</w:t>
      </w:r>
    </w:p>
    <w:p>
      <w:pPr>
        <w:pStyle w:val="Heading2"/>
      </w:pPr>
      <w:r>
        <w:t>7.4 Append-only local evidence</w:t>
      </w:r>
    </w:p>
    <w:p>
      <w:pPr>
        <w:pStyle w:val="ListBullet"/>
      </w:pPr>
      <w:r>
        <w:t>Every event carries an index, UTC time, event type, role, subject reference, payload, previous-event hash, event hash, and signature.</w:t>
      </w:r>
    </w:p>
    <w:p>
      <w:pPr>
        <w:pStyle w:val="ListBullet"/>
      </w:pPr>
      <w:r>
        <w:t>A profile, declaration, permit, signature, or chain mismatch halts execution.</w:t>
      </w:r>
    </w:p>
    <w:p>
      <w:pPr>
        <w:pStyle w:val="ListBullet"/>
      </w:pPr>
      <w:r>
        <w:t>Raw secrets and reusable credentials are forbidden even in the local reference ledger.</w:t>
      </w:r>
    </w:p>
    <w:p>
      <w:pPr>
        <w:pStyle w:val="ListBullet"/>
      </w:pPr>
      <w:r>
        <w:t>Production storage must provide transactional append-only or WORM behavior and independent restore evidence.</w:t>
      </w:r>
    </w:p>
    <w:p>
      <w:pPr>
        <w:pStyle w:val="Heading2"/>
      </w:pPr>
      <w:r>
        <w:t>7.5 Material revision</w:t>
      </w:r>
    </w:p>
    <w:tbl>
      <w:tblPr>
        <w:tblStyle w:val="TableGrid"/>
        <w:tblW w:type="dxa" w:w="9360"/>
        <w:jc w:val="center"/>
        <w:tblLayout w:type="fixed"/>
        <w:tblLook w:firstColumn="1" w:firstRow="1" w:lastColumn="0" w:lastRow="0" w:noHBand="0" w:noVBand="1" w:val="04A0"/>
        <w:tblInd w:w="120" w:type="dxa"/>
      </w:tblPr>
      <w:tblGrid>
        <w:gridCol w:w="3300"/>
        <w:gridCol w:w="6060"/>
      </w:tblGrid>
      <w:tr>
        <w:trPr>
          <w:tblHeader w:val="true"/>
          <w:cantSplit/>
        </w:trPr>
        <w:tc>
          <w:tcPr>
            <w:tcW w:type="dxa" w:w="3300"/>
            <w:shd w:fill="F2F4F7"/>
            <w:vAlign w:val="center"/>
            <w:tcMar>
              <w:top w:w="80" w:type="dxa"/>
              <w:start w:w="120" w:type="dxa"/>
              <w:bottom w:w="80" w:type="dxa"/>
              <w:end w:w="120" w:type="dxa"/>
            </w:tcMar>
          </w:tcPr>
          <w:p>
            <w:pPr>
              <w:keepNext/>
              <w:spacing w:after="0" w:before="0"/>
            </w:pPr>
            <w:r/>
            <w:r>
              <w:rPr>
                <w:rFonts w:ascii="Calibri" w:hAnsi="Calibri"/>
                <w:b/>
                <w:color w:val="17365D"/>
                <w:sz w:val="17"/>
              </w:rPr>
              <w:t>Changed item</w:t>
            </w:r>
          </w:p>
        </w:tc>
        <w:tc>
          <w:tcPr>
            <w:tcW w:type="dxa" w:w="6060"/>
            <w:shd w:fill="F2F4F7"/>
            <w:vAlign w:val="center"/>
            <w:tcMar>
              <w:top w:w="80" w:type="dxa"/>
              <w:start w:w="120" w:type="dxa"/>
              <w:bottom w:w="80" w:type="dxa"/>
              <w:end w:w="120" w:type="dxa"/>
            </w:tcMar>
          </w:tcPr>
          <w:p>
            <w:pPr>
              <w:keepNext/>
              <w:spacing w:after="0" w:before="0"/>
            </w:pPr>
            <w:r/>
            <w:r>
              <w:rPr>
                <w:rFonts w:ascii="Calibri" w:hAnsi="Calibri"/>
                <w:b/>
                <w:color w:val="17365D"/>
                <w:sz w:val="17"/>
              </w:rPr>
              <w:t>Required response</w:t>
            </w:r>
          </w:p>
        </w:tc>
      </w:tr>
      <w:tr>
        <w:trPr>
          <w:cantSplit/>
        </w:trPr>
        <w:tc>
          <w:tcPr>
            <w:tcW w:type="dxa" w:w="3300"/>
            <w:vAlign w:val="center"/>
            <w:tcMar>
              <w:top w:w="80" w:type="dxa"/>
              <w:start w:w="120" w:type="dxa"/>
              <w:bottom w:w="80" w:type="dxa"/>
              <w:end w:w="120" w:type="dxa"/>
            </w:tcMar>
          </w:tcPr>
          <w:p>
            <w:pPr>
              <w:spacing w:after="0" w:before="0"/>
            </w:pPr>
            <w:r/>
            <w:r>
              <w:rPr>
                <w:rFonts w:ascii="Calibri" w:hAnsi="Calibri"/>
                <w:b w:val="0"/>
                <w:color w:val="000000"/>
                <w:sz w:val="17"/>
              </w:rPr>
              <w:t>Action, effect, or resource mapping</w:t>
            </w:r>
          </w:p>
        </w:tc>
        <w:tc>
          <w:tcPr>
            <w:tcW w:type="dxa" w:w="6060"/>
            <w:vAlign w:val="center"/>
            <w:tcMar>
              <w:top w:w="80" w:type="dxa"/>
              <w:start w:w="120" w:type="dxa"/>
              <w:bottom w:w="80" w:type="dxa"/>
              <w:end w:w="120" w:type="dxa"/>
            </w:tcMar>
          </w:tcPr>
          <w:p>
            <w:pPr>
              <w:spacing w:after="0" w:before="0"/>
            </w:pPr>
            <w:r/>
            <w:r>
              <w:rPr>
                <w:rFonts w:ascii="Calibri" w:hAnsi="Calibri"/>
                <w:b w:val="0"/>
                <w:color w:val="000000"/>
                <w:sz w:val="17"/>
              </w:rPr>
              <w:t>New profile version, witness hash, profile hash, and approval</w:t>
            </w:r>
          </w:p>
        </w:tc>
      </w:tr>
      <w:tr>
        <w:trPr>
          <w:cantSplit/>
        </w:trPr>
        <w:tc>
          <w:tcPr>
            <w:tcW w:type="dxa" w:w="3300"/>
            <w:vAlign w:val="center"/>
            <w:tcMar>
              <w:top w:w="80" w:type="dxa"/>
              <w:start w:w="120" w:type="dxa"/>
              <w:bottom w:w="80" w:type="dxa"/>
              <w:end w:w="120" w:type="dxa"/>
            </w:tcMar>
          </w:tcPr>
          <w:p>
            <w:pPr>
              <w:spacing w:after="0" w:before="0"/>
            </w:pPr>
            <w:r/>
            <w:r>
              <w:rPr>
                <w:rFonts w:ascii="Calibri" w:hAnsi="Calibri"/>
                <w:b w:val="0"/>
                <w:color w:val="000000"/>
                <w:sz w:val="17"/>
              </w:rPr>
              <w:t>Control flag or evidence requirement</w:t>
            </w:r>
          </w:p>
        </w:tc>
        <w:tc>
          <w:tcPr>
            <w:tcW w:type="dxa" w:w="6060"/>
            <w:vAlign w:val="center"/>
            <w:tcMar>
              <w:top w:w="80" w:type="dxa"/>
              <w:start w:w="120" w:type="dxa"/>
              <w:bottom w:w="80" w:type="dxa"/>
              <w:end w:w="120" w:type="dxa"/>
            </w:tcMar>
          </w:tcPr>
          <w:p>
            <w:pPr>
              <w:spacing w:after="0" w:before="0"/>
            </w:pPr>
            <w:r/>
            <w:r>
              <w:rPr>
                <w:rFonts w:ascii="Calibri" w:hAnsi="Calibri"/>
                <w:b w:val="0"/>
                <w:color w:val="000000"/>
                <w:sz w:val="17"/>
              </w:rPr>
              <w:t>New profile version and affected declarations</w:t>
            </w:r>
          </w:p>
        </w:tc>
      </w:tr>
      <w:tr>
        <w:trPr>
          <w:cantSplit/>
        </w:trPr>
        <w:tc>
          <w:tcPr>
            <w:tcW w:type="dxa" w:w="3300"/>
            <w:vAlign w:val="center"/>
            <w:tcMar>
              <w:top w:w="80" w:type="dxa"/>
              <w:start w:w="120" w:type="dxa"/>
              <w:bottom w:w="80" w:type="dxa"/>
              <w:end w:w="120" w:type="dxa"/>
            </w:tcMar>
          </w:tcPr>
          <w:p>
            <w:pPr>
              <w:spacing w:after="0" w:before="0"/>
            </w:pPr>
            <w:r/>
            <w:r>
              <w:rPr>
                <w:rFonts w:ascii="Calibri" w:hAnsi="Calibri"/>
                <w:b w:val="0"/>
                <w:color w:val="000000"/>
                <w:sz w:val="17"/>
              </w:rPr>
              <w:t>Connector, target, scope, limit, owner, or interface</w:t>
            </w:r>
          </w:p>
        </w:tc>
        <w:tc>
          <w:tcPr>
            <w:tcW w:type="dxa" w:w="6060"/>
            <w:vAlign w:val="center"/>
            <w:tcMar>
              <w:top w:w="80" w:type="dxa"/>
              <w:start w:w="120" w:type="dxa"/>
              <w:bottom w:w="80" w:type="dxa"/>
              <w:end w:w="120" w:type="dxa"/>
            </w:tcMar>
          </w:tcPr>
          <w:p>
            <w:pPr>
              <w:spacing w:after="0" w:before="0"/>
            </w:pPr>
            <w:r/>
            <w:r>
              <w:rPr>
                <w:rFonts w:ascii="Calibri" w:hAnsi="Calibri"/>
                <w:b w:val="0"/>
                <w:color w:val="000000"/>
                <w:sz w:val="17"/>
              </w:rPr>
              <w:t>New declaration version and approval</w:t>
            </w:r>
          </w:p>
        </w:tc>
      </w:tr>
      <w:tr>
        <w:trPr>
          <w:cantSplit/>
        </w:trPr>
        <w:tc>
          <w:tcPr>
            <w:tcW w:type="dxa" w:w="3300"/>
            <w:vAlign w:val="center"/>
            <w:tcMar>
              <w:top w:w="80" w:type="dxa"/>
              <w:start w:w="120" w:type="dxa"/>
              <w:bottom w:w="80" w:type="dxa"/>
              <w:end w:w="120" w:type="dxa"/>
            </w:tcMar>
          </w:tcPr>
          <w:p>
            <w:pPr>
              <w:spacing w:after="0" w:before="0"/>
            </w:pPr>
            <w:r/>
            <w:r>
              <w:rPr>
                <w:rFonts w:ascii="Calibri" w:hAnsi="Calibri"/>
                <w:b w:val="0"/>
                <w:color w:val="000000"/>
                <w:sz w:val="17"/>
              </w:rPr>
              <w:t>Grant scope or validity</w:t>
            </w:r>
          </w:p>
        </w:tc>
        <w:tc>
          <w:tcPr>
            <w:tcW w:type="dxa" w:w="6060"/>
            <w:vAlign w:val="center"/>
            <w:tcMar>
              <w:top w:w="80" w:type="dxa"/>
              <w:start w:w="120" w:type="dxa"/>
              <w:bottom w:w="80" w:type="dxa"/>
              <w:end w:w="120" w:type="dxa"/>
            </w:tcMar>
          </w:tcPr>
          <w:p>
            <w:pPr>
              <w:spacing w:after="0" w:before="0"/>
            </w:pPr>
            <w:r/>
            <w:r>
              <w:rPr>
                <w:rFonts w:ascii="Calibri" w:hAnsi="Calibri"/>
                <w:b w:val="0"/>
                <w:color w:val="000000"/>
                <w:sz w:val="17"/>
              </w:rPr>
              <w:t>New grant; old permit remains bound to old grant</w:t>
            </w:r>
          </w:p>
        </w:tc>
      </w:tr>
      <w:tr>
        <w:trPr>
          <w:cantSplit/>
        </w:trPr>
        <w:tc>
          <w:tcPr>
            <w:tcW w:type="dxa" w:w="3300"/>
            <w:vAlign w:val="center"/>
            <w:tcMar>
              <w:top w:w="80" w:type="dxa"/>
              <w:start w:w="120" w:type="dxa"/>
              <w:bottom w:w="80" w:type="dxa"/>
              <w:end w:w="120" w:type="dxa"/>
            </w:tcMar>
          </w:tcPr>
          <w:p>
            <w:pPr>
              <w:spacing w:after="0" w:before="0"/>
            </w:pPr>
            <w:r/>
            <w:r>
              <w:rPr>
                <w:rFonts w:ascii="Calibri" w:hAnsi="Calibri"/>
                <w:b w:val="0"/>
                <w:color w:val="000000"/>
                <w:sz w:val="17"/>
              </w:rPr>
              <w:t>Runtime observation only</w:t>
            </w:r>
          </w:p>
        </w:tc>
        <w:tc>
          <w:tcPr>
            <w:tcW w:type="dxa" w:w="6060"/>
            <w:vAlign w:val="center"/>
            <w:tcMar>
              <w:top w:w="80" w:type="dxa"/>
              <w:start w:w="120" w:type="dxa"/>
              <w:bottom w:w="80" w:type="dxa"/>
              <w:end w:w="120" w:type="dxa"/>
            </w:tcMar>
          </w:tcPr>
          <w:p>
            <w:pPr>
              <w:spacing w:after="0" w:before="0"/>
            </w:pPr>
            <w:r/>
            <w:r>
              <w:rPr>
                <w:rFonts w:ascii="Calibri" w:hAnsi="Calibri"/>
                <w:b w:val="0"/>
                <w:color w:val="000000"/>
                <w:sz w:val="17"/>
              </w:rPr>
              <w:t>Append evidence; do not rewrite the live gate</w:t>
            </w:r>
          </w:p>
        </w:tc>
      </w:tr>
    </w:tbl>
    <w:p>
      <w:pPr>
        <w:spacing w:after="0"/>
      </w:pPr>
    </w:p>
    <w:p>
      <w:pPr>
        <w:pStyle w:val="Heading1"/>
      </w:pPr>
      <w:r>
        <w:t>8. Registry projection</w:t>
      </w:r>
    </w:p>
    <w:p>
      <w:r>
        <w:t>The universal protocol does not require one central evidence ledger. Each connection retains its full evidence locally. An optional shared registry provides discoverability and revocation without becoming a source of operator signals or sensitive evidence.</w:t>
      </w:r>
    </w:p>
    <w:tbl>
      <w:tblPr>
        <w:tblStyle w:val="TableGrid"/>
        <w:tblW w:type="dxa" w:w="9360"/>
        <w:jc w:val="center"/>
        <w:tblLayout w:type="fixed"/>
        <w:tblLook w:firstColumn="1" w:firstRow="1" w:lastColumn="0" w:lastRow="0" w:noHBand="0" w:noVBand="1" w:val="04A0"/>
        <w:tblInd w:w="120" w:type="dxa"/>
      </w:tblPr>
      <w:tblGrid>
        <w:gridCol w:w="4680"/>
        <w:gridCol w:w="4680"/>
      </w:tblGrid>
      <w:tr>
        <w:trPr>
          <w:tblHeader w:val="true"/>
          <w:cantSplit/>
        </w:trPr>
        <w:tc>
          <w:tcPr>
            <w:tcW w:type="dxa" w:w="4680"/>
            <w:shd w:fill="F2F4F7"/>
            <w:vAlign w:val="center"/>
            <w:tcMar>
              <w:top w:w="80" w:type="dxa"/>
              <w:start w:w="120" w:type="dxa"/>
              <w:bottom w:w="80" w:type="dxa"/>
              <w:end w:w="120" w:type="dxa"/>
            </w:tcMar>
          </w:tcPr>
          <w:p>
            <w:pPr>
              <w:keepNext/>
              <w:spacing w:after="0" w:before="0"/>
            </w:pPr>
            <w:r/>
            <w:r>
              <w:rPr>
                <w:rFonts w:ascii="Calibri" w:hAnsi="Calibri"/>
                <w:b/>
                <w:color w:val="17365D"/>
                <w:sz w:val="17"/>
              </w:rPr>
              <w:t>Local evidence store</w:t>
            </w:r>
          </w:p>
        </w:tc>
        <w:tc>
          <w:tcPr>
            <w:tcW w:type="dxa" w:w="4680"/>
            <w:shd w:fill="F2F4F7"/>
            <w:vAlign w:val="center"/>
            <w:tcMar>
              <w:top w:w="80" w:type="dxa"/>
              <w:start w:w="120" w:type="dxa"/>
              <w:bottom w:w="80" w:type="dxa"/>
              <w:end w:w="120" w:type="dxa"/>
            </w:tcMar>
          </w:tcPr>
          <w:p>
            <w:pPr>
              <w:keepNext/>
              <w:spacing w:after="0" w:before="0"/>
            </w:pPr>
            <w:r/>
            <w:r>
              <w:rPr>
                <w:rFonts w:ascii="Calibri" w:hAnsi="Calibri"/>
                <w:b/>
                <w:color w:val="17365D"/>
                <w:sz w:val="17"/>
              </w:rPr>
              <w:t>Shared registry</w:t>
            </w:r>
          </w:p>
        </w:tc>
      </w:tr>
      <w:tr>
        <w:trPr>
          <w:cantSplit/>
        </w:trPr>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Profile and declaration approved bytes</w:t>
            </w:r>
          </w:p>
        </w:tc>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Profile and declaration identifiers, versions, and hashes</w:t>
            </w:r>
          </w:p>
        </w:tc>
      </w:tr>
      <w:tr>
        <w:trPr>
          <w:cantSplit/>
        </w:trPr>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Authority, intent, evidence references, permit, decision trace</w:t>
            </w:r>
          </w:p>
        </w:tc>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Connector identifier and core anchor</w:t>
            </w:r>
          </w:p>
        </w:tc>
      </w:tr>
      <w:tr>
        <w:trPr>
          <w:cantSplit/>
        </w:trPr>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Reservations, execution requests, receipts, chain events</w:t>
            </w:r>
          </w:p>
        </w:tc>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Status, activation time, revocation flag</w:t>
            </w:r>
          </w:p>
        </w:tc>
      </w:tr>
      <w:tr>
        <w:trPr>
          <w:cantSplit/>
        </w:trPr>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Architect-only gate sub-verdicts and reason codes</w:t>
            </w:r>
          </w:p>
        </w:tc>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Local ledger head hash and latest receipt root</w:t>
            </w:r>
          </w:p>
        </w:tc>
      </w:tr>
      <w:tr>
        <w:trPr>
          <w:cantSplit/>
        </w:trPr>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Access-controlled operational evidence</w:t>
            </w:r>
          </w:p>
        </w:tc>
        <w:tc>
          <w:tcPr>
            <w:tcW w:type="dxa" w:w="4680"/>
            <w:vAlign w:val="center"/>
            <w:tcMar>
              <w:top w:w="80" w:type="dxa"/>
              <w:start w:w="120" w:type="dxa"/>
              <w:bottom w:w="80" w:type="dxa"/>
              <w:end w:w="120" w:type="dxa"/>
            </w:tcMar>
          </w:tcPr>
          <w:p>
            <w:pPr>
              <w:spacing w:after="0" w:before="0"/>
            </w:pPr>
            <w:r/>
            <w:r>
              <w:rPr>
                <w:rFonts w:ascii="Calibri" w:hAnsi="Calibri"/>
                <w:b w:val="0"/>
                <w:color w:val="000000"/>
                <w:sz w:val="17"/>
              </w:rPr>
              <w:t>No raw intent, evidence, personal data, credentials, or gate internals</w:t>
            </w:r>
          </w:p>
        </w:tc>
      </w:tr>
    </w:tbl>
    <w:p>
      <w:pPr>
        <w:spacing w:after="0"/>
      </w:pPr>
    </w:p>
    <w:tbl>
      <w:tblPr>
        <w:tblW w:type="dxa" w:w="9360"/>
        <w:jc w:val="center"/>
        <w:tblLayout w:type="fixed"/>
        <w:tblLook w:firstColumn="1" w:firstRow="1" w:lastColumn="0" w:lastRow="0" w:noHBand="0" w:noVBand="1" w:val="04A0"/>
        <w:tblInd w:w="180" w:type="dxa"/>
      </w:tblPr>
      <w:tblGrid>
        <w:gridCol w:w="9360"/>
      </w:tblGrid>
      <w:tr>
        <w:tc>
          <w:tcPr>
            <w:tcW w:type="dxa" w:w="9360"/>
            <w:shd w:fill="EEF4FA"/>
            <w:tcMar>
              <w:top w:w="140" w:type="dxa"/>
              <w:start w:w="180" w:type="dxa"/>
              <w:bottom w:w="140" w:type="dxa"/>
              <w:end w:w="180" w:type="dxa"/>
            </w:tcMar>
          </w:tcPr>
          <w:p>
            <w:pPr>
              <w:spacing w:before="60" w:after="60"/>
            </w:pPr>
            <w:r/>
            <w:r>
              <w:rPr>
                <w:rFonts w:ascii="Calibri" w:hAnsi="Calibri"/>
                <w:b/>
                <w:color w:val="17365D"/>
                <w:sz w:val="20"/>
              </w:rPr>
              <w:t xml:space="preserve">MINIMIZATION  </w:t>
            </w:r>
            <w:r>
              <w:rPr>
                <w:rFonts w:ascii="Calibri" w:hAnsi="Calibri"/>
                <w:sz w:val="20"/>
              </w:rPr>
              <w:t>A registry expansion that introduces raw intent, raw evidence, gate geometry, sub-verdicts, reason vectors, personal data, reusable credentials, or control-plane configuration is a contract failure.</w:t>
            </w:r>
          </w:p>
        </w:tc>
      </w:tr>
    </w:tbl>
    <w:p>
      <w:pPr>
        <w:spacing w:after="0"/>
      </w:pPr>
    </w:p>
    <w:p>
      <w:r>
        <w:t>In the reference projection, status is the declaration lifecycle state. revoked is a connector-level alert that one or more grant revocations exist; it is not a connector shutdown bit or an authorization source. Exact grant validity remains local and is rechecked at evaluation and commit.</w:t>
      </w:r>
    </w:p>
    <w:p>
      <w:pPr>
        <w:pStyle w:val="Heading1"/>
      </w:pPr>
      <w:r>
        <w:t>9. Reference profiles</w:t>
      </w:r>
    </w:p>
    <w:p>
      <w:pPr>
        <w:pStyle w:val="Heading2"/>
      </w:pPr>
      <w:r>
        <w:t>9.1 Banking questionnaire mapping</w:t>
      </w:r>
    </w:p>
    <w:p>
      <w:r>
        <w:t>The banking profile is the first concrete use of the universal contract. It expresses a blank bank onboarding questionnaire as typed profile and declaration fields. The synthetic values demonstrate behavior only; a bank must replace them with exact enterprise identifiers, thresholds, owners, and immutable evidence.</w:t>
      </w:r>
    </w:p>
    <w:tbl>
      <w:tblPr>
        <w:tblStyle w:val="TableGrid"/>
        <w:tblW w:type="dxa" w:w="9360"/>
        <w:jc w:val="center"/>
        <w:tblLayout w:type="fixed"/>
        <w:tblLook w:firstColumn="1" w:firstRow="1" w:lastColumn="0" w:lastRow="0" w:noHBand="0" w:noVBand="1" w:val="04A0"/>
        <w:tblInd w:w="120" w:type="dxa"/>
      </w:tblPr>
      <w:tblGrid>
        <w:gridCol w:w="2500"/>
        <w:gridCol w:w="3550"/>
        <w:gridCol w:w="3310"/>
      </w:tblGrid>
      <w:tr>
        <w:trPr>
          <w:tblHeader w:val="true"/>
          <w:cantSplit/>
        </w:trPr>
        <w:tc>
          <w:tcPr>
            <w:tcW w:type="dxa" w:w="2500"/>
            <w:shd w:fill="F2F4F7"/>
            <w:vAlign w:val="center"/>
            <w:tcMar>
              <w:top w:w="80" w:type="dxa"/>
              <w:start w:w="120" w:type="dxa"/>
              <w:bottom w:w="80" w:type="dxa"/>
              <w:end w:w="120" w:type="dxa"/>
            </w:tcMar>
          </w:tcPr>
          <w:p>
            <w:pPr>
              <w:keepNext/>
              <w:spacing w:after="0" w:before="0"/>
            </w:pPr>
            <w:r/>
            <w:r>
              <w:rPr>
                <w:rFonts w:ascii="Calibri" w:hAnsi="Calibri"/>
                <w:b/>
                <w:color w:val="17365D"/>
                <w:sz w:val="15"/>
              </w:rPr>
              <w:t>Questionnaire section</w:t>
            </w:r>
          </w:p>
        </w:tc>
        <w:tc>
          <w:tcPr>
            <w:tcW w:type="dxa" w:w="3550"/>
            <w:shd w:fill="F2F4F7"/>
            <w:vAlign w:val="center"/>
            <w:tcMar>
              <w:top w:w="80" w:type="dxa"/>
              <w:start w:w="120" w:type="dxa"/>
              <w:bottom w:w="80" w:type="dxa"/>
              <w:end w:w="120" w:type="dxa"/>
            </w:tcMar>
          </w:tcPr>
          <w:p>
            <w:pPr>
              <w:keepNext/>
              <w:spacing w:after="0" w:before="0"/>
            </w:pPr>
            <w:r/>
            <w:r>
              <w:rPr>
                <w:rFonts w:ascii="Calibri" w:hAnsi="Calibri"/>
                <w:b/>
                <w:color w:val="17365D"/>
                <w:sz w:val="15"/>
              </w:rPr>
              <w:t>Universal destination</w:t>
            </w:r>
          </w:p>
        </w:tc>
        <w:tc>
          <w:tcPr>
            <w:tcW w:type="dxa" w:w="3310"/>
            <w:shd w:fill="F2F4F7"/>
            <w:vAlign w:val="center"/>
            <w:tcMar>
              <w:top w:w="80" w:type="dxa"/>
              <w:start w:w="120" w:type="dxa"/>
              <w:bottom w:w="80" w:type="dxa"/>
              <w:end w:w="120" w:type="dxa"/>
            </w:tcMar>
          </w:tcPr>
          <w:p>
            <w:pPr>
              <w:keepNext/>
              <w:spacing w:after="0" w:before="0"/>
            </w:pPr>
            <w:r/>
            <w:r>
              <w:rPr>
                <w:rFonts w:ascii="Calibri" w:hAnsi="Calibri"/>
                <w:b/>
                <w:color w:val="17365D"/>
                <w:sz w:val="15"/>
              </w:rPr>
              <w:t>Execution consequence</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5"/>
              </w:rPr>
              <w:t>1. Business Scope and Boundaries</w:t>
            </w:r>
          </w:p>
        </w:tc>
        <w:tc>
          <w:tcPr>
            <w:tcW w:type="dxa" w:w="3550"/>
            <w:vAlign w:val="center"/>
            <w:tcMar>
              <w:top w:w="80" w:type="dxa"/>
              <w:start w:w="120" w:type="dxa"/>
              <w:bottom w:w="80" w:type="dxa"/>
              <w:end w:w="120" w:type="dxa"/>
            </w:tcMar>
          </w:tcPr>
          <w:p>
            <w:pPr>
              <w:spacing w:after="0" w:before="0"/>
            </w:pPr>
            <w:r/>
            <w:r>
              <w:rPr>
                <w:rFonts w:ascii="Calibri" w:hAnsi="Calibri"/>
                <w:b w:val="0"/>
                <w:color w:val="000000"/>
                <w:sz w:val="15"/>
              </w:rPr>
              <w:t>declaration.instance_scope.scope_constraints; declaration.instance_scope.action_ids; declaration.instance_scope.effect_class_ids; declaration.instance_scope.target_system_ids</w:t>
            </w:r>
          </w:p>
        </w:tc>
        <w:tc>
          <w:tcPr>
            <w:tcW w:type="dxa" w:w="3310"/>
            <w:vAlign w:val="center"/>
            <w:tcMar>
              <w:top w:w="80" w:type="dxa"/>
              <w:start w:w="120" w:type="dxa"/>
              <w:bottom w:w="80" w:type="dxa"/>
              <w:end w:w="120" w:type="dxa"/>
            </w:tcMar>
          </w:tcPr>
          <w:p>
            <w:pPr>
              <w:spacing w:after="0" w:before="0"/>
            </w:pPr>
            <w:r/>
            <w:r>
              <w:rPr>
                <w:rFonts w:ascii="Calibri" w:hAnsi="Calibri"/>
                <w:b w:val="0"/>
                <w:color w:val="000000"/>
                <w:sz w:val="15"/>
              </w:rPr>
              <w:t>Defines which intents can be typed for this instance. An undeclared scope value is non-executable.</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5"/>
              </w:rPr>
              <w:t>2. Authorized Activities and Limits</w:t>
            </w:r>
          </w:p>
        </w:tc>
        <w:tc>
          <w:tcPr>
            <w:tcW w:type="dxa" w:w="3550"/>
            <w:vAlign w:val="center"/>
            <w:tcMar>
              <w:top w:w="80" w:type="dxa"/>
              <w:start w:w="120" w:type="dxa"/>
              <w:bottom w:w="80" w:type="dxa"/>
              <w:end w:w="120" w:type="dxa"/>
            </w:tcMar>
          </w:tcPr>
          <w:p>
            <w:pPr>
              <w:spacing w:after="0" w:before="0"/>
            </w:pPr>
            <w:r/>
            <w:r>
              <w:rPr>
                <w:rFonts w:ascii="Calibri" w:hAnsi="Calibri"/>
                <w:b w:val="0"/>
                <w:color w:val="000000"/>
                <w:sz w:val="15"/>
              </w:rPr>
              <w:t>profile.action_alphabet; profile.effect_classes; profile.resource_catalog; declaration.resource_limits</w:t>
            </w:r>
          </w:p>
        </w:tc>
        <w:tc>
          <w:tcPr>
            <w:tcW w:type="dxa" w:w="3310"/>
            <w:vAlign w:val="center"/>
            <w:tcMar>
              <w:top w:w="80" w:type="dxa"/>
              <w:start w:w="120" w:type="dxa"/>
              <w:bottom w:w="80" w:type="dxa"/>
              <w:end w:w="120" w:type="dxa"/>
            </w:tcMar>
          </w:tcPr>
          <w:p>
            <w:pPr>
              <w:spacing w:after="0" w:before="0"/>
            </w:pPr>
            <w:r/>
            <w:r>
              <w:rPr>
                <w:rFonts w:ascii="Calibri" w:hAnsi="Calibri"/>
                <w:b w:val="0"/>
                <w:color w:val="000000"/>
                <w:sz w:val="15"/>
              </w:rPr>
              <w:t>Creates the action, effect, and domain resource boundaries. Financial limits remain domain controls and are not the structural budget.</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5"/>
              </w:rPr>
              <w:t>3. Access and System Boundaries</w:t>
            </w:r>
          </w:p>
        </w:tc>
        <w:tc>
          <w:tcPr>
            <w:tcW w:type="dxa" w:w="3550"/>
            <w:vAlign w:val="center"/>
            <w:tcMar>
              <w:top w:w="80" w:type="dxa"/>
              <w:start w:w="120" w:type="dxa"/>
              <w:bottom w:w="80" w:type="dxa"/>
              <w:end w:w="120" w:type="dxa"/>
            </w:tcMar>
          </w:tcPr>
          <w:p>
            <w:pPr>
              <w:spacing w:after="0" w:before="0"/>
            </w:pPr>
            <w:r/>
            <w:r>
              <w:rPr>
                <w:rFonts w:ascii="Calibri" w:hAnsi="Calibri"/>
                <w:b w:val="0"/>
                <w:color w:val="000000"/>
                <w:sz w:val="15"/>
              </w:rPr>
              <w:t>declaration.connector; declaration.interfaces; declaration.instance_scope.target_system_ids</w:t>
            </w:r>
          </w:p>
        </w:tc>
        <w:tc>
          <w:tcPr>
            <w:tcW w:type="dxa" w:w="3310"/>
            <w:vAlign w:val="center"/>
            <w:tcMar>
              <w:top w:w="80" w:type="dxa"/>
              <w:start w:w="120" w:type="dxa"/>
              <w:bottom w:w="80" w:type="dxa"/>
              <w:end w:w="120" w:type="dxa"/>
            </w:tcMar>
          </w:tcPr>
          <w:p>
            <w:pPr>
              <w:spacing w:after="0" w:before="0"/>
            </w:pPr>
            <w:r/>
            <w:r>
              <w:rPr>
                <w:rFonts w:ascii="Calibri" w:hAnsi="Calibri"/>
                <w:b w:val="0"/>
                <w:color w:val="000000"/>
                <w:sz w:val="15"/>
              </w:rPr>
              <w:t>Separates governance, acting connector, executor, observer projection, architect store, downstream targets, and off-limits systems.</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5"/>
              </w:rPr>
              <w:t>4. Decision Rules and Logic</w:t>
            </w:r>
          </w:p>
        </w:tc>
        <w:tc>
          <w:tcPr>
            <w:tcW w:type="dxa" w:w="3550"/>
            <w:vAlign w:val="center"/>
            <w:tcMar>
              <w:top w:w="80" w:type="dxa"/>
              <w:start w:w="120" w:type="dxa"/>
              <w:bottom w:w="80" w:type="dxa"/>
              <w:end w:w="120" w:type="dxa"/>
            </w:tcMar>
          </w:tcPr>
          <w:p>
            <w:pPr>
              <w:spacing w:after="0" w:before="0"/>
            </w:pPr>
            <w:r/>
            <w:r>
              <w:rPr>
                <w:rFonts w:ascii="Calibri" w:hAnsi="Calibri"/>
                <w:b w:val="0"/>
                <w:color w:val="000000"/>
                <w:sz w:val="15"/>
              </w:rPr>
              <w:t>profile.controls.required_prerequisite_ids; profile.controls.hard_block_flag_ids; profile.controls.manual_review_flag_ids; profile.failure_posture</w:t>
            </w:r>
          </w:p>
        </w:tc>
        <w:tc>
          <w:tcPr>
            <w:tcW w:type="dxa" w:w="3310"/>
            <w:vAlign w:val="center"/>
            <w:tcMar>
              <w:top w:w="80" w:type="dxa"/>
              <w:start w:w="120" w:type="dxa"/>
              <w:bottom w:w="80" w:type="dxa"/>
              <w:end w:w="120" w:type="dxa"/>
            </w:tcMar>
          </w:tcPr>
          <w:p>
            <w:pPr>
              <w:spacing w:after="0" w:before="0"/>
            </w:pPr>
            <w:r/>
            <w:r>
              <w:rPr>
                <w:rFonts w:ascii="Calibri" w:hAnsi="Calibri"/>
                <w:b w:val="0"/>
                <w:color w:val="000000"/>
                <w:sz w:val="15"/>
              </w:rPr>
              <w:t>Separates binary gate logic from non-executable workflow routing.</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5"/>
              </w:rPr>
              <w:t>5. Audit, Evidence, and Compliance</w:t>
            </w:r>
          </w:p>
        </w:tc>
        <w:tc>
          <w:tcPr>
            <w:tcW w:type="dxa" w:w="3550"/>
            <w:vAlign w:val="center"/>
            <w:tcMar>
              <w:top w:w="80" w:type="dxa"/>
              <w:start w:w="120" w:type="dxa"/>
              <w:bottom w:w="80" w:type="dxa"/>
              <w:end w:w="120" w:type="dxa"/>
            </w:tcMar>
          </w:tcPr>
          <w:p>
            <w:pPr>
              <w:spacing w:after="0" w:before="0"/>
            </w:pPr>
            <w:r/>
            <w:r>
              <w:rPr>
                <w:rFonts w:ascii="Calibri" w:hAnsi="Calibri"/>
                <w:b w:val="0"/>
                <w:color w:val="000000"/>
                <w:sz w:val="15"/>
              </w:rPr>
              <w:t>profile.evidence_requirements; declaration.evidence_refs; declaration.interfaces.architect_store_id; profile.registry_policy</w:t>
            </w:r>
          </w:p>
        </w:tc>
        <w:tc>
          <w:tcPr>
            <w:tcW w:type="dxa" w:w="3310"/>
            <w:vAlign w:val="center"/>
            <w:tcMar>
              <w:top w:w="80" w:type="dxa"/>
              <w:start w:w="120" w:type="dxa"/>
              <w:bottom w:w="80" w:type="dxa"/>
              <w:end w:w="120" w:type="dxa"/>
            </w:tcMar>
          </w:tcPr>
          <w:p>
            <w:pPr>
              <w:spacing w:after="0" w:before="0"/>
            </w:pPr>
            <w:r/>
            <w:r>
              <w:rPr>
                <w:rFonts w:ascii="Calibri" w:hAnsi="Calibri"/>
                <w:b w:val="0"/>
                <w:color w:val="000000"/>
                <w:sz w:val="15"/>
              </w:rPr>
              <w:t>Defines immutable local evidence and a minimal hash-only shared projection.</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5"/>
              </w:rPr>
              <w:t>6. Ownership and Change Control</w:t>
            </w:r>
          </w:p>
        </w:tc>
        <w:tc>
          <w:tcPr>
            <w:tcW w:type="dxa" w:w="3550"/>
            <w:vAlign w:val="center"/>
            <w:tcMar>
              <w:top w:w="80" w:type="dxa"/>
              <w:start w:w="120" w:type="dxa"/>
              <w:bottom w:w="80" w:type="dxa"/>
              <w:end w:w="120" w:type="dxa"/>
            </w:tcMar>
          </w:tcPr>
          <w:p>
            <w:pPr>
              <w:spacing w:after="0" w:before="0"/>
            </w:pPr>
            <w:r/>
            <w:r>
              <w:rPr>
                <w:rFonts w:ascii="Calibri" w:hAnsi="Calibri"/>
                <w:b w:val="0"/>
                <w:color w:val="000000"/>
                <w:sz w:val="15"/>
              </w:rPr>
              <w:t>declaration.governance; profile.change_control; declaration.predecessor_declaration_hash</w:t>
            </w:r>
          </w:p>
        </w:tc>
        <w:tc>
          <w:tcPr>
            <w:tcW w:type="dxa" w:w="3310"/>
            <w:vAlign w:val="center"/>
            <w:tcMar>
              <w:top w:w="80" w:type="dxa"/>
              <w:start w:w="120" w:type="dxa"/>
              <w:bottom w:w="80" w:type="dxa"/>
              <w:end w:w="120" w:type="dxa"/>
            </w:tcMar>
          </w:tcPr>
          <w:p>
            <w:pPr>
              <w:spacing w:after="0" w:before="0"/>
            </w:pPr>
            <w:r/>
            <w:r>
              <w:rPr>
                <w:rFonts w:ascii="Calibri" w:hAnsi="Calibri"/>
                <w:b w:val="0"/>
                <w:color w:val="000000"/>
                <w:sz w:val="15"/>
              </w:rPr>
              <w:t>A material edit creates a new declaration or profile hash. No owner may flip a refusal inside the live version.</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5"/>
              </w:rPr>
              <w:t>7. Exception and Failure Handling</w:t>
            </w:r>
          </w:p>
        </w:tc>
        <w:tc>
          <w:tcPr>
            <w:tcW w:type="dxa" w:w="3550"/>
            <w:vAlign w:val="center"/>
            <w:tcMar>
              <w:top w:w="80" w:type="dxa"/>
              <w:start w:w="120" w:type="dxa"/>
              <w:bottom w:w="80" w:type="dxa"/>
              <w:end w:w="120" w:type="dxa"/>
            </w:tcMar>
          </w:tcPr>
          <w:p>
            <w:pPr>
              <w:spacing w:after="0" w:before="0"/>
            </w:pPr>
            <w:r/>
            <w:r>
              <w:rPr>
                <w:rFonts w:ascii="Calibri" w:hAnsi="Calibri"/>
                <w:b w:val="0"/>
                <w:color w:val="000000"/>
                <w:sz w:val="15"/>
              </w:rPr>
              <w:t>profile.failure_posture</w:t>
            </w:r>
          </w:p>
        </w:tc>
        <w:tc>
          <w:tcPr>
            <w:tcW w:type="dxa" w:w="3310"/>
            <w:vAlign w:val="center"/>
            <w:tcMar>
              <w:top w:w="80" w:type="dxa"/>
              <w:start w:w="120" w:type="dxa"/>
              <w:bottom w:w="80" w:type="dxa"/>
              <w:end w:w="120" w:type="dxa"/>
            </w:tcMar>
          </w:tcPr>
          <w:p>
            <w:pPr>
              <w:spacing w:after="0" w:before="0"/>
            </w:pPr>
            <w:r/>
            <w:r>
              <w:rPr>
                <w:rFonts w:ascii="Calibri" w:hAnsi="Calibri"/>
                <w:b w:val="0"/>
                <w:color w:val="000000"/>
                <w:sz w:val="15"/>
              </w:rPr>
              <w:t>The profile mirrors protocol-fixed routing: missing required data is REFUSAL and ambiguity is MANUAL_REVIEW. Integrity failures remain hard errors; downstream and rule-conflict handling require explicit runtime branches rather than decorative configuration.</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5"/>
              </w:rPr>
              <w:t>8. Supporting Documents</w:t>
            </w:r>
          </w:p>
        </w:tc>
        <w:tc>
          <w:tcPr>
            <w:tcW w:type="dxa" w:w="3550"/>
            <w:vAlign w:val="center"/>
            <w:tcMar>
              <w:top w:w="80" w:type="dxa"/>
              <w:start w:w="120" w:type="dxa"/>
              <w:bottom w:w="80" w:type="dxa"/>
              <w:end w:w="120" w:type="dxa"/>
            </w:tcMar>
          </w:tcPr>
          <w:p>
            <w:pPr>
              <w:spacing w:after="0" w:before="0"/>
            </w:pPr>
            <w:r/>
            <w:r>
              <w:rPr>
                <w:rFonts w:ascii="Calibri" w:hAnsi="Calibri"/>
                <w:b w:val="0"/>
                <w:color w:val="000000"/>
                <w:sz w:val="15"/>
              </w:rPr>
              <w:t>profile.mapping_witness.evidence_refs; declaration.evidence_refs</w:t>
            </w:r>
          </w:p>
        </w:tc>
        <w:tc>
          <w:tcPr>
            <w:tcW w:type="dxa" w:w="3310"/>
            <w:vAlign w:val="center"/>
            <w:tcMar>
              <w:top w:w="80" w:type="dxa"/>
              <w:start w:w="120" w:type="dxa"/>
              <w:bottom w:w="80" w:type="dxa"/>
              <w:end w:w="120" w:type="dxa"/>
            </w:tcMar>
          </w:tcPr>
          <w:p>
            <w:pPr>
              <w:spacing w:after="0" w:before="0"/>
            </w:pPr>
            <w:r/>
            <w:r>
              <w:rPr>
                <w:rFonts w:ascii="Calibri" w:hAnsi="Calibri"/>
                <w:b w:val="0"/>
                <w:color w:val="000000"/>
                <w:sz w:val="15"/>
              </w:rPr>
              <w:t>Stores immutable references and hashes without placing raw documents or secrets in the runtime ledger or shared registry.</w:t>
            </w:r>
          </w:p>
        </w:tc>
      </w:tr>
    </w:tbl>
    <w:p>
      <w:pPr>
        <w:spacing w:after="0"/>
      </w:pPr>
    </w:p>
    <w:p>
      <w:pPr>
        <w:pStyle w:val="Heading2"/>
      </w:pPr>
      <w:r>
        <w:t>9.2 Reference banking actions</w:t>
      </w:r>
    </w:p>
    <w:tbl>
      <w:tblPr>
        <w:tblStyle w:val="TableGrid"/>
        <w:tblW w:type="dxa" w:w="9360"/>
        <w:jc w:val="center"/>
        <w:tblLayout w:type="fixed"/>
        <w:tblLook w:firstColumn="1" w:firstRow="1" w:lastColumn="0" w:lastRow="0" w:noHBand="0" w:noVBand="1" w:val="04A0"/>
        <w:tblInd w:w="120" w:type="dxa"/>
      </w:tblPr>
      <w:tblGrid>
        <w:gridCol w:w="2600"/>
        <w:gridCol w:w="2700"/>
        <w:gridCol w:w="1600"/>
        <w:gridCol w:w="2460"/>
      </w:tblGrid>
      <w:tr>
        <w:trPr>
          <w:tblHeader w:val="true"/>
          <w:cantSplit/>
        </w:trPr>
        <w:tc>
          <w:tcPr>
            <w:tcW w:type="dxa" w:w="2600"/>
            <w:shd w:fill="F2F4F7"/>
            <w:vAlign w:val="center"/>
            <w:tcMar>
              <w:top w:w="80" w:type="dxa"/>
              <w:start w:w="120" w:type="dxa"/>
              <w:bottom w:w="80" w:type="dxa"/>
              <w:end w:w="120" w:type="dxa"/>
            </w:tcMar>
          </w:tcPr>
          <w:p>
            <w:pPr>
              <w:keepNext/>
              <w:spacing w:after="0" w:before="0"/>
            </w:pPr>
            <w:r/>
            <w:r>
              <w:rPr>
                <w:rFonts w:ascii="Calibri" w:hAnsi="Calibri"/>
                <w:b/>
                <w:color w:val="17365D"/>
                <w:sz w:val="17"/>
              </w:rPr>
              <w:t>Action</w:t>
            </w:r>
          </w:p>
        </w:tc>
        <w:tc>
          <w:tcPr>
            <w:tcW w:type="dxa" w:w="2700"/>
            <w:shd w:fill="F2F4F7"/>
            <w:vAlign w:val="center"/>
            <w:tcMar>
              <w:top w:w="80" w:type="dxa"/>
              <w:start w:w="120" w:type="dxa"/>
              <w:bottom w:w="80" w:type="dxa"/>
              <w:end w:w="120" w:type="dxa"/>
            </w:tcMar>
          </w:tcPr>
          <w:p>
            <w:pPr>
              <w:keepNext/>
              <w:spacing w:after="0" w:before="0"/>
            </w:pPr>
            <w:r/>
            <w:r>
              <w:rPr>
                <w:rFonts w:ascii="Calibri" w:hAnsi="Calibri"/>
                <w:b/>
                <w:color w:val="17365D"/>
                <w:sz w:val="17"/>
              </w:rPr>
              <w:t>Effect</w:t>
            </w:r>
          </w:p>
        </w:tc>
        <w:tc>
          <w:tcPr>
            <w:tcW w:type="dxa" w:w="1600"/>
            <w:shd w:fill="F2F4F7"/>
            <w:vAlign w:val="center"/>
            <w:tcMar>
              <w:top w:w="80" w:type="dxa"/>
              <w:start w:w="120" w:type="dxa"/>
              <w:bottom w:w="80" w:type="dxa"/>
              <w:end w:w="120" w:type="dxa"/>
            </w:tcMar>
          </w:tcPr>
          <w:p>
            <w:pPr>
              <w:keepNext/>
              <w:spacing w:after="0" w:before="0"/>
            </w:pPr>
            <w:r/>
            <w:r>
              <w:rPr>
                <w:rFonts w:ascii="Calibri" w:hAnsi="Calibri"/>
                <w:b/>
                <w:color w:val="17365D"/>
                <w:sz w:val="17"/>
              </w:rPr>
              <w:t>Structural cost</w:t>
            </w:r>
          </w:p>
        </w:tc>
        <w:tc>
          <w:tcPr>
            <w:tcW w:type="dxa" w:w="2460"/>
            <w:shd w:fill="F2F4F7"/>
            <w:vAlign w:val="center"/>
            <w:tcMar>
              <w:top w:w="80" w:type="dxa"/>
              <w:start w:w="120" w:type="dxa"/>
              <w:bottom w:w="80" w:type="dxa"/>
              <w:end w:w="120" w:type="dxa"/>
            </w:tcMar>
          </w:tcPr>
          <w:p>
            <w:pPr>
              <w:keepNext/>
              <w:spacing w:after="0" w:before="0"/>
            </w:pPr>
            <w:r/>
            <w:r>
              <w:rPr>
                <w:rFonts w:ascii="Calibri" w:hAnsi="Calibri"/>
                <w:b/>
                <w:color w:val="17365D"/>
                <w:sz w:val="17"/>
              </w:rPr>
              <w:t>Domain resource</w:t>
            </w:r>
          </w:p>
        </w:tc>
      </w:tr>
      <w:tr>
        <w:trPr>
          <w:cantSplit/>
        </w:trPr>
        <w:tc>
          <w:tcPr>
            <w:tcW w:type="dxa" w:w="2600"/>
            <w:vAlign w:val="center"/>
            <w:tcMar>
              <w:top w:w="80" w:type="dxa"/>
              <w:start w:w="120" w:type="dxa"/>
              <w:bottom w:w="80" w:type="dxa"/>
              <w:end w:w="120" w:type="dxa"/>
            </w:tcMar>
          </w:tcPr>
          <w:p>
            <w:pPr>
              <w:spacing w:after="0" w:before="0"/>
            </w:pPr>
            <w:r/>
            <w:r>
              <w:rPr>
                <w:rFonts w:ascii="Calibri" w:hAnsi="Calibri"/>
                <w:b w:val="0"/>
                <w:color w:val="000000"/>
                <w:sz w:val="17"/>
              </w:rPr>
              <w:t>BANK_PAYMENT_POST</w:t>
            </w:r>
          </w:p>
        </w:tc>
        <w:tc>
          <w:tcPr>
            <w:tcW w:type="dxa" w:w="2700"/>
            <w:vAlign w:val="center"/>
            <w:tcMar>
              <w:top w:w="80" w:type="dxa"/>
              <w:start w:w="120" w:type="dxa"/>
              <w:bottom w:w="80" w:type="dxa"/>
              <w:end w:w="120" w:type="dxa"/>
            </w:tcMar>
          </w:tcPr>
          <w:p>
            <w:pPr>
              <w:spacing w:after="0" w:before="0"/>
            </w:pPr>
            <w:r/>
            <w:r>
              <w:rPr>
                <w:rFonts w:ascii="Calibri" w:hAnsi="Calibri"/>
                <w:b w:val="0"/>
                <w:color w:val="000000"/>
                <w:sz w:val="17"/>
              </w:rPr>
              <w:t>BANK_LEDGER_MUTATION</w:t>
            </w:r>
          </w:p>
        </w:tc>
        <w:tc>
          <w:tcPr>
            <w:tcW w:type="dxa" w:w="1600"/>
            <w:vAlign w:val="center"/>
            <w:tcMar>
              <w:top w:w="80" w:type="dxa"/>
              <w:start w:w="120" w:type="dxa"/>
              <w:bottom w:w="80" w:type="dxa"/>
              <w:end w:w="120" w:type="dxa"/>
            </w:tcMar>
          </w:tcPr>
          <w:p>
            <w:pPr>
              <w:spacing w:after="0" w:before="0"/>
            </w:pPr>
            <w:r/>
            <w:r>
              <w:rPr>
                <w:rFonts w:ascii="Calibri" w:hAnsi="Calibri"/>
                <w:b w:val="0"/>
                <w:color w:val="000000"/>
                <w:sz w:val="17"/>
              </w:rPr>
              <w:t>100</w:t>
            </w:r>
          </w:p>
        </w:tc>
        <w:tc>
          <w:tcPr>
            <w:tcW w:type="dxa" w:w="2460"/>
            <w:vAlign w:val="center"/>
            <w:tcMar>
              <w:top w:w="80" w:type="dxa"/>
              <w:start w:w="120" w:type="dxa"/>
              <w:bottom w:w="80" w:type="dxa"/>
              <w:end w:w="120" w:type="dxa"/>
            </w:tcMar>
          </w:tcPr>
          <w:p>
            <w:pPr>
              <w:spacing w:after="0" w:before="0"/>
            </w:pPr>
            <w:r/>
            <w:r>
              <w:rPr>
                <w:rFonts w:ascii="Calibri" w:hAnsi="Calibri"/>
                <w:b w:val="0"/>
                <w:color w:val="000000"/>
                <w:sz w:val="17"/>
              </w:rPr>
              <w:t>money_minor_units</w:t>
            </w:r>
          </w:p>
        </w:tc>
      </w:tr>
      <w:tr>
        <w:trPr>
          <w:cantSplit/>
        </w:trPr>
        <w:tc>
          <w:tcPr>
            <w:tcW w:type="dxa" w:w="2600"/>
            <w:vAlign w:val="center"/>
            <w:tcMar>
              <w:top w:w="80" w:type="dxa"/>
              <w:start w:w="120" w:type="dxa"/>
              <w:bottom w:w="80" w:type="dxa"/>
              <w:end w:w="120" w:type="dxa"/>
            </w:tcMar>
          </w:tcPr>
          <w:p>
            <w:pPr>
              <w:spacing w:after="0" w:before="0"/>
            </w:pPr>
            <w:r/>
            <w:r>
              <w:rPr>
                <w:rFonts w:ascii="Calibri" w:hAnsi="Calibri"/>
                <w:b w:val="0"/>
                <w:color w:val="000000"/>
                <w:sz w:val="17"/>
              </w:rPr>
              <w:t>BANK_PAYMENT_STATUS_READ</w:t>
            </w:r>
          </w:p>
        </w:tc>
        <w:tc>
          <w:tcPr>
            <w:tcW w:type="dxa" w:w="2700"/>
            <w:vAlign w:val="center"/>
            <w:tcMar>
              <w:top w:w="80" w:type="dxa"/>
              <w:start w:w="120" w:type="dxa"/>
              <w:bottom w:w="80" w:type="dxa"/>
              <w:end w:w="120" w:type="dxa"/>
            </w:tcMar>
          </w:tcPr>
          <w:p>
            <w:pPr>
              <w:spacing w:after="0" w:before="0"/>
            </w:pPr>
            <w:r/>
            <w:r>
              <w:rPr>
                <w:rFonts w:ascii="Calibri" w:hAnsi="Calibri"/>
                <w:b w:val="0"/>
                <w:color w:val="000000"/>
                <w:sz w:val="17"/>
              </w:rPr>
              <w:t>BANK_READ_ONLY_QUERY</w:t>
            </w:r>
          </w:p>
        </w:tc>
        <w:tc>
          <w:tcPr>
            <w:tcW w:type="dxa" w:w="1600"/>
            <w:vAlign w:val="center"/>
            <w:tcMar>
              <w:top w:w="80" w:type="dxa"/>
              <w:start w:w="120" w:type="dxa"/>
              <w:bottom w:w="80" w:type="dxa"/>
              <w:end w:w="120" w:type="dxa"/>
            </w:tcMar>
          </w:tcPr>
          <w:p>
            <w:pPr>
              <w:spacing w:after="0" w:before="0"/>
            </w:pPr>
            <w:r/>
            <w:r>
              <w:rPr>
                <w:rFonts w:ascii="Calibri" w:hAnsi="Calibri"/>
                <w:b w:val="0"/>
                <w:color w:val="000000"/>
                <w:sz w:val="17"/>
              </w:rPr>
              <w:t>10</w:t>
            </w:r>
          </w:p>
        </w:tc>
        <w:tc>
          <w:tcPr>
            <w:tcW w:type="dxa" w:w="2460"/>
            <w:vAlign w:val="center"/>
            <w:tcMar>
              <w:top w:w="80" w:type="dxa"/>
              <w:start w:w="120" w:type="dxa"/>
              <w:bottom w:w="80" w:type="dxa"/>
              <w:end w:w="120" w:type="dxa"/>
            </w:tcMar>
          </w:tcPr>
          <w:p>
            <w:pPr>
              <w:spacing w:after="0" w:before="0"/>
            </w:pPr>
            <w:r/>
            <w:r>
              <w:rPr>
                <w:rFonts w:ascii="Calibri" w:hAnsi="Calibri"/>
                <w:b w:val="0"/>
                <w:color w:val="000000"/>
                <w:sz w:val="17"/>
              </w:rPr>
              <w:t>query_units</w:t>
            </w:r>
          </w:p>
        </w:tc>
      </w:tr>
      <w:tr>
        <w:trPr>
          <w:cantSplit/>
        </w:trPr>
        <w:tc>
          <w:tcPr>
            <w:tcW w:type="dxa" w:w="2600"/>
            <w:vAlign w:val="center"/>
            <w:tcMar>
              <w:top w:w="80" w:type="dxa"/>
              <w:start w:w="120" w:type="dxa"/>
              <w:bottom w:w="80" w:type="dxa"/>
              <w:end w:w="120" w:type="dxa"/>
            </w:tcMar>
          </w:tcPr>
          <w:p>
            <w:pPr>
              <w:spacing w:after="0" w:before="0"/>
            </w:pPr>
            <w:r/>
            <w:r>
              <w:rPr>
                <w:rFonts w:ascii="Calibri" w:hAnsi="Calibri"/>
                <w:b w:val="0"/>
                <w:color w:val="000000"/>
                <w:sz w:val="17"/>
              </w:rPr>
              <w:t>NO_EFFECT_FALLBACK</w:t>
            </w:r>
          </w:p>
        </w:tc>
        <w:tc>
          <w:tcPr>
            <w:tcW w:type="dxa" w:w="2700"/>
            <w:vAlign w:val="center"/>
            <w:tcMar>
              <w:top w:w="80" w:type="dxa"/>
              <w:start w:w="120" w:type="dxa"/>
              <w:bottom w:w="80" w:type="dxa"/>
              <w:end w:w="120" w:type="dxa"/>
            </w:tcMar>
          </w:tcPr>
          <w:p>
            <w:pPr>
              <w:spacing w:after="0" w:before="0"/>
            </w:pPr>
            <w:r/>
            <w:r>
              <w:rPr>
                <w:rFonts w:ascii="Calibri" w:hAnsi="Calibri"/>
                <w:b w:val="0"/>
                <w:color w:val="000000"/>
                <w:sz w:val="17"/>
              </w:rPr>
              <w:t>NO_EFFECT</w:t>
            </w:r>
          </w:p>
        </w:tc>
        <w:tc>
          <w:tcPr>
            <w:tcW w:type="dxa" w:w="1600"/>
            <w:vAlign w:val="center"/>
            <w:tcMar>
              <w:top w:w="80" w:type="dxa"/>
              <w:start w:w="120" w:type="dxa"/>
              <w:bottom w:w="80" w:type="dxa"/>
              <w:end w:w="120" w:type="dxa"/>
            </w:tcMar>
          </w:tcPr>
          <w:p>
            <w:pPr>
              <w:spacing w:after="0" w:before="0"/>
            </w:pPr>
            <w:r/>
            <w:r>
              <w:rPr>
                <w:rFonts w:ascii="Calibri" w:hAnsi="Calibri"/>
                <w:b w:val="0"/>
                <w:color w:val="000000"/>
                <w:sz w:val="17"/>
              </w:rPr>
              <w:t>0</w:t>
            </w:r>
          </w:p>
        </w:tc>
        <w:tc>
          <w:tcPr>
            <w:tcW w:type="dxa" w:w="2460"/>
            <w:vAlign w:val="center"/>
            <w:tcMar>
              <w:top w:w="80" w:type="dxa"/>
              <w:start w:w="120" w:type="dxa"/>
              <w:bottom w:w="80" w:type="dxa"/>
              <w:end w:w="120" w:type="dxa"/>
            </w:tcMar>
          </w:tcPr>
          <w:p>
            <w:pPr>
              <w:spacing w:after="0" w:before="0"/>
            </w:pPr>
            <w:r/>
            <w:r>
              <w:rPr>
                <w:rFonts w:ascii="Calibri" w:hAnsi="Calibri"/>
                <w:b w:val="0"/>
                <w:color w:val="000000"/>
                <w:sz w:val="17"/>
              </w:rPr>
              <w:t>None</w:t>
            </w:r>
          </w:p>
        </w:tc>
      </w:tr>
    </w:tbl>
    <w:p>
      <w:pPr>
        <w:spacing w:after="0"/>
      </w:pPr>
    </w:p>
    <w:tbl>
      <w:tblPr>
        <w:tblW w:type="dxa" w:w="9360"/>
        <w:jc w:val="center"/>
        <w:tblLayout w:type="fixed"/>
        <w:tblLook w:firstColumn="1" w:firstRow="1" w:lastColumn="0" w:lastRow="0" w:noHBand="0" w:noVBand="1" w:val="04A0"/>
        <w:tblInd w:w="180" w:type="dxa"/>
      </w:tblPr>
      <w:tblGrid>
        <w:gridCol w:w="9360"/>
      </w:tblGrid>
      <w:tr>
        <w:tc>
          <w:tcPr>
            <w:tcW w:type="dxa" w:w="9360"/>
            <w:shd w:fill="FFF2CC"/>
            <w:tcMar>
              <w:top w:w="140" w:type="dxa"/>
              <w:start w:w="180" w:type="dxa"/>
              <w:bottom w:w="140" w:type="dxa"/>
              <w:end w:w="180" w:type="dxa"/>
            </w:tcMar>
          </w:tcPr>
          <w:p>
            <w:pPr>
              <w:spacing w:before="60" w:after="60"/>
            </w:pPr>
            <w:r/>
            <w:r>
              <w:rPr>
                <w:rFonts w:ascii="Calibri" w:hAnsi="Calibri"/>
                <w:b/>
                <w:color w:val="7F6000"/>
                <w:sz w:val="20"/>
              </w:rPr>
              <w:t xml:space="preserve">BANK LIMITS  </w:t>
            </w:r>
            <w:r>
              <w:rPr>
                <w:rFonts w:ascii="Calibri" w:hAnsi="Calibri"/>
                <w:sz w:val="20"/>
              </w:rPr>
              <w:t>Per-payment and aggregate currency limits are banking resource controls. They are not the NC2.5 structural selector budget.</w:t>
            </w:r>
          </w:p>
        </w:tc>
      </w:tr>
    </w:tbl>
    <w:p>
      <w:pPr>
        <w:spacing w:after="0"/>
      </w:pPr>
    </w:p>
    <w:p>
      <w:pPr>
        <w:pStyle w:val="Heading2"/>
      </w:pPr>
      <w:r>
        <w:t>9.3 Synthetic banking allowed path</w:t>
      </w:r>
    </w:p>
    <w:p>
      <w:pPr>
        <w:pStyle w:val="ListNumber"/>
        <w:numPr>
          <w:ilvl w:val="0"/>
          <w:numId w:val="11"/>
        </w:numPr>
      </w:pPr>
      <w:r>
        <w:t>Activate the banking profile and synthetic connection declaration.</w:t>
      </w:r>
    </w:p>
    <w:p>
      <w:pPr>
        <w:pStyle w:val="ListNumber"/>
        <w:numPr>
          <w:ilvl w:val="0"/>
          <w:numId w:val="11"/>
        </w:numPr>
      </w:pPr>
      <w:r>
        <w:t>Issue the synthetic workload grant for the declared actions and targets.</w:t>
      </w:r>
    </w:p>
    <w:p>
      <w:pPr>
        <w:pStyle w:val="ListNumber"/>
        <w:numPr>
          <w:ilvl w:val="0"/>
          <w:numId w:val="11"/>
        </w:numPr>
      </w:pPr>
      <w:r>
        <w:t>Submit BANK_PAYMENT_POST with 12,500 GBP minor units, exact scope, current-state hash, and three evaluator-resolved valid evidence items.</w:t>
      </w:r>
    </w:p>
    <w:p>
      <w:pPr>
        <w:pStyle w:val="ListNumber"/>
        <w:numPr>
          <w:ilvl w:val="0"/>
          <w:numId w:val="11"/>
        </w:numPr>
      </w:pPr>
      <w:r>
        <w:t>Verify structural capacity and the domain resource window.</w:t>
      </w:r>
    </w:p>
    <w:p>
      <w:pPr>
        <w:pStyle w:val="ListNumber"/>
        <w:numPr>
          <w:ilvl w:val="0"/>
          <w:numId w:val="11"/>
        </w:numPr>
      </w:pPr>
      <w:r>
        <w:t>Receive ALLOW with a permit hash and expiry; no gate internals are returned.</w:t>
      </w:r>
    </w:p>
    <w:p>
      <w:pPr>
        <w:pStyle w:val="ListNumber"/>
        <w:numPr>
          <w:ilvl w:val="0"/>
          <w:numId w:val="11"/>
        </w:numPr>
      </w:pPr>
      <w:r>
        <w:t>Consume the permit once with the same binding and state anchor.</w:t>
      </w:r>
    </w:p>
    <w:p>
      <w:pPr>
        <w:pStyle w:val="ListNumber"/>
        <w:numPr>
          <w:ilvl w:val="0"/>
          <w:numId w:val="11"/>
        </w:numPr>
      </w:pPr>
      <w:r>
        <w:t>Record a structural debit of 100, a domain debit of 12,500, and a signed receipt.</w:t>
      </w:r>
    </w:p>
    <w:p>
      <w:pPr>
        <w:pStyle w:val="Heading2"/>
      </w:pPr>
      <w:r>
        <w:t>9.4 Document-release reference profile</w:t>
      </w:r>
    </w:p>
    <w:p>
      <w:r>
        <w:t>The second complete profile maps an approved document release to the same protocol mechanics without importing banking actions or limits. It demonstrates evaluate-to-commit reuse for another declared domain; it is not a proof of arbitrary domain admission.</w:t>
      </w:r>
    </w:p>
    <w:tbl>
      <w:tblPr>
        <w:tblStyle w:val="TableGrid"/>
        <w:tblW w:type="dxa" w:w="9360"/>
        <w:jc w:val="center"/>
        <w:tblLayout w:type="fixed"/>
        <w:tblLook w:firstColumn="1" w:firstRow="1" w:lastColumn="0" w:lastRow="0" w:noHBand="0" w:noVBand="1" w:val="04A0"/>
        <w:tblInd w:w="120" w:type="dxa"/>
      </w:tblPr>
      <w:tblGrid>
        <w:gridCol w:w="2600"/>
        <w:gridCol w:w="3000"/>
        <w:gridCol w:w="1600"/>
        <w:gridCol w:w="2160"/>
      </w:tblGrid>
      <w:tr>
        <w:trPr>
          <w:tblHeader w:val="true"/>
          <w:cantSplit/>
        </w:trPr>
        <w:tc>
          <w:tcPr>
            <w:tcW w:type="dxa" w:w="2600"/>
            <w:shd w:fill="F2F4F7"/>
            <w:vAlign w:val="center"/>
            <w:tcMar>
              <w:top w:w="80" w:type="dxa"/>
              <w:start w:w="120" w:type="dxa"/>
              <w:bottom w:w="80" w:type="dxa"/>
              <w:end w:w="120" w:type="dxa"/>
            </w:tcMar>
          </w:tcPr>
          <w:p>
            <w:pPr>
              <w:keepNext/>
              <w:spacing w:after="0" w:before="0"/>
            </w:pPr>
            <w:r/>
            <w:r>
              <w:rPr>
                <w:rFonts w:ascii="Calibri" w:hAnsi="Calibri"/>
                <w:b/>
                <w:color w:val="17365D"/>
                <w:sz w:val="17"/>
              </w:rPr>
              <w:t>Action</w:t>
            </w:r>
          </w:p>
        </w:tc>
        <w:tc>
          <w:tcPr>
            <w:tcW w:type="dxa" w:w="3000"/>
            <w:shd w:fill="F2F4F7"/>
            <w:vAlign w:val="center"/>
            <w:tcMar>
              <w:top w:w="80" w:type="dxa"/>
              <w:start w:w="120" w:type="dxa"/>
              <w:bottom w:w="80" w:type="dxa"/>
              <w:end w:w="120" w:type="dxa"/>
            </w:tcMar>
          </w:tcPr>
          <w:p>
            <w:pPr>
              <w:keepNext/>
              <w:spacing w:after="0" w:before="0"/>
            </w:pPr>
            <w:r/>
            <w:r>
              <w:rPr>
                <w:rFonts w:ascii="Calibri" w:hAnsi="Calibri"/>
                <w:b/>
                <w:color w:val="17365D"/>
                <w:sz w:val="17"/>
              </w:rPr>
              <w:t>Effect</w:t>
            </w:r>
          </w:p>
        </w:tc>
        <w:tc>
          <w:tcPr>
            <w:tcW w:type="dxa" w:w="1600"/>
            <w:shd w:fill="F2F4F7"/>
            <w:vAlign w:val="center"/>
            <w:tcMar>
              <w:top w:w="80" w:type="dxa"/>
              <w:start w:w="120" w:type="dxa"/>
              <w:bottom w:w="80" w:type="dxa"/>
              <w:end w:w="120" w:type="dxa"/>
            </w:tcMar>
          </w:tcPr>
          <w:p>
            <w:pPr>
              <w:keepNext/>
              <w:spacing w:after="0" w:before="0"/>
            </w:pPr>
            <w:r/>
            <w:r>
              <w:rPr>
                <w:rFonts w:ascii="Calibri" w:hAnsi="Calibri"/>
                <w:b/>
                <w:color w:val="17365D"/>
                <w:sz w:val="17"/>
              </w:rPr>
              <w:t>Structural cost</w:t>
            </w:r>
          </w:p>
        </w:tc>
        <w:tc>
          <w:tcPr>
            <w:tcW w:type="dxa" w:w="2160"/>
            <w:shd w:fill="F2F4F7"/>
            <w:vAlign w:val="center"/>
            <w:tcMar>
              <w:top w:w="80" w:type="dxa"/>
              <w:start w:w="120" w:type="dxa"/>
              <w:bottom w:w="80" w:type="dxa"/>
              <w:end w:w="120" w:type="dxa"/>
            </w:tcMar>
          </w:tcPr>
          <w:p>
            <w:pPr>
              <w:keepNext/>
              <w:spacing w:after="0" w:before="0"/>
            </w:pPr>
            <w:r/>
            <w:r>
              <w:rPr>
                <w:rFonts w:ascii="Calibri" w:hAnsi="Calibri"/>
                <w:b/>
                <w:color w:val="17365D"/>
                <w:sz w:val="17"/>
              </w:rPr>
              <w:t>Domain resource</w:t>
            </w:r>
          </w:p>
        </w:tc>
      </w:tr>
      <w:tr>
        <w:trPr>
          <w:cantSplit/>
        </w:trPr>
        <w:tc>
          <w:tcPr>
            <w:tcW w:type="dxa" w:w="2600"/>
            <w:vAlign w:val="center"/>
            <w:tcMar>
              <w:top w:w="80" w:type="dxa"/>
              <w:start w:w="120" w:type="dxa"/>
              <w:bottom w:w="80" w:type="dxa"/>
              <w:end w:w="120" w:type="dxa"/>
            </w:tcMar>
          </w:tcPr>
          <w:p>
            <w:pPr>
              <w:spacing w:after="0" w:before="0"/>
            </w:pPr>
            <w:r/>
            <w:r>
              <w:rPr>
                <w:rFonts w:ascii="Calibri" w:hAnsi="Calibri"/>
                <w:b w:val="0"/>
                <w:color w:val="000000"/>
                <w:sz w:val="17"/>
              </w:rPr>
              <w:t>DOCUMENT_RELEASE</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7"/>
              </w:rPr>
              <w:t>DOCUMENT_STATE_MUTATION</w:t>
            </w:r>
          </w:p>
        </w:tc>
        <w:tc>
          <w:tcPr>
            <w:tcW w:type="dxa" w:w="1600"/>
            <w:vAlign w:val="center"/>
            <w:tcMar>
              <w:top w:w="80" w:type="dxa"/>
              <w:start w:w="120" w:type="dxa"/>
              <w:bottom w:w="80" w:type="dxa"/>
              <w:end w:w="120" w:type="dxa"/>
            </w:tcMar>
          </w:tcPr>
          <w:p>
            <w:pPr>
              <w:spacing w:after="0" w:before="0"/>
            </w:pPr>
            <w:r/>
            <w:r>
              <w:rPr>
                <w:rFonts w:ascii="Calibri" w:hAnsi="Calibri"/>
                <w:b w:val="0"/>
                <w:color w:val="000000"/>
                <w:sz w:val="17"/>
              </w:rPr>
              <w:t>40</w:t>
            </w:r>
          </w:p>
        </w:tc>
        <w:tc>
          <w:tcPr>
            <w:tcW w:type="dxa" w:w="2160"/>
            <w:vAlign w:val="center"/>
            <w:tcMar>
              <w:top w:w="80" w:type="dxa"/>
              <w:start w:w="120" w:type="dxa"/>
              <w:bottom w:w="80" w:type="dxa"/>
              <w:end w:w="120" w:type="dxa"/>
            </w:tcMar>
          </w:tcPr>
          <w:p>
            <w:pPr>
              <w:spacing w:after="0" w:before="0"/>
            </w:pPr>
            <w:r/>
            <w:r>
              <w:rPr>
                <w:rFonts w:ascii="Calibri" w:hAnsi="Calibri"/>
                <w:b w:val="0"/>
                <w:color w:val="000000"/>
                <w:sz w:val="17"/>
              </w:rPr>
              <w:t>document_units</w:t>
            </w:r>
          </w:p>
        </w:tc>
      </w:tr>
      <w:tr>
        <w:trPr>
          <w:cantSplit/>
        </w:trPr>
        <w:tc>
          <w:tcPr>
            <w:tcW w:type="dxa" w:w="2600"/>
            <w:vAlign w:val="center"/>
            <w:tcMar>
              <w:top w:w="80" w:type="dxa"/>
              <w:start w:w="120" w:type="dxa"/>
              <w:bottom w:w="80" w:type="dxa"/>
              <w:end w:w="120" w:type="dxa"/>
            </w:tcMar>
          </w:tcPr>
          <w:p>
            <w:pPr>
              <w:spacing w:after="0" w:before="0"/>
            </w:pPr>
            <w:r/>
            <w:r>
              <w:rPr>
                <w:rFonts w:ascii="Calibri" w:hAnsi="Calibri"/>
                <w:b w:val="0"/>
                <w:color w:val="000000"/>
                <w:sz w:val="17"/>
              </w:rPr>
              <w:t>NO_EFFECT_FALLBACK</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7"/>
              </w:rPr>
              <w:t>NO_EFFECT</w:t>
            </w:r>
          </w:p>
        </w:tc>
        <w:tc>
          <w:tcPr>
            <w:tcW w:type="dxa" w:w="1600"/>
            <w:vAlign w:val="center"/>
            <w:tcMar>
              <w:top w:w="80" w:type="dxa"/>
              <w:start w:w="120" w:type="dxa"/>
              <w:bottom w:w="80" w:type="dxa"/>
              <w:end w:w="120" w:type="dxa"/>
            </w:tcMar>
          </w:tcPr>
          <w:p>
            <w:pPr>
              <w:spacing w:after="0" w:before="0"/>
            </w:pPr>
            <w:r/>
            <w:r>
              <w:rPr>
                <w:rFonts w:ascii="Calibri" w:hAnsi="Calibri"/>
                <w:b w:val="0"/>
                <w:color w:val="000000"/>
                <w:sz w:val="17"/>
              </w:rPr>
              <w:t>0</w:t>
            </w:r>
          </w:p>
        </w:tc>
        <w:tc>
          <w:tcPr>
            <w:tcW w:type="dxa" w:w="2160"/>
            <w:vAlign w:val="center"/>
            <w:tcMar>
              <w:top w:w="80" w:type="dxa"/>
              <w:start w:w="120" w:type="dxa"/>
              <w:bottom w:w="80" w:type="dxa"/>
              <w:end w:w="120" w:type="dxa"/>
            </w:tcMar>
          </w:tcPr>
          <w:p>
            <w:pPr>
              <w:spacing w:after="0" w:before="0"/>
            </w:pPr>
            <w:r/>
            <w:r>
              <w:rPr>
                <w:rFonts w:ascii="Calibri" w:hAnsi="Calibri"/>
                <w:b w:val="0"/>
                <w:color w:val="000000"/>
                <w:sz w:val="17"/>
              </w:rPr>
              <w:t>None</w:t>
            </w:r>
          </w:p>
        </w:tc>
      </w:tr>
    </w:tbl>
    <w:p>
      <w:pPr>
        <w:spacing w:after="0"/>
      </w:pPr>
    </w:p>
    <w:p>
      <w:pPr>
        <w:pStyle w:val="Heading2"/>
      </w:pPr>
      <w:r>
        <w:t>9.5 OTCS registry bridge</w:t>
      </w:r>
    </w:p>
    <w:p>
      <w:r>
        <w:t>The OTCS bridge is built inside this ledger. The active NC2.5 profile and declaration define the admissibility atmosphere, and the NC2.5 evaluator alone issues ALLOW, REFUSAL, or MANUAL_REVIEW. OTCS does not supply an admissibility verdict: it supplies typed rights, consent, operating-grant, mark-permission, and expected-head facts, then performs a compare-and-swap append only under a live NC2.5 permit.</w:t>
      </w:r>
    </w:p>
    <w:tbl>
      <w:tblPr>
        <w:tblStyle w:val="TableGrid"/>
        <w:tblW w:type="dxa" w:w="9360"/>
        <w:jc w:val="center"/>
        <w:tblLayout w:type="fixed"/>
        <w:tblLook w:firstColumn="1" w:firstRow="1" w:lastColumn="0" w:lastRow="0" w:noHBand="0" w:noVBand="1" w:val="04A0"/>
        <w:tblInd w:w="120" w:type="dxa"/>
      </w:tblPr>
      <w:tblGrid>
        <w:gridCol w:w="2100"/>
        <w:gridCol w:w="1900"/>
        <w:gridCol w:w="5360"/>
      </w:tblGrid>
      <w:tr>
        <w:trPr>
          <w:tblHeader w:val="true"/>
          <w:cantSplit/>
        </w:trPr>
        <w:tc>
          <w:tcPr>
            <w:tcW w:type="dxa" w:w="2100"/>
            <w:shd w:fill="F2F4F7"/>
            <w:vAlign w:val="center"/>
            <w:tcMar>
              <w:top w:w="80" w:type="dxa"/>
              <w:start w:w="120" w:type="dxa"/>
              <w:bottom w:w="80" w:type="dxa"/>
              <w:end w:w="120" w:type="dxa"/>
            </w:tcMar>
          </w:tcPr>
          <w:p>
            <w:pPr>
              <w:keepNext/>
              <w:spacing w:after="0" w:before="0"/>
            </w:pPr>
            <w:r/>
            <w:r>
              <w:rPr>
                <w:rFonts w:ascii="Calibri" w:hAnsi="Calibri"/>
                <w:b/>
                <w:color w:val="17365D"/>
                <w:sz w:val="16"/>
              </w:rPr>
              <w:t>Boundary</w:t>
            </w:r>
          </w:p>
        </w:tc>
        <w:tc>
          <w:tcPr>
            <w:tcW w:type="dxa" w:w="1900"/>
            <w:shd w:fill="F2F4F7"/>
            <w:vAlign w:val="center"/>
            <w:tcMar>
              <w:top w:w="80" w:type="dxa"/>
              <w:start w:w="120" w:type="dxa"/>
              <w:bottom w:w="80" w:type="dxa"/>
              <w:end w:w="120" w:type="dxa"/>
            </w:tcMar>
          </w:tcPr>
          <w:p>
            <w:pPr>
              <w:keepNext/>
              <w:spacing w:after="0" w:before="0"/>
            </w:pPr>
            <w:r/>
            <w:r>
              <w:rPr>
                <w:rFonts w:ascii="Calibri" w:hAnsi="Calibri"/>
                <w:b/>
                <w:color w:val="17365D"/>
                <w:sz w:val="16"/>
              </w:rPr>
              <w:t>Owner</w:t>
            </w:r>
          </w:p>
        </w:tc>
        <w:tc>
          <w:tcPr>
            <w:tcW w:type="dxa" w:w="5360"/>
            <w:shd w:fill="F2F4F7"/>
            <w:vAlign w:val="center"/>
            <w:tcMar>
              <w:top w:w="80" w:type="dxa"/>
              <w:start w:w="120" w:type="dxa"/>
              <w:bottom w:w="80" w:type="dxa"/>
              <w:end w:w="120" w:type="dxa"/>
            </w:tcMar>
          </w:tcPr>
          <w:p>
            <w:pPr>
              <w:keepNext/>
              <w:spacing w:after="0" w:before="0"/>
            </w:pPr>
            <w:r/>
            <w:r>
              <w:rPr>
                <w:rFonts w:ascii="Calibri" w:hAnsi="Calibri"/>
                <w:b/>
                <w:color w:val="17365D"/>
                <w:sz w:val="16"/>
              </w:rPr>
              <w:t>Invariant</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Admissibility</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 ledger</w:t>
            </w:r>
          </w:p>
        </w:tc>
        <w:tc>
          <w:tcPr>
            <w:tcW w:type="dxa" w:w="5360"/>
            <w:vAlign w:val="center"/>
            <w:tcMar>
              <w:top w:w="80" w:type="dxa"/>
              <w:start w:w="120" w:type="dxa"/>
              <w:bottom w:w="80" w:type="dxa"/>
              <w:end w:w="120" w:type="dxa"/>
            </w:tcMar>
          </w:tcPr>
          <w:p>
            <w:pPr>
              <w:spacing w:after="0" w:before="0"/>
            </w:pPr>
            <w:r/>
            <w:r>
              <w:rPr>
                <w:rFonts w:ascii="Calibri" w:hAnsi="Calibri"/>
                <w:b w:val="0"/>
                <w:color w:val="000000"/>
                <w:sz w:val="16"/>
              </w:rPr>
              <w:t>Only the active profile/declaration and local evaluator can issue an executable permit</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Domain facts</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OTCS</w:t>
            </w:r>
          </w:p>
        </w:tc>
        <w:tc>
          <w:tcPr>
            <w:tcW w:type="dxa" w:w="5360"/>
            <w:vAlign w:val="center"/>
            <w:tcMar>
              <w:top w:w="80" w:type="dxa"/>
              <w:start w:w="120" w:type="dxa"/>
              <w:bottom w:w="80" w:type="dxa"/>
              <w:end w:w="120" w:type="dxa"/>
            </w:tcMar>
          </w:tcPr>
          <w:p>
            <w:pPr>
              <w:spacing w:after="0" w:before="0"/>
            </w:pPr>
            <w:r/>
            <w:r>
              <w:rPr>
                <w:rFonts w:ascii="Calibri" w:hAnsi="Calibri"/>
                <w:b w:val="0"/>
                <w:color w:val="000000"/>
                <w:sz w:val="16"/>
              </w:rPr>
              <w:t>RFC 8785 digests and the expected project head are treated as typed, opaque evidence</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External mutation</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OTCS</w:t>
            </w:r>
          </w:p>
        </w:tc>
        <w:tc>
          <w:tcPr>
            <w:tcW w:type="dxa" w:w="5360"/>
            <w:vAlign w:val="center"/>
            <w:tcMar>
              <w:top w:w="80" w:type="dxa"/>
              <w:start w:w="120" w:type="dxa"/>
              <w:bottom w:w="80" w:type="dxa"/>
              <w:end w:w="120" w:type="dxa"/>
            </w:tcMar>
          </w:tcPr>
          <w:p>
            <w:pPr>
              <w:spacing w:after="0" w:before="0"/>
            </w:pPr>
            <w:r/>
            <w:r>
              <w:rPr>
                <w:rFonts w:ascii="Calibri" w:hAnsi="Calibri"/>
                <w:b w:val="0"/>
                <w:color w:val="000000"/>
                <w:sz w:val="16"/>
              </w:rPr>
              <w:t>One project-scoped idempotent compare-and-swap append under the supplied permit</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Execution receipt</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 ledger</w:t>
            </w:r>
          </w:p>
        </w:tc>
        <w:tc>
          <w:tcPr>
            <w:tcW w:type="dxa" w:w="5360"/>
            <w:vAlign w:val="center"/>
            <w:tcMar>
              <w:top w:w="80" w:type="dxa"/>
              <w:start w:w="120" w:type="dxa"/>
              <w:bottom w:w="80" w:type="dxa"/>
              <w:end w:w="120" w:type="dxa"/>
            </w:tcMar>
          </w:tcPr>
          <w:p>
            <w:pPr>
              <w:spacing w:after="0" w:before="0"/>
            </w:pPr>
            <w:r/>
            <w:r>
              <w:rPr>
                <w:rFonts w:ascii="Calibri" w:hAnsi="Calibri"/>
                <w:b w:val="0"/>
                <w:color w:val="000000"/>
                <w:sz w:val="16"/>
              </w:rPr>
              <w:t>The exact OTCS receipt digest is sealed into the EXECUTION_RECORDED event</w:t>
            </w:r>
          </w:p>
        </w:tc>
      </w:tr>
      <w:tr>
        <w:trPr>
          <w:cantSplit/>
        </w:trPr>
        <w:tc>
          <w:tcPr>
            <w:tcW w:type="dxa" w:w="2100"/>
            <w:vAlign w:val="center"/>
            <w:tcMar>
              <w:top w:w="80" w:type="dxa"/>
              <w:start w:w="120" w:type="dxa"/>
              <w:bottom w:w="80" w:type="dxa"/>
              <w:end w:w="120" w:type="dxa"/>
            </w:tcMar>
          </w:tcPr>
          <w:p>
            <w:pPr>
              <w:spacing w:after="0" w:before="0"/>
            </w:pPr>
            <w:r/>
            <w:r>
              <w:rPr>
                <w:rFonts w:ascii="Calibri" w:hAnsi="Calibri"/>
                <w:b w:val="0"/>
                <w:color w:val="000000"/>
                <w:sz w:val="16"/>
              </w:rPr>
              <w:t>Crash recovery</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Local SQLite outbox</w:t>
            </w:r>
          </w:p>
        </w:tc>
        <w:tc>
          <w:tcPr>
            <w:tcW w:type="dxa" w:w="5360"/>
            <w:vAlign w:val="center"/>
            <w:tcMar>
              <w:top w:w="80" w:type="dxa"/>
              <w:start w:w="120" w:type="dxa"/>
              <w:bottom w:w="80" w:type="dxa"/>
              <w:end w:w="120" w:type="dxa"/>
            </w:tcMar>
          </w:tcPr>
          <w:p>
            <w:pPr>
              <w:spacing w:after="0" w:before="0"/>
            </w:pPr>
            <w:r/>
            <w:r>
              <w:rPr>
                <w:rFonts w:ascii="Calibri" w:hAnsi="Calibri"/>
                <w:b w:val="0"/>
                <w:color w:val="000000"/>
                <w:sz w:val="16"/>
              </w:rPr>
              <w:t>A dead PREPARED permit stops before OTCS; CALLING or AMBIGUOUS replays only with a live permit, otherwise RECONCILIATION_REQUIRED; committed effects are never re-authorized</w:t>
            </w:r>
          </w:p>
        </w:tc>
      </w:tr>
    </w:tbl>
    <w:p>
      <w:pPr>
        <w:spacing w:after="0"/>
      </w:pPr>
    </w:p>
    <w:p>
      <w:pPr>
        <w:pStyle w:val="ListNumber"/>
        <w:numPr>
          <w:ilvl w:val="0"/>
          <w:numId w:val="12"/>
        </w:numPr>
      </w:pPr>
      <w:r>
        <w:t>Read the current OTCS project head and typed legal receipts.</w:t>
      </w:r>
    </w:p>
    <w:p>
      <w:pPr>
        <w:pStyle w:val="ListNumber"/>
        <w:numPr>
          <w:ilvl w:val="0"/>
          <w:numId w:val="12"/>
        </w:numPr>
      </w:pPr>
      <w:r>
        <w:t>Build an NC2.5 intent and evidence bundle bound to those hashes.</w:t>
      </w:r>
    </w:p>
    <w:p>
      <w:pPr>
        <w:pStyle w:val="ListNumber"/>
        <w:numPr>
          <w:ilvl w:val="0"/>
          <w:numId w:val="12"/>
        </w:numPr>
      </w:pPr>
      <w:r>
        <w:t>Bind the complete append operation into the evidence submitted for local evaluation.</w:t>
      </w:r>
    </w:p>
    <w:p>
      <w:pPr>
        <w:pStyle w:val="ListNumber"/>
        <w:numPr>
          <w:ilvl w:val="0"/>
          <w:numId w:val="12"/>
        </w:numPr>
      </w:pPr>
      <w:r>
        <w:t>Evaluate locally; only on ALLOW persist the permitted request with its original intent/evidence snapshot. Otherwise stop without contacting OTCS.</w:t>
      </w:r>
    </w:p>
    <w:p>
      <w:pPr>
        <w:pStyle w:val="ListNumber"/>
        <w:numPr>
          <w:ilvl w:val="0"/>
          <w:numId w:val="12"/>
        </w:numPr>
      </w:pPr>
      <w:r>
        <w:t>Before execution or recovery, verify that snapshot and operation against the durable engine's authenticated submitted decision and recheck their agreement under the bridge's intent and evidence rules. Recheck every transition snapshot; exclude local admission data from the OTCS request.</w:t>
      </w:r>
    </w:p>
    <w:p>
      <w:pPr>
        <w:pStyle w:val="ListNumber"/>
        <w:numPr>
          <w:ilvl w:val="0"/>
          <w:numId w:val="12"/>
        </w:numPr>
      </w:pPr>
      <w:r>
        <w:t>Immediately before a first OTCS call, revalidate the row's profile/declaration binding and permit; a dead PREPARED permit becomes NOT_EXECUTED without an external call.</w:t>
      </w:r>
    </w:p>
    <w:p>
      <w:pPr>
        <w:pStyle w:val="ListNumber"/>
        <w:numPr>
          <w:ilvl w:val="0"/>
          <w:numId w:val="12"/>
        </w:numPr>
      </w:pPr>
      <w:r>
        <w:t>Ask OTCS to compare-and-swap the expected head. The production port verifies the receipt signature and inclusion proof before returning it.</w:t>
      </w:r>
    </w:p>
    <w:p>
      <w:pPr>
        <w:pStyle w:val="ListNumber"/>
        <w:numPr>
          <w:ilvl w:val="0"/>
          <w:numId w:val="12"/>
        </w:numPr>
      </w:pPr>
      <w:r>
        <w:t>After an ambiguous CALLING state, replay the exact request only with a live permit. For CALLING or AMBIGUOUS with a dead permit, stop in RECONCILIATION_REQUIRED without another OTCS call.</w:t>
      </w:r>
    </w:p>
    <w:p>
      <w:pPr>
        <w:pStyle w:val="ListNumber"/>
        <w:numPr>
          <w:ilvl w:val="0"/>
          <w:numId w:val="12"/>
        </w:numPr>
      </w:pPr>
      <w:r>
        <w:t>Bind the OTCS receipt digest into the local execution event; route a late local-finalization failure to reconciliation instead of inventing a new authorization.</w:t>
      </w:r>
    </w:p>
    <w:tbl>
      <w:tblPr>
        <w:tblW w:type="dxa" w:w="9360"/>
        <w:jc w:val="center"/>
        <w:tblLayout w:type="fixed"/>
        <w:tblLook w:firstColumn="1" w:firstRow="1" w:lastColumn="0" w:lastRow="0" w:noHBand="0" w:noVBand="1" w:val="04A0"/>
        <w:tblInd w:w="180" w:type="dxa"/>
      </w:tblPr>
      <w:tblGrid>
        <w:gridCol w:w="9360"/>
      </w:tblGrid>
      <w:tr>
        <w:tc>
          <w:tcPr>
            <w:tcW w:type="dxa" w:w="9360"/>
            <w:shd w:fill="FFF2CC"/>
            <w:tcMar>
              <w:top w:w="140" w:type="dxa"/>
              <w:start w:w="180" w:type="dxa"/>
              <w:bottom w:w="140" w:type="dxa"/>
              <w:end w:w="180" w:type="dxa"/>
            </w:tcMar>
          </w:tcPr>
          <w:p>
            <w:pPr>
              <w:spacing w:before="60" w:after="60"/>
            </w:pPr>
            <w:r/>
            <w:r>
              <w:rPr>
                <w:rFonts w:ascii="Calibri" w:hAnsi="Calibri"/>
                <w:b/>
                <w:color w:val="7F6000"/>
                <w:sz w:val="20"/>
              </w:rPr>
              <w:t xml:space="preserve">AUTHORITY BOUNDARY  </w:t>
            </w:r>
            <w:r>
              <w:rPr>
                <w:rFonts w:ascii="Calibri" w:hAnsi="Calibri"/>
                <w:sz w:val="20"/>
              </w:rPr>
              <w:t>Legacy outbox rows without an admission snapshot are refused with OTCS_OUTBOX_ADMISSION and require operator reconciliation. The binding trusts the durable engine and its authentication keys; it is not a MAC over all outbox state or a downstream receipt seal. A stale OTCS head is an execution failure against changed state, not a new OTCS admission decision. A retry must obtain a fresh state anchor and pass NC2.5 evaluation again.</w:t>
            </w:r>
          </w:p>
        </w:tc>
      </w:tr>
    </w:tbl>
    <w:p>
      <w:pPr>
        <w:spacing w:after="0"/>
      </w:pPr>
    </w:p>
    <w:p>
      <w:pPr>
        <w:pStyle w:val="Heading1"/>
      </w:pPr>
      <w:r>
        <w:t>10. API contract</w:t>
      </w:r>
    </w:p>
    <w:tbl>
      <w:tblPr>
        <w:tblStyle w:val="TableGrid"/>
        <w:tblW w:type="dxa" w:w="9360"/>
        <w:jc w:val="center"/>
        <w:tblLayout w:type="fixed"/>
        <w:tblLook w:firstColumn="1" w:firstRow="1" w:lastColumn="0" w:lastRow="0" w:noHBand="0" w:noVBand="1" w:val="04A0"/>
        <w:tblInd w:w="120" w:type="dxa"/>
      </w:tblPr>
      <w:tblGrid>
        <w:gridCol w:w="3900"/>
        <w:gridCol w:w="1900"/>
        <w:gridCol w:w="3560"/>
      </w:tblGrid>
      <w:tr>
        <w:trPr>
          <w:tblHeader w:val="true"/>
          <w:cantSplit/>
        </w:trPr>
        <w:tc>
          <w:tcPr>
            <w:tcW w:type="dxa" w:w="3900"/>
            <w:shd w:fill="F2F4F7"/>
            <w:vAlign w:val="center"/>
            <w:tcMar>
              <w:top w:w="80" w:type="dxa"/>
              <w:start w:w="120" w:type="dxa"/>
              <w:bottom w:w="80" w:type="dxa"/>
              <w:end w:w="120" w:type="dxa"/>
            </w:tcMar>
          </w:tcPr>
          <w:p>
            <w:pPr>
              <w:keepNext/>
              <w:spacing w:after="0" w:before="0"/>
            </w:pPr>
            <w:r/>
            <w:r>
              <w:rPr>
                <w:rFonts w:ascii="Calibri" w:hAnsi="Calibri"/>
                <w:b/>
                <w:color w:val="17365D"/>
                <w:sz w:val="16"/>
              </w:rPr>
              <w:t>Method and route</w:t>
            </w:r>
          </w:p>
        </w:tc>
        <w:tc>
          <w:tcPr>
            <w:tcW w:type="dxa" w:w="1900"/>
            <w:shd w:fill="F2F4F7"/>
            <w:vAlign w:val="center"/>
            <w:tcMar>
              <w:top w:w="80" w:type="dxa"/>
              <w:start w:w="120" w:type="dxa"/>
              <w:bottom w:w="80" w:type="dxa"/>
              <w:end w:w="120" w:type="dxa"/>
            </w:tcMar>
          </w:tcPr>
          <w:p>
            <w:pPr>
              <w:keepNext/>
              <w:spacing w:after="0" w:before="0"/>
            </w:pPr>
            <w:r/>
            <w:r>
              <w:rPr>
                <w:rFonts w:ascii="Calibri" w:hAnsi="Calibri"/>
                <w:b/>
                <w:color w:val="17365D"/>
                <w:sz w:val="16"/>
              </w:rPr>
              <w:t>Scope</w:t>
            </w:r>
          </w:p>
        </w:tc>
        <w:tc>
          <w:tcPr>
            <w:tcW w:type="dxa" w:w="3560"/>
            <w:shd w:fill="F2F4F7"/>
            <w:vAlign w:val="center"/>
            <w:tcMar>
              <w:top w:w="80" w:type="dxa"/>
              <w:start w:w="120" w:type="dxa"/>
              <w:bottom w:w="80" w:type="dxa"/>
              <w:end w:w="120" w:type="dxa"/>
            </w:tcMar>
          </w:tcPr>
          <w:p>
            <w:pPr>
              <w:keepNext/>
              <w:spacing w:after="0" w:before="0"/>
            </w:pPr>
            <w:r/>
            <w:r>
              <w:rPr>
                <w:rFonts w:ascii="Calibri" w:hAnsi="Calibri"/>
                <w:b/>
                <w:color w:val="17365D"/>
                <w:sz w:val="16"/>
              </w:rPr>
              <w:t>Purpose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POST /v1/declarations:activate</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nc25.governance</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Activate exact profile and declaration hashes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POST /v1/authority-grants</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nc25.governance</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Issue a scoped workload grant</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POST /v1/authority-revocations</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nc25.governance</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Revoke a grant and outstanding permits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POST /v1/operator/intents:evaluate</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nc25.operator</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Evaluate intent and return minimal result</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POST /v1/executor/permits/{permit_hash}:consume</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nc25.executor</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Consume a live permit exactly once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GET /v1/architect/permits/{permit_hash}</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nc25.architect</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Read post-event permit trace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GET /v1/architect/decisions/{request_hash}</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nc25.architect</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Read post-event decision trace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GET /v1/architect/ledger/head</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nc25.architect</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Verify append-only chain head</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GET /v1/registry/connectors/{connector_id}</w:t>
            </w:r>
          </w:p>
        </w:tc>
        <w:tc>
          <w:tcPr>
            <w:tcW w:type="dxa" w:w="1900"/>
            <w:vAlign w:val="center"/>
            <w:tcMar>
              <w:top w:w="80" w:type="dxa"/>
              <w:start w:w="120" w:type="dxa"/>
              <w:bottom w:w="80" w:type="dxa"/>
              <w:end w:w="120" w:type="dxa"/>
            </w:tcMar>
          </w:tcPr>
          <w:p>
            <w:pPr>
              <w:spacing w:after="0" w:before="0"/>
            </w:pPr>
            <w:r/>
            <w:r>
              <w:rPr>
                <w:rFonts w:ascii="Calibri" w:hAnsi="Calibri"/>
                <w:b w:val="0"/>
                <w:color w:val="000000"/>
                <w:sz w:val="16"/>
              </w:rPr>
              <w:t>nc25.architect</w:t>
            </w:r>
          </w:p>
        </w:tc>
        <w:tc>
          <w:tcPr>
            <w:tcW w:type="dxa" w:w="3560"/>
            <w:vAlign w:val="center"/>
            <w:tcMar>
              <w:top w:w="80" w:type="dxa"/>
              <w:start w:w="120" w:type="dxa"/>
              <w:bottom w:w="80" w:type="dxa"/>
              <w:end w:w="120" w:type="dxa"/>
            </w:tcMar>
          </w:tcPr>
          <w:p>
            <w:pPr>
              <w:spacing w:after="0" w:before="0"/>
            </w:pPr>
            <w:r/>
            <w:r>
              <w:rPr>
                <w:rFonts w:ascii="Calibri" w:hAnsi="Calibri"/>
                <w:b w:val="0"/>
                <w:color w:val="000000"/>
                <w:sz w:val="16"/>
              </w:rPr>
              <w:t>Read the exact connector hash-only projection or return 404</w:t>
            </w:r>
          </w:p>
        </w:tc>
      </w:tr>
    </w:tbl>
    <w:p>
      <w:pPr>
        <w:spacing w:after="0"/>
      </w:pPr>
    </w:p>
    <w:p>
      <w:pPr>
        <w:pStyle w:val="ListBullet"/>
      </w:pPr>
      <w:r>
        <w:t>Every route requires mTLS and a workload identity carrying the exact route scope.</w:t>
      </w:r>
    </w:p>
    <w:p>
      <w:pPr>
        <w:pStyle w:val="ListBullet"/>
      </w:pPr>
      <w:r>
        <w:t>Every public SDK operation requires an explicit actor_scope; omission fails closed, no method supplies its required role as a default, and production derives the scope from verified workload identity.</w:t>
      </w:r>
    </w:p>
    <w:p>
      <w:pPr>
        <w:pStyle w:val="ListBullet"/>
      </w:pPr>
      <w:r>
        <w:t>The runtime intent and evidence schemas are internal evaluator inputs; a production adapter ignores connector-asserted truth values and overwrites them with authoritative evidence resolution and independently derived controls.</w:t>
      </w:r>
    </w:p>
    <w:p>
      <w:pPr>
        <w:pStyle w:val="ListBullet"/>
      </w:pPr>
      <w:r>
        <w:t>Resolved evidence and derived controls are bound to the request and current-state anchor before evaluation.</w:t>
      </w:r>
    </w:p>
    <w:p>
      <w:pPr>
        <w:pStyle w:val="ListBullet"/>
      </w:pPr>
      <w:r>
        <w:t>The operator route requires an Idempotency-Key header exactly equal to intent.idempotency_key; mismatch is rejected before evaluation.</w:t>
      </w:r>
    </w:p>
    <w:p>
      <w:pPr>
        <w:pStyle w:val="ListBullet"/>
      </w:pPr>
      <w:r>
        <w:t>Wire SHA-256 inputs use exactly 64 hexadecimal characters in either case; the engine normalizes comparisons and emits canonical uppercase values.</w:t>
      </w:r>
    </w:p>
    <w:p>
      <w:pPr>
        <w:pStyle w:val="ListBullet"/>
      </w:pPr>
      <w:r>
        <w:t>The executor consume route requires the path permit_hash to equal execution_request.permit_hash. The adapter passes the path value as route_permit_hash to commit_execution; mismatch fails with EXECUTION_PERMIT_MISMATCH before lookup, replay, consumption, or debit.</w:t>
      </w:r>
    </w:p>
    <w:p>
      <w:pPr>
        <w:pStyle w:val="ListBullet"/>
      </w:pPr>
      <w:r>
        <w:t>The registry route passes its connector_id path selector to registry_record. A different or unknown selector fails with CONNECTOR_NOT_FOUND and maps to HTTP 404; the active connector record is never substituted.</w:t>
      </w:r>
    </w:p>
    <w:p>
      <w:pPr>
        <w:pStyle w:val="ListBullet"/>
      </w:pPr>
      <w:r>
        <w:t>If an in-process exception interrupts reference commit, the engine restores its pre-call state before re-raising. With state_path configured, SQLite serializes writers with BEGIN IMMEDIATE, commits permit consumption, debit, receipt, replay state, reservations, and the local event chain atomically for one node, and reloads one verified snapshot under the local lock for every public read.</w:t>
      </w:r>
    </w:p>
    <w:p>
      <w:pPr>
        <w:pStyle w:val="ListBullet"/>
      </w:pPr>
      <w:r>
        <w:t>Signer configuration is external runtime configuration. Reopening a state_path whose event chain contains Ed25519 envelopes requires a verifier-compatible event_signer with the same key_id; SQLite deliberately persists neither signer configuration nor private keys. Omitting the verifier, or supplying one that declares both an algorithm and a key_id and differs from the persisted envelope in either, fails closed with EVENT_SIGNER_REQUIRED. The EventSigner protocol requires only sign and verify, so a signer that does not declare both cannot be compared against the envelope at all; for such a signer the mismatch is not distinguished and reaches the caller as a chain verdict. A signer declaring the same key_id with different key material likewise cannot be told apart from a forged chain and so fails full-chain integrity verification.</w:t>
      </w:r>
    </w:p>
    <w:p>
      <w:pPr>
        <w:pStyle w:val="ListBullet"/>
      </w:pPr>
      <w:r>
        <w:t>External JSON Schema references define profile, declaration, and runtime payloads.</w:t>
      </w:r>
    </w:p>
    <w:p>
      <w:pPr>
        <w:pStyle w:val="ListBullet"/>
      </w:pPr>
      <w:r>
        <w:t>The HTTP adapter wraps the reference engine's primitive declaration and grant hashes into the response objects defined by OpenAPI.</w:t>
      </w:r>
    </w:p>
    <w:p>
      <w:pPr>
        <w:pStyle w:val="ListBullet"/>
      </w:pPr>
      <w:r>
        <w:t>A standard-library reference WSGI adapter (sdk/python/nc25_universal_adapter.py) implements every route and enforces these wire rules end-to-end: it derives the route scope from the transport identity and never the body, binds the posted activation profile and declaration to the engine's sealed hashes, requires the Idempotency-Key header to equal intent.idempotency_key, binds the path permit hash to the body, and maps engine outcomes to the declared HTTP statuses. The engine's default paths are standard-library only; the optional Ed25519 signers require the pinned cryptography wheel and fail closed without it. Production replaces the scope header with mTLS plus scoped OAuth.</w:t>
      </w:r>
    </w:p>
    <w:p>
      <w:pPr>
        <w:pStyle w:val="ListBullet"/>
      </w:pPr>
      <w:r>
        <w:t>A contract error is distinct from a normalized non-executable business result.</w:t>
      </w:r>
    </w:p>
    <w:p>
      <w:pPr>
        <w:pStyle w:val="ListBullet"/>
      </w:pPr>
      <w:r>
        <w:t>Integrity failure returns no permit and requires an operational halt.</w:t>
      </w:r>
    </w:p>
    <w:p>
      <w:pPr>
        <w:pStyle w:val="Heading1"/>
      </w:pPr>
      <w:r>
        <w:t>11. Failure matrix</w:t>
      </w:r>
    </w:p>
    <w:tbl>
      <w:tblPr>
        <w:tblStyle w:val="TableGrid"/>
        <w:tblW w:type="dxa" w:w="9360"/>
        <w:jc w:val="center"/>
        <w:tblLayout w:type="fixed"/>
        <w:tblLook w:firstColumn="1" w:firstRow="1" w:lastColumn="0" w:lastRow="0" w:noHBand="0" w:noVBand="1" w:val="04A0"/>
        <w:tblInd w:w="120" w:type="dxa"/>
      </w:tblPr>
      <w:tblGrid>
        <w:gridCol w:w="3600"/>
        <w:gridCol w:w="2250"/>
        <w:gridCol w:w="2050"/>
        <w:gridCol w:w="1460"/>
      </w:tblGrid>
      <w:tr>
        <w:trPr>
          <w:tblHeader w:val="true"/>
          <w:cantSplit/>
        </w:trPr>
        <w:tc>
          <w:tcPr>
            <w:tcW w:type="dxa" w:w="3600"/>
            <w:shd w:fill="F2F4F7"/>
            <w:vAlign w:val="center"/>
            <w:tcMar>
              <w:top w:w="80" w:type="dxa"/>
              <w:start w:w="120" w:type="dxa"/>
              <w:bottom w:w="80" w:type="dxa"/>
              <w:end w:w="120" w:type="dxa"/>
            </w:tcMar>
          </w:tcPr>
          <w:p>
            <w:pPr>
              <w:keepNext/>
              <w:spacing w:after="0" w:before="0"/>
            </w:pPr>
            <w:r/>
            <w:r>
              <w:rPr>
                <w:rFonts w:ascii="Calibri" w:hAnsi="Calibri"/>
                <w:b/>
                <w:color w:val="17365D"/>
                <w:sz w:val="15"/>
              </w:rPr>
              <w:t>Condition</w:t>
            </w:r>
          </w:p>
        </w:tc>
        <w:tc>
          <w:tcPr>
            <w:tcW w:type="dxa" w:w="2250"/>
            <w:shd w:fill="F2F4F7"/>
            <w:vAlign w:val="center"/>
            <w:tcMar>
              <w:top w:w="80" w:type="dxa"/>
              <w:start w:w="120" w:type="dxa"/>
              <w:bottom w:w="80" w:type="dxa"/>
              <w:end w:w="120" w:type="dxa"/>
            </w:tcMar>
          </w:tcPr>
          <w:p>
            <w:pPr>
              <w:keepNext/>
              <w:spacing w:after="0" w:before="0"/>
            </w:pPr>
            <w:r/>
            <w:r>
              <w:rPr>
                <w:rFonts w:ascii="Calibri" w:hAnsi="Calibri"/>
                <w:b/>
                <w:color w:val="17365D"/>
                <w:sz w:val="15"/>
              </w:rPr>
              <w:t>Disposition / error</w:t>
            </w:r>
          </w:p>
        </w:tc>
        <w:tc>
          <w:tcPr>
            <w:tcW w:type="dxa" w:w="2050"/>
            <w:shd w:fill="F2F4F7"/>
            <w:vAlign w:val="center"/>
            <w:tcMar>
              <w:top w:w="80" w:type="dxa"/>
              <w:start w:w="120" w:type="dxa"/>
              <w:bottom w:w="80" w:type="dxa"/>
              <w:end w:w="120" w:type="dxa"/>
            </w:tcMar>
          </w:tcPr>
          <w:p>
            <w:pPr>
              <w:keepNext/>
              <w:spacing w:after="0" w:before="0"/>
            </w:pPr>
            <w:r/>
            <w:r>
              <w:rPr>
                <w:rFonts w:ascii="Calibri" w:hAnsi="Calibri"/>
                <w:b/>
                <w:color w:val="17365D"/>
                <w:sz w:val="15"/>
              </w:rPr>
              <w:t>Gate engaged</w:t>
            </w:r>
          </w:p>
        </w:tc>
        <w:tc>
          <w:tcPr>
            <w:tcW w:type="dxa" w:w="1460"/>
            <w:shd w:fill="F2F4F7"/>
            <w:vAlign w:val="center"/>
            <w:tcMar>
              <w:top w:w="80" w:type="dxa"/>
              <w:start w:w="120" w:type="dxa"/>
              <w:bottom w:w="80" w:type="dxa"/>
              <w:end w:w="120" w:type="dxa"/>
            </w:tcMar>
          </w:tcPr>
          <w:p>
            <w:pPr>
              <w:keepNext/>
              <w:spacing w:after="0" w:before="0"/>
            </w:pPr>
            <w:r/>
            <w:r>
              <w:rPr>
                <w:rFonts w:ascii="Calibri" w:hAnsi="Calibri"/>
                <w:b/>
                <w:color w:val="17365D"/>
                <w:sz w:val="15"/>
              </w:rPr>
              <w:t>Permit</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Missing required evidence</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REFUSAL</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Structurally valid evidence with INVALID, REVOKED, or EXPIRED status</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REFUSAL</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Malformed evidence object, hash, reference, or unknown status</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Contract error / halt</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 decision</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Ambiguous request</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MANUAL_REVIEW</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Manual-review flag true</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MANUAL_REVIEW</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Hard-block flag true</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REFUSAL</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Binding, authority, action-target pairing, or scope mismatch</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REFUSAL</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Structural capacity unavailable</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REFUSAL</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Yes; structural=0</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Domain resource rule or window unavailable</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REFUSAL</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Yes; effect=0</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Idempotency key reused with changed request</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Conflict</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 new evaluation</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Grant revoked before commit</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Commit rejected</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Prior result invalidated</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 usable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State anchor changed</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Commit rejected</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Prior result invalidated</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 usable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Permit expired, tampered, or consumed</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Commit rejected</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 new evaluation</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 usable</w:t>
            </w:r>
          </w:p>
        </w:tc>
      </w:tr>
      <w:tr>
        <w:trPr>
          <w:cantSplit/>
        </w:trPr>
        <w:tc>
          <w:tcPr>
            <w:tcW w:type="dxa" w:w="3600"/>
            <w:vAlign w:val="center"/>
            <w:tcMar>
              <w:top w:w="80" w:type="dxa"/>
              <w:start w:w="120" w:type="dxa"/>
              <w:bottom w:w="80" w:type="dxa"/>
              <w:end w:w="120" w:type="dxa"/>
            </w:tcMar>
          </w:tcPr>
          <w:p>
            <w:pPr>
              <w:spacing w:after="0" w:before="0"/>
            </w:pPr>
            <w:r/>
            <w:r>
              <w:rPr>
                <w:rFonts w:ascii="Calibri" w:hAnsi="Calibri"/>
                <w:b w:val="0"/>
                <w:color w:val="000000"/>
                <w:sz w:val="15"/>
              </w:rPr>
              <w:t>Profile, declaration, or ledger integrity failure</w:t>
            </w:r>
          </w:p>
        </w:tc>
        <w:tc>
          <w:tcPr>
            <w:tcW w:type="dxa" w:w="2250"/>
            <w:vAlign w:val="center"/>
            <w:tcMar>
              <w:top w:w="80" w:type="dxa"/>
              <w:start w:w="120" w:type="dxa"/>
              <w:bottom w:w="80" w:type="dxa"/>
              <w:end w:w="120" w:type="dxa"/>
            </w:tcMar>
          </w:tcPr>
          <w:p>
            <w:pPr>
              <w:spacing w:after="0" w:before="0"/>
            </w:pPr>
            <w:r/>
            <w:r>
              <w:rPr>
                <w:rFonts w:ascii="Calibri" w:hAnsi="Calibri"/>
                <w:b w:val="0"/>
                <w:color w:val="000000"/>
                <w:sz w:val="15"/>
              </w:rPr>
              <w:t>Transport-level halt; no operator result</w:t>
            </w:r>
          </w:p>
        </w:tc>
        <w:tc>
          <w:tcPr>
            <w:tcW w:type="dxa" w:w="2050"/>
            <w:vAlign w:val="center"/>
            <w:tcMar>
              <w:top w:w="80" w:type="dxa"/>
              <w:start w:w="120" w:type="dxa"/>
              <w:bottom w:w="80" w:type="dxa"/>
              <w:end w:w="120" w:type="dxa"/>
            </w:tcMar>
          </w:tcPr>
          <w:p>
            <w:pPr>
              <w:spacing w:after="0" w:before="0"/>
            </w:pPr>
            <w:r/>
            <w:r>
              <w:rPr>
                <w:rFonts w:ascii="Calibri" w:hAnsi="Calibri"/>
                <w:b w:val="0"/>
                <w:color w:val="000000"/>
                <w:sz w:val="15"/>
              </w:rPr>
              <w:t>No</w:t>
            </w:r>
          </w:p>
        </w:tc>
        <w:tc>
          <w:tcPr>
            <w:tcW w:type="dxa" w:w="1460"/>
            <w:vAlign w:val="center"/>
            <w:tcMar>
              <w:top w:w="80" w:type="dxa"/>
              <w:start w:w="120" w:type="dxa"/>
              <w:bottom w:w="80" w:type="dxa"/>
              <w:end w:w="120" w:type="dxa"/>
            </w:tcMar>
          </w:tcPr>
          <w:p>
            <w:pPr>
              <w:spacing w:after="0" w:before="0"/>
            </w:pPr>
            <w:r/>
            <w:r>
              <w:rPr>
                <w:rFonts w:ascii="Calibri" w:hAnsi="Calibri"/>
                <w:b w:val="0"/>
                <w:color w:val="000000"/>
                <w:sz w:val="15"/>
              </w:rPr>
              <w:t>None</w:t>
            </w:r>
          </w:p>
        </w:tc>
      </w:tr>
    </w:tbl>
    <w:p>
      <w:pPr>
        <w:spacing w:after="0"/>
      </w:pPr>
    </w:p>
    <w:p>
      <w:pPr>
        <w:pStyle w:val="Heading1"/>
      </w:pPr>
      <w:r>
        <w:t>12. Production substitutions and security</w:t>
      </w:r>
    </w:p>
    <w:tbl>
      <w:tblPr>
        <w:tblStyle w:val="TableGrid"/>
        <w:tblW w:type="dxa" w:w="9360"/>
        <w:jc w:val="center"/>
        <w:tblLayout w:type="fixed"/>
        <w:tblLook w:firstColumn="1" w:firstRow="1" w:lastColumn="0" w:lastRow="0" w:noHBand="0" w:noVBand="1" w:val="04A0"/>
        <w:tblInd w:w="120" w:type="dxa"/>
      </w:tblPr>
      <w:tblGrid>
        <w:gridCol w:w="2150"/>
        <w:gridCol w:w="4170"/>
        <w:gridCol w:w="3040"/>
      </w:tblGrid>
      <w:tr>
        <w:trPr>
          <w:tblHeader w:val="true"/>
          <w:cantSplit/>
        </w:trPr>
        <w:tc>
          <w:tcPr>
            <w:tcW w:type="dxa" w:w="2150"/>
            <w:shd w:fill="F2F4F7"/>
            <w:vAlign w:val="center"/>
            <w:tcMar>
              <w:top w:w="80" w:type="dxa"/>
              <w:start w:w="120" w:type="dxa"/>
              <w:bottom w:w="80" w:type="dxa"/>
              <w:end w:w="120" w:type="dxa"/>
            </w:tcMar>
          </w:tcPr>
          <w:p>
            <w:pPr>
              <w:keepNext/>
              <w:spacing w:after="0" w:before="0"/>
            </w:pPr>
            <w:r/>
            <w:r>
              <w:rPr>
                <w:rFonts w:ascii="Calibri" w:hAnsi="Calibri"/>
                <w:b/>
                <w:color w:val="17365D"/>
                <w:sz w:val="15"/>
              </w:rPr>
              <w:t>Reference element</w:t>
            </w:r>
          </w:p>
        </w:tc>
        <w:tc>
          <w:tcPr>
            <w:tcW w:type="dxa" w:w="4170"/>
            <w:shd w:fill="F2F4F7"/>
            <w:vAlign w:val="center"/>
            <w:tcMar>
              <w:top w:w="80" w:type="dxa"/>
              <w:start w:w="120" w:type="dxa"/>
              <w:bottom w:w="80" w:type="dxa"/>
              <w:end w:w="120" w:type="dxa"/>
            </w:tcMar>
          </w:tcPr>
          <w:p>
            <w:pPr>
              <w:keepNext/>
              <w:spacing w:after="0" w:before="0"/>
            </w:pPr>
            <w:r/>
            <w:r>
              <w:rPr>
                <w:rFonts w:ascii="Calibri" w:hAnsi="Calibri"/>
                <w:b/>
                <w:color w:val="17365D"/>
                <w:sz w:val="15"/>
              </w:rPr>
              <w:t>Production requirement</w:t>
            </w:r>
          </w:p>
        </w:tc>
        <w:tc>
          <w:tcPr>
            <w:tcW w:type="dxa" w:w="3040"/>
            <w:shd w:fill="F2F4F7"/>
            <w:vAlign w:val="center"/>
            <w:tcMar>
              <w:top w:w="80" w:type="dxa"/>
              <w:start w:w="120" w:type="dxa"/>
              <w:bottom w:w="80" w:type="dxa"/>
              <w:end w:w="120" w:type="dxa"/>
            </w:tcMar>
          </w:tcPr>
          <w:p>
            <w:pPr>
              <w:keepNext/>
              <w:spacing w:after="0" w:before="0"/>
            </w:pPr>
            <w:r/>
            <w:r>
              <w:rPr>
                <w:rFonts w:ascii="Calibri" w:hAnsi="Calibri"/>
                <w:b/>
                <w:color w:val="17365D"/>
                <w:sz w:val="15"/>
              </w:rPr>
              <w:t>Acceptance evidence</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Reference HMAC permit signer and state HMAC</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Asymmetric KMS/HSM key, rotation, revocation, custody</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Key policy and independent verification</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Optional Ed25519 permit/event envelope</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KMS/HSM-backed detached signature with managed key policy</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Tamper, wrong-key, rotation, and independent-verification evidence</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Versioned permit signature envelope (shipped; key_id-routed verification, rotation, revocation)</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Managed key custody source behind the same envelope; key ceremonies and revocation evidence</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Wire-contract conformance and independent signature verification</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Connector-supplied evidence claims</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Inject an authoritative evidence resolver; exceptions, malformed output, and intent mismatch fail closed</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Override, malformed-output, and request/state binding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Connector-supplied control booleans</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Inject an authoritative control resolver (shipped injection point); derived results replace the intent flags and bind into the request hash; failures fail closed</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Independent control-derivation and spoofed-control-rejection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In-memory event list</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Transactional append-only or WORM storage</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Retention configuration and restore test</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Optional single-node SQLite idempotency</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Managed or replicated unique constraint and replay-safe result store where multi-node availability is required</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Concurrency, restart, and failover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In-memory execution replay</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Store execution request hash and receipt atomically with permit consumption</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Lost-response retry and changed-retry conflict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Required local OTCS SQLite outbox</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Transactional replicated outbox or workflow store preserving exact requests, receipts, and reconciliation state</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Crash-before-call, ambiguous-response, and failover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Project-idempotent OTCS append port</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Authenticated expected-head compare-and-swap client with signature and inclusion-proof verification</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Duplicate suppression, stale-head, signature, proof, and replay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Optional SQLite committed_resources history</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Managed windowed aggregate with pruning or compaction, replication where required, and trusted time</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Window-boundary, restart, retention, and failover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In-process RLock</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Database or distributed serialization across reservation, debit, and receipt creation</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Concurrent oversubscription and multi-process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Full-chain verification per operation</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Indexed or checkpointed hot-path verification plus independent full-chain audits</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Scale benchmark and historical tamper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Process clock</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Trusted UTC source with drift monitoring</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Clock source, thresholds, and alert evidence</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Process reservation</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Durable reservation coordinated with downstream commit</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Failure-injection and double-spend tests</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Function-call role</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mTLS and enterprise workload identity with scoped OAuth</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Trust chain and access matrix</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Synthetic evidence URI</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Immutable access-controlled evidence reference</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Evidence registry and hash verification</w:t>
            </w:r>
          </w:p>
        </w:tc>
      </w:tr>
      <w:tr>
        <w:trPr>
          <w:cantSplit/>
        </w:trPr>
        <w:tc>
          <w:tcPr>
            <w:tcW w:type="dxa" w:w="2150"/>
            <w:vAlign w:val="center"/>
            <w:tcMar>
              <w:top w:w="80" w:type="dxa"/>
              <w:start w:w="120" w:type="dxa"/>
              <w:bottom w:w="80" w:type="dxa"/>
              <w:end w:w="120" w:type="dxa"/>
            </w:tcMar>
          </w:tcPr>
          <w:p>
            <w:pPr>
              <w:spacing w:after="0" w:before="0"/>
            </w:pPr>
            <w:r/>
            <w:r>
              <w:rPr>
                <w:rFonts w:ascii="Calibri" w:hAnsi="Calibri"/>
                <w:b w:val="0"/>
                <w:color w:val="000000"/>
                <w:sz w:val="15"/>
              </w:rPr>
              <w:t>In-process commit</w:t>
            </w:r>
          </w:p>
        </w:tc>
        <w:tc>
          <w:tcPr>
            <w:tcW w:type="dxa" w:w="4170"/>
            <w:vAlign w:val="center"/>
            <w:tcMar>
              <w:top w:w="80" w:type="dxa"/>
              <w:start w:w="120" w:type="dxa"/>
              <w:bottom w:w="80" w:type="dxa"/>
              <w:end w:w="120" w:type="dxa"/>
            </w:tcMar>
          </w:tcPr>
          <w:p>
            <w:pPr>
              <w:spacing w:after="0" w:before="0"/>
            </w:pPr>
            <w:r/>
            <w:r>
              <w:rPr>
                <w:rFonts w:ascii="Calibri" w:hAnsi="Calibri"/>
                <w:b w:val="0"/>
                <w:color w:val="000000"/>
                <w:sz w:val="15"/>
              </w:rPr>
              <w:t>Atomic or compensatable downstream transaction boundary</w:t>
            </w:r>
          </w:p>
        </w:tc>
        <w:tc>
          <w:tcPr>
            <w:tcW w:type="dxa" w:w="3040"/>
            <w:vAlign w:val="center"/>
            <w:tcMar>
              <w:top w:w="80" w:type="dxa"/>
              <w:start w:w="120" w:type="dxa"/>
              <w:bottom w:w="80" w:type="dxa"/>
              <w:end w:w="120" w:type="dxa"/>
            </w:tcMar>
          </w:tcPr>
          <w:p>
            <w:pPr>
              <w:spacing w:after="0" w:before="0"/>
            </w:pPr>
            <w:r/>
            <w:r>
              <w:rPr>
                <w:rFonts w:ascii="Calibri" w:hAnsi="Calibri"/>
                <w:b w:val="0"/>
                <w:color w:val="000000"/>
                <w:sz w:val="15"/>
              </w:rPr>
              <w:t>Commit/rollback design and reconciliation test</w:t>
            </w:r>
          </w:p>
        </w:tc>
      </w:tr>
    </w:tbl>
    <w:p>
      <w:pPr>
        <w:spacing w:after="0"/>
      </w:pPr>
    </w:p>
    <w:p>
      <w:pPr>
        <w:pStyle w:val="Heading2"/>
      </w:pPr>
      <w:r>
        <w:t>12.1 Security invariants</w:t>
      </w:r>
    </w:p>
    <w:p>
      <w:pPr>
        <w:pStyle w:val="ListBullet"/>
      </w:pPr>
      <w:r>
        <w:t>Connector-supplied evidence status and prerequisite, hard-block, or manual-review booleans are never authority in production: the engine ships an evidence resolver and a control resolver whose derived results replace the connector claims as gate inputs, and production MUST wire both to authoritative systems. Without the resolvers the reference engine gates on the declared intent flags — a documented reference boundary, not a production posture.</w:t>
      </w:r>
    </w:p>
    <w:p>
      <w:pPr>
        <w:pStyle w:val="ListBullet"/>
      </w:pPr>
      <w:r>
        <w:t>The production evaluator resolves authoritative evidence and derives controls before the reference gate boundary.</w:t>
      </w:r>
    </w:p>
    <w:p>
      <w:pPr>
        <w:pStyle w:val="ListBullet"/>
      </w:pPr>
      <w:r>
        <w:t>No raw secret, token, password, private key, or reusable credential enters an intent, event, receipt, or registry record.</w:t>
      </w:r>
    </w:p>
    <w:p>
      <w:pPr>
        <w:pStyle w:val="ListBullet"/>
      </w:pPr>
      <w:r>
        <w:t>The connector has no write path to profile, declaration, gate, or architect store.</w:t>
      </w:r>
    </w:p>
    <w:p>
      <w:pPr>
        <w:pStyle w:val="ListBullet"/>
      </w:pPr>
      <w:r>
        <w:t>Operator and observer surfaces never expose gate internals.</w:t>
      </w:r>
    </w:p>
    <w:p>
      <w:pPr>
        <w:pStyle w:val="ListBullet"/>
      </w:pPr>
      <w:r>
        <w:t>Revocation and expiry are checked again at commit, not only at evaluation.</w:t>
      </w:r>
    </w:p>
    <w:p>
      <w:pPr>
        <w:pStyle w:val="ListBullet"/>
      </w:pPr>
      <w:r>
        <w:t>A local integrity failure blocks every later operation until investigated.</w:t>
      </w:r>
    </w:p>
    <w:p>
      <w:pPr>
        <w:pStyle w:val="ListBullet"/>
      </w:pPr>
      <w:r>
        <w:t>Logs and evidence use enterprise data-classification, retention, and access controls.</w:t>
      </w:r>
    </w:p>
    <w:p>
      <w:pPr>
        <w:pStyle w:val="Heading2"/>
      </w:pPr>
      <w:r>
        <w:t>12.2 Contract validation and bounded failure policy</w:t>
      </w:r>
    </w:p>
    <w:p>
      <w:r>
        <w:t>failure_posture is a required profile mirror of protocol-fixed outcomes: missing_required_data is REFUSAL and ambiguity is MANUAL_REVIEW. Neither the profile nor the declaration can select an alternative disposition.</w:t>
      </w:r>
    </w:p>
    <w:p>
      <w:pPr>
        <w:pStyle w:val="ListBullet"/>
      </w:pPr>
      <w:r>
        <w:t>Both posture values are required, non-executable, and fixed: missing_required_data is REFUSAL and ambiguity is MANUAL_REVIEW.</w:t>
      </w:r>
    </w:p>
    <w:p>
      <w:pPr>
        <w:pStyle w:val="ListBullet"/>
      </w:pPr>
      <w:r>
        <w:t>Integrity failures remain raised hard errors because a compromised seal or ledger cannot safely author a new disposition.</w:t>
      </w:r>
    </w:p>
    <w:p>
      <w:pPr>
        <w:pStyle w:val="ListBullet"/>
      </w:pPr>
      <w:r>
        <w:t>This reference has no downstream caller or independent rule-conflict detector, so integrity_failure, downstream_unavailable, and rule_conflict are not decorative configuration fields.</w:t>
      </w:r>
    </w:p>
    <w:p>
      <w:pPr>
        <w:pStyle w:val="ListBullet"/>
      </w:pPr>
      <w:r>
        <w:t>A production extension adds a reviewed runtime branch and a new schema version before adding another configurable failure condition.</w:t>
      </w:r>
    </w:p>
    <w:p>
      <w:pPr>
        <w:pStyle w:val="ListBullet"/>
      </w:pPr>
      <w:r>
        <w:t>Every inbound profile, declaration, and runtime message has a normative JSON Schema, exercised by the shipped conformance suite. The reference engine enforces its semantic contract itself; wire-ingress schema validation is an integrator obligation (README step 5), because the standard-library reference adapter deliberately carries no third-party schema dependency.</w:t>
      </w:r>
    </w:p>
    <w:p>
      <w:pPr>
        <w:pStyle w:val="ListBullet"/>
      </w:pPr>
      <w:r>
        <w:t>The conformance suite activates date-time format checking and carries negative probes for malformed formats and overlong strings.</w:t>
      </w:r>
    </w:p>
    <w:p>
      <w:pPr>
        <w:pStyle w:val="Heading1"/>
      </w:pPr>
      <w:r>
        <w:t>13. Acceptance</w:t>
      </w:r>
    </w:p>
    <w:p>
      <w:pPr>
        <w:pStyle w:val="Heading2"/>
      </w:pPr>
      <w:r>
        <w:t>13.1 Reference package checks</w:t>
      </w:r>
    </w:p>
    <w:tbl>
      <w:tblPr>
        <w:tblStyle w:val="TableGrid"/>
        <w:tblW w:type="dxa" w:w="9360"/>
        <w:jc w:val="center"/>
        <w:tblLayout w:type="fixed"/>
        <w:tblLook w:firstColumn="1" w:firstRow="1" w:lastColumn="0" w:lastRow="0" w:noHBand="0" w:noVBand="1" w:val="04A0"/>
        <w:tblInd w:w="120" w:type="dxa"/>
      </w:tblPr>
      <w:tblGrid>
        <w:gridCol w:w="2500"/>
        <w:gridCol w:w="4510"/>
        <w:gridCol w:w="2350"/>
      </w:tblGrid>
      <w:tr>
        <w:trPr>
          <w:tblHeader w:val="true"/>
          <w:cantSplit/>
        </w:trPr>
        <w:tc>
          <w:tcPr>
            <w:tcW w:type="dxa" w:w="2500"/>
            <w:shd w:fill="F2F4F7"/>
            <w:vAlign w:val="center"/>
            <w:tcMar>
              <w:top w:w="80" w:type="dxa"/>
              <w:start w:w="120" w:type="dxa"/>
              <w:bottom w:w="80" w:type="dxa"/>
              <w:end w:w="120" w:type="dxa"/>
            </w:tcMar>
          </w:tcPr>
          <w:p>
            <w:pPr>
              <w:keepNext/>
              <w:spacing w:after="0" w:before="0"/>
            </w:pPr>
            <w:r/>
            <w:r>
              <w:rPr>
                <w:rFonts w:ascii="Calibri" w:hAnsi="Calibri"/>
                <w:b/>
                <w:color w:val="17365D"/>
                <w:sz w:val="17"/>
              </w:rPr>
              <w:t>Check set</w:t>
            </w:r>
          </w:p>
        </w:tc>
        <w:tc>
          <w:tcPr>
            <w:tcW w:type="dxa" w:w="4510"/>
            <w:shd w:fill="F2F4F7"/>
            <w:vAlign w:val="center"/>
            <w:tcMar>
              <w:top w:w="80" w:type="dxa"/>
              <w:start w:w="120" w:type="dxa"/>
              <w:bottom w:w="80" w:type="dxa"/>
              <w:end w:w="120" w:type="dxa"/>
            </w:tcMar>
          </w:tcPr>
          <w:p>
            <w:pPr>
              <w:keepNext/>
              <w:spacing w:after="0" w:before="0"/>
            </w:pPr>
            <w:r/>
            <w:r>
              <w:rPr>
                <w:rFonts w:ascii="Calibri" w:hAnsi="Calibri"/>
                <w:b/>
                <w:color w:val="17365D"/>
                <w:sz w:val="17"/>
              </w:rPr>
              <w:t>Coverage</w:t>
            </w:r>
          </w:p>
        </w:tc>
        <w:tc>
          <w:tcPr>
            <w:tcW w:type="dxa" w:w="2350"/>
            <w:shd w:fill="F2F4F7"/>
            <w:vAlign w:val="center"/>
            <w:tcMar>
              <w:top w:w="80" w:type="dxa"/>
              <w:start w:w="120" w:type="dxa"/>
              <w:bottom w:w="80" w:type="dxa"/>
              <w:end w:w="120" w:type="dxa"/>
            </w:tcMar>
          </w:tcPr>
          <w:p>
            <w:pPr>
              <w:keepNext/>
              <w:spacing w:after="0" w:before="0"/>
            </w:pPr>
            <w:r/>
            <w:r>
              <w:rPr>
                <w:rFonts w:ascii="Calibri" w:hAnsi="Calibri"/>
                <w:b/>
                <w:color w:val="17365D"/>
                <w:sz w:val="17"/>
              </w:rPr>
              <w:t>Expected result</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7"/>
              </w:rPr>
              <w:t>Functional behavior</w:t>
            </w:r>
          </w:p>
        </w:tc>
        <w:tc>
          <w:tcPr>
            <w:tcW w:type="dxa" w:w="4510"/>
            <w:vAlign w:val="center"/>
            <w:tcMar>
              <w:top w:w="80" w:type="dxa"/>
              <w:start w:w="120" w:type="dxa"/>
              <w:bottom w:w="80" w:type="dxa"/>
              <w:end w:w="120" w:type="dxa"/>
            </w:tcMar>
          </w:tcPr>
          <w:p>
            <w:pPr>
              <w:spacing w:after="0" w:before="0"/>
            </w:pPr>
            <w:r/>
            <w:r>
              <w:rPr>
                <w:rFonts w:ascii="Calibri" w:hAnsi="Calibri"/>
                <w:b w:val="0"/>
                <w:color w:val="000000"/>
                <w:sz w:val="17"/>
              </w:rPr>
              <w:t>34 positive and negative state-machine tests, each run against all three shipped profiles</w:t>
            </w:r>
          </w:p>
        </w:tc>
        <w:tc>
          <w:tcPr>
            <w:tcW w:type="dxa" w:w="2350"/>
            <w:vAlign w:val="center"/>
            <w:tcMar>
              <w:top w:w="80" w:type="dxa"/>
              <w:start w:w="120" w:type="dxa"/>
              <w:bottom w:w="80" w:type="dxa"/>
              <w:end w:w="120" w:type="dxa"/>
            </w:tcMar>
          </w:tcPr>
          <w:p>
            <w:pPr>
              <w:spacing w:after="0" w:before="0"/>
            </w:pPr>
            <w:r/>
            <w:r>
              <w:rPr>
                <w:rFonts w:ascii="Calibri" w:hAnsi="Calibri"/>
                <w:b w:val="0"/>
                <w:color w:val="000000"/>
                <w:sz w:val="17"/>
              </w:rPr>
              <w:t>All pass on all three profiles</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7"/>
              </w:rPr>
              <w:t>Semantic contradictions</w:t>
            </w:r>
          </w:p>
        </w:tc>
        <w:tc>
          <w:tcPr>
            <w:tcW w:type="dxa" w:w="4510"/>
            <w:vAlign w:val="center"/>
            <w:tcMar>
              <w:top w:w="80" w:type="dxa"/>
              <w:start w:w="120" w:type="dxa"/>
              <w:bottom w:w="80" w:type="dxa"/>
              <w:end w:w="120" w:type="dxa"/>
            </w:tcMar>
          </w:tcPr>
          <w:p>
            <w:pPr>
              <w:spacing w:after="0" w:before="0"/>
            </w:pPr>
            <w:r/>
            <w:r>
              <w:rPr>
                <w:rFonts w:ascii="Calibri" w:hAnsi="Calibri"/>
                <w:b w:val="0"/>
                <w:color w:val="000000"/>
                <w:sz w:val="17"/>
              </w:rPr>
              <w:t>15 profile, declaration, role, and input tests</w:t>
            </w:r>
          </w:p>
        </w:tc>
        <w:tc>
          <w:tcPr>
            <w:tcW w:type="dxa" w:w="2350"/>
            <w:vAlign w:val="center"/>
            <w:tcMar>
              <w:top w:w="80" w:type="dxa"/>
              <w:start w:w="120" w:type="dxa"/>
              <w:bottom w:w="80" w:type="dxa"/>
              <w:end w:w="120" w:type="dxa"/>
            </w:tcMar>
          </w:tcPr>
          <w:p>
            <w:pPr>
              <w:spacing w:after="0" w:before="0"/>
            </w:pPr>
            <w:r/>
            <w:r>
              <w:rPr>
                <w:rFonts w:ascii="Calibri" w:hAnsi="Calibri"/>
                <w:b w:val="0"/>
                <w:color w:val="000000"/>
                <w:sz w:val="17"/>
              </w:rPr>
              <w:t>All rejected as designed</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7"/>
              </w:rPr>
              <w:t>Deliberate-break sensitivity</w:t>
            </w:r>
          </w:p>
        </w:tc>
        <w:tc>
          <w:tcPr>
            <w:tcW w:type="dxa" w:w="4510"/>
            <w:vAlign w:val="center"/>
            <w:tcMar>
              <w:top w:w="80" w:type="dxa"/>
              <w:start w:w="120" w:type="dxa"/>
              <w:bottom w:w="80" w:type="dxa"/>
              <w:end w:w="120" w:type="dxa"/>
            </w:tcMar>
          </w:tcPr>
          <w:p>
            <w:pPr>
              <w:spacing w:after="0" w:before="0"/>
            </w:pPr>
            <w:r/>
            <w:r>
              <w:rPr>
                <w:rFonts w:ascii="Calibri" w:hAnsi="Calibri"/>
                <w:b w:val="0"/>
                <w:color w:val="000000"/>
                <w:sz w:val="17"/>
              </w:rPr>
              <w:t>51 named safety facts</w:t>
            </w:r>
          </w:p>
        </w:tc>
        <w:tc>
          <w:tcPr>
            <w:tcW w:type="dxa" w:w="2350"/>
            <w:vAlign w:val="center"/>
            <w:tcMar>
              <w:top w:w="80" w:type="dxa"/>
              <w:start w:w="120" w:type="dxa"/>
              <w:bottom w:w="80" w:type="dxa"/>
              <w:end w:w="120" w:type="dxa"/>
            </w:tcMar>
          </w:tcPr>
          <w:p>
            <w:pPr>
              <w:spacing w:after="0" w:before="0"/>
            </w:pPr>
            <w:r/>
            <w:r>
              <w:rPr>
                <w:rFonts w:ascii="Calibri" w:hAnsi="Calibri"/>
                <w:b w:val="0"/>
                <w:color w:val="000000"/>
                <w:sz w:val="17"/>
              </w:rPr>
              <w:t>Each mutation produces its own expected refusal or error</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7"/>
              </w:rPr>
              <w:t>Contract conformance</w:t>
            </w:r>
          </w:p>
        </w:tc>
        <w:tc>
          <w:tcPr>
            <w:tcW w:type="dxa" w:w="4510"/>
            <w:vAlign w:val="center"/>
            <w:tcMar>
              <w:top w:w="80" w:type="dxa"/>
              <w:start w:w="120" w:type="dxa"/>
              <w:bottom w:w="80" w:type="dxa"/>
              <w:end w:w="120" w:type="dxa"/>
            </w:tcMar>
          </w:tcPr>
          <w:p>
            <w:pPr>
              <w:spacing w:after="0" w:before="0"/>
            </w:pPr>
            <w:r/>
            <w:r>
              <w:rPr>
                <w:rFonts w:ascii="Calibri" w:hAnsi="Calibri"/>
                <w:b w:val="0"/>
                <w:color w:val="000000"/>
                <w:sz w:val="17"/>
              </w:rPr>
              <w:t>55 checks covering shipped artefacts, active format and length bounds, live outputs, wire references, route table, per-route security, and engine operations</w:t>
            </w:r>
          </w:p>
        </w:tc>
        <w:tc>
          <w:tcPr>
            <w:tcW w:type="dxa" w:w="2350"/>
            <w:vAlign w:val="center"/>
            <w:tcMar>
              <w:top w:w="80" w:type="dxa"/>
              <w:start w:w="120" w:type="dxa"/>
              <w:bottom w:w="80" w:type="dxa"/>
              <w:end w:w="120" w:type="dxa"/>
            </w:tcMar>
          </w:tcPr>
          <w:p>
            <w:pPr>
              <w:spacing w:after="0" w:before="0"/>
            </w:pPr>
            <w:r/>
            <w:r>
              <w:rPr>
                <w:rFonts w:ascii="Calibri" w:hAnsi="Calibri"/>
                <w:b w:val="0"/>
                <w:color w:val="000000"/>
                <w:sz w:val="17"/>
              </w:rPr>
              <w:t>All validate and resolve; reported NOT_RUN, never as a pass, when the optional libraries are absent</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7"/>
              </w:rPr>
              <w:t>Contract regressions</w:t>
            </w:r>
          </w:p>
        </w:tc>
        <w:tc>
          <w:tcPr>
            <w:tcW w:type="dxa" w:w="4510"/>
            <w:vAlign w:val="center"/>
            <w:tcMar>
              <w:top w:w="80" w:type="dxa"/>
              <w:start w:w="120" w:type="dxa"/>
              <w:bottom w:w="80" w:type="dxa"/>
              <w:end w:w="120" w:type="dxa"/>
            </w:tcMar>
          </w:tcPr>
          <w:p>
            <w:pPr>
              <w:spacing w:after="0" w:before="0"/>
            </w:pPr>
            <w:r/>
            <w:r>
              <w:rPr>
                <w:rFonts w:ascii="Calibri" w:hAnsi="Calibri"/>
                <w:b w:val="0"/>
                <w:color w:val="000000"/>
                <w:sz w:val="17"/>
              </w:rPr>
              <w:t>89 focused tests derived from the executable suite</w:t>
            </w:r>
          </w:p>
        </w:tc>
        <w:tc>
          <w:tcPr>
            <w:tcW w:type="dxa" w:w="2350"/>
            <w:vAlign w:val="center"/>
            <w:tcMar>
              <w:top w:w="80" w:type="dxa"/>
              <w:start w:w="120" w:type="dxa"/>
              <w:bottom w:w="80" w:type="dxa"/>
              <w:end w:w="120" w:type="dxa"/>
            </w:tcMar>
          </w:tcPr>
          <w:p>
            <w:pPr>
              <w:spacing w:after="0" w:before="0"/>
            </w:pPr>
            <w:r/>
            <w:r>
              <w:rPr>
                <w:rFonts w:ascii="Calibri" w:hAnsi="Calibri"/>
                <w:b w:val="0"/>
                <w:color w:val="000000"/>
                <w:sz w:val="17"/>
              </w:rPr>
              <w:t>Each pins one contract fact: a defect the engine once had, or a refusal code that no other check witnessed</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7"/>
              </w:rPr>
              <w:t>OTCS bridge</w:t>
            </w:r>
          </w:p>
        </w:tc>
        <w:tc>
          <w:tcPr>
            <w:tcW w:type="dxa" w:w="4510"/>
            <w:vAlign w:val="center"/>
            <w:tcMar>
              <w:top w:w="80" w:type="dxa"/>
              <w:start w:w="120" w:type="dxa"/>
              <w:bottom w:w="80" w:type="dxa"/>
              <w:end w:w="120" w:type="dxa"/>
            </w:tcMar>
          </w:tcPr>
          <w:p>
            <w:pPr>
              <w:spacing w:after="0" w:before="0"/>
            </w:pPr>
            <w:r/>
            <w:r>
              <w:rPr>
                <w:rFonts w:ascii="Calibri" w:hAnsi="Calibri"/>
                <w:b w:val="0"/>
                <w:color w:val="000000"/>
                <w:sz w:val="17"/>
              </w:rPr>
              <w:t>68 tests over the permit-gated append seam, including every declared refusal code of its own vocabulary</w:t>
            </w:r>
          </w:p>
        </w:tc>
        <w:tc>
          <w:tcPr>
            <w:tcW w:type="dxa" w:w="2350"/>
            <w:vAlign w:val="center"/>
            <w:tcMar>
              <w:top w:w="80" w:type="dxa"/>
              <w:start w:w="120" w:type="dxa"/>
              <w:bottom w:w="80" w:type="dxa"/>
              <w:end w:w="120" w:type="dxa"/>
            </w:tcMar>
          </w:tcPr>
          <w:p>
            <w:pPr>
              <w:spacing w:after="0" w:before="0"/>
            </w:pPr>
            <w:r/>
            <w:r>
              <w:rPr>
                <w:rFonts w:ascii="Calibri" w:hAnsi="Calibri"/>
                <w:b w:val="0"/>
                <w:color w:val="000000"/>
                <w:sz w:val="17"/>
              </w:rPr>
              <w:t>Each refusal answers with its own code, and the declared vocabulary equals the measured one</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7"/>
              </w:rPr>
              <w:t>Failure-surface ratchet</w:t>
            </w:r>
          </w:p>
        </w:tc>
        <w:tc>
          <w:tcPr>
            <w:tcW w:type="dxa" w:w="4510"/>
            <w:vAlign w:val="center"/>
            <w:tcMar>
              <w:top w:w="80" w:type="dxa"/>
              <w:start w:w="120" w:type="dxa"/>
              <w:bottom w:w="80" w:type="dxa"/>
              <w:end w:w="120" w:type="dxa"/>
            </w:tcMar>
          </w:tcPr>
          <w:p>
            <w:pPr>
              <w:spacing w:after="0" w:before="0"/>
            </w:pPr>
            <w:r/>
            <w:r>
              <w:rPr>
                <w:rFonts w:ascii="Calibri" w:hAnsi="Calibri"/>
                <w:b w:val="0"/>
                <w:color w:val="000000"/>
                <w:sz w:val="17"/>
              </w:rPr>
              <w:t>Layered closed-world vocabularies, both emission-point counts with the dynamic gap enumerated, runtime-observed witnesses, and architect decisions</w:t>
            </w:r>
          </w:p>
        </w:tc>
        <w:tc>
          <w:tcPr>
            <w:tcW w:type="dxa" w:w="2350"/>
            <w:vAlign w:val="center"/>
            <w:tcMar>
              <w:top w:w="80" w:type="dxa"/>
              <w:start w:w="120" w:type="dxa"/>
              <w:bottom w:w="80" w:type="dxa"/>
              <w:end w:w="120" w:type="dxa"/>
            </w:tcMar>
          </w:tcPr>
          <w:p>
            <w:pPr>
              <w:spacing w:after="0" w:before="0"/>
            </w:pPr>
            <w:r/>
            <w:r>
              <w:rPr>
                <w:rFonts w:ascii="Calibri" w:hAnsi="Calibri"/>
                <w:b w:val="0"/>
                <w:color w:val="000000"/>
                <w:sz w:val="17"/>
              </w:rPr>
              <w:t>No unclassified emission path, no silent runtime sink, no unacknowledged baseline delta</w:t>
            </w:r>
          </w:p>
        </w:tc>
      </w:tr>
      <w:tr>
        <w:trPr>
          <w:cantSplit/>
        </w:trPr>
        <w:tc>
          <w:tcPr>
            <w:tcW w:type="dxa" w:w="2500"/>
            <w:vAlign w:val="center"/>
            <w:tcMar>
              <w:top w:w="80" w:type="dxa"/>
              <w:start w:w="120" w:type="dxa"/>
              <w:bottom w:w="80" w:type="dxa"/>
              <w:end w:w="120" w:type="dxa"/>
            </w:tcMar>
          </w:tcPr>
          <w:p>
            <w:pPr>
              <w:spacing w:after="0" w:before="0"/>
            </w:pPr>
            <w:r/>
            <w:r>
              <w:rPr>
                <w:rFonts w:ascii="Calibri" w:hAnsi="Calibri"/>
                <w:b w:val="0"/>
                <w:color w:val="000000"/>
                <w:sz w:val="17"/>
              </w:rPr>
              <w:t>Package integrity</w:t>
            </w:r>
          </w:p>
        </w:tc>
        <w:tc>
          <w:tcPr>
            <w:tcW w:type="dxa" w:w="4510"/>
            <w:vAlign w:val="center"/>
            <w:tcMar>
              <w:top w:w="80" w:type="dxa"/>
              <w:start w:w="120" w:type="dxa"/>
              <w:bottom w:w="80" w:type="dxa"/>
              <w:end w:w="120" w:type="dxa"/>
            </w:tcMar>
          </w:tcPr>
          <w:p>
            <w:pPr>
              <w:spacing w:after="0" w:before="0"/>
            </w:pPr>
            <w:r/>
            <w:r>
              <w:rPr>
                <w:rFonts w:ascii="Calibri" w:hAnsi="Calibri"/>
                <w:b w:val="0"/>
                <w:color w:val="000000"/>
                <w:sz w:val="17"/>
              </w:rPr>
              <w:t>Sources, schemas, API routes, hashes, registry, document</w:t>
            </w:r>
          </w:p>
        </w:tc>
        <w:tc>
          <w:tcPr>
            <w:tcW w:type="dxa" w:w="2350"/>
            <w:vAlign w:val="center"/>
            <w:tcMar>
              <w:top w:w="80" w:type="dxa"/>
              <w:start w:w="120" w:type="dxa"/>
              <w:bottom w:w="80" w:type="dxa"/>
              <w:end w:w="120" w:type="dxa"/>
            </w:tcMar>
          </w:tcPr>
          <w:p>
            <w:pPr>
              <w:spacing w:after="0" w:before="0"/>
            </w:pPr>
            <w:r/>
            <w:r>
              <w:rPr>
                <w:rFonts w:ascii="Calibri" w:hAnsi="Calibri"/>
                <w:b w:val="0"/>
                <w:color w:val="000000"/>
                <w:sz w:val="17"/>
              </w:rPr>
              <w:t>All package checks pass</w:t>
            </w:r>
          </w:p>
        </w:tc>
      </w:tr>
    </w:tbl>
    <w:p>
      <w:pPr>
        <w:spacing w:after="0"/>
      </w:pPr>
    </w:p>
    <w:p>
      <w:r>
        <w:t>These checks exercise the named behaviours of the supplied reference package. They do not substitute for independent production review, domain approval, or infrastructure assurance.</w:t>
      </w:r>
    </w:p>
    <w:p>
      <w:pPr>
        <w:pStyle w:val="Heading2"/>
      </w:pPr>
      <w:r>
        <w:t>13.2 Minimum go-live evidence</w:t>
      </w:r>
    </w:p>
    <w:p>
      <w:pPr>
        <w:pStyle w:val="ListBullet"/>
      </w:pPr>
      <w:r>
        <w:t>approved profile bytes, profile hash, and complete mapping witness;</w:t>
      </w:r>
    </w:p>
    <w:p>
      <w:pPr>
        <w:pStyle w:val="ListBullet"/>
      </w:pPr>
      <w:r>
        <w:t>approved declaration bytes, declaration hash, and exact enterprise identifiers;</w:t>
      </w:r>
    </w:p>
    <w:p>
      <w:pPr>
        <w:pStyle w:val="ListBullet"/>
      </w:pPr>
      <w:r>
        <w:t>authoritative evidence resolvers and independently derived control results bound to request and state;</w:t>
      </w:r>
    </w:p>
    <w:p>
      <w:pPr>
        <w:pStyle w:val="ListBullet"/>
      </w:pPr>
      <w:r>
        <w:t>workload identity, mTLS trust chain, and role access matrix;</w:t>
      </w:r>
    </w:p>
    <w:p>
      <w:pPr>
        <w:pStyle w:val="ListBullet"/>
      </w:pPr>
      <w:r>
        <w:t>KMS/HSM custody, rotation, and revocation procedure;</w:t>
      </w:r>
    </w:p>
    <w:p>
      <w:pPr>
        <w:pStyle w:val="ListBullet"/>
      </w:pPr>
      <w:r>
        <w:t>versioned signature envelope with algorithm, key identifier, and signature bytes;</w:t>
      </w:r>
    </w:p>
    <w:p>
      <w:pPr>
        <w:pStyle w:val="ListBullet"/>
      </w:pPr>
      <w:r>
        <w:t>trusted time source and drift monitoring;</w:t>
      </w:r>
    </w:p>
    <w:p>
      <w:pPr>
        <w:pStyle w:val="ListBullet"/>
      </w:pPr>
      <w:r>
        <w:t>multi-node idempotency, cross-system reservation, and downstream atomicity design;</w:t>
      </w:r>
    </w:p>
    <w:p>
      <w:pPr>
        <w:pStyle w:val="ListBullet"/>
      </w:pPr>
      <w:r>
        <w:t>append-only or WORM retention configuration and restore test;</w:t>
      </w:r>
    </w:p>
    <w:p>
      <w:pPr>
        <w:pStyle w:val="ListBullet"/>
      </w:pPr>
      <w:r>
        <w:t>positive connection test plus negative tests for every fail-closed condition;</w:t>
      </w:r>
    </w:p>
    <w:p>
      <w:pPr>
        <w:pStyle w:val="ListBullet"/>
      </w:pPr>
      <w:r>
        <w:t>change process that creates a new version instead of altering a live gate;</w:t>
      </w:r>
    </w:p>
    <w:p>
      <w:pPr>
        <w:pStyle w:val="ListBullet"/>
      </w:pPr>
      <w:r>
        <w:t>independent review of domain mappings, production code, and deployment controls.</w:t>
      </w:r>
    </w:p>
    <w:tbl>
      <w:tblPr>
        <w:tblW w:type="dxa" w:w="9360"/>
        <w:jc w:val="center"/>
        <w:tblLayout w:type="fixed"/>
        <w:tblLook w:firstColumn="1" w:firstRow="1" w:lastColumn="0" w:lastRow="0" w:noHBand="0" w:noVBand="1" w:val="04A0"/>
        <w:tblInd w:w="180" w:type="dxa"/>
      </w:tblPr>
      <w:tblGrid>
        <w:gridCol w:w="9360"/>
      </w:tblGrid>
      <w:tr>
        <w:tc>
          <w:tcPr>
            <w:tcW w:type="dxa" w:w="9360"/>
            <w:shd w:fill="FCE8E6"/>
            <w:tcMar>
              <w:top w:w="140" w:type="dxa"/>
              <w:start w:w="180" w:type="dxa"/>
              <w:bottom w:w="140" w:type="dxa"/>
              <w:end w:w="180" w:type="dxa"/>
            </w:tcMar>
          </w:tcPr>
          <w:p>
            <w:pPr>
              <w:spacing w:before="60" w:after="60"/>
            </w:pPr>
            <w:r/>
            <w:r>
              <w:rPr>
                <w:rFonts w:ascii="Calibri" w:hAnsi="Calibri"/>
                <w:b/>
                <w:color w:val="9C0006"/>
                <w:sz w:val="20"/>
              </w:rPr>
              <w:t xml:space="preserve">GO-LIVE BOUNDARY  </w:t>
            </w:r>
            <w:r>
              <w:rPr>
                <w:rFonts w:ascii="Calibri" w:hAnsi="Calibri"/>
                <w:sz w:val="20"/>
              </w:rPr>
              <w:t>Synthetic fixtures, optional single-node SQLite durability, or a passing local test set must never be promoted as production evidence.</w:t>
            </w:r>
          </w:p>
        </w:tc>
      </w:tr>
    </w:tbl>
    <w:p>
      <w:pPr>
        <w:spacing w:after="0"/>
      </w:pPr>
    </w:p>
    <w:p>
      <w:pPr>
        <w:pStyle w:val="Heading1"/>
      </w:pPr>
      <w:r>
        <w:t>14. Adding a new domain</w:t>
      </w:r>
    </w:p>
    <w:p>
      <w:pPr>
        <w:pStyle w:val="ListNumber"/>
        <w:numPr>
          <w:ilvl w:val="0"/>
          <w:numId w:val="13"/>
        </w:numPr>
      </w:pPr>
      <w:r>
        <w:t>Name the domain and define a closed action alphabet.</w:t>
      </w:r>
    </w:p>
    <w:p>
      <w:pPr>
        <w:pStyle w:val="ListNumber"/>
        <w:numPr>
          <w:ilvl w:val="0"/>
          <w:numId w:val="13"/>
        </w:numPr>
      </w:pPr>
      <w:r>
        <w:t>Define effect classes independently from action names.</w:t>
      </w:r>
    </w:p>
    <w:p>
      <w:pPr>
        <w:pStyle w:val="ListNumber"/>
        <w:numPr>
          <w:ilvl w:val="0"/>
          <w:numId w:val="13"/>
        </w:numPr>
      </w:pPr>
      <w:r>
        <w:t>Declare every resource, unit, claim rule, and reservation requirement.</w:t>
      </w:r>
    </w:p>
    <w:p>
      <w:pPr>
        <w:pStyle w:val="ListNumber"/>
        <w:numPr>
          <w:ilvl w:val="0"/>
          <w:numId w:val="13"/>
        </w:numPr>
      </w:pPr>
      <w:r>
        <w:t>Map every action to exactly one effect class and its required resources.</w:t>
      </w:r>
    </w:p>
    <w:p>
      <w:pPr>
        <w:pStyle w:val="ListNumber"/>
        <w:numPr>
          <w:ilvl w:val="0"/>
          <w:numId w:val="13"/>
        </w:numPr>
      </w:pPr>
      <w:r>
        <w:t>Define prerequisites, hard blocks, review flags, and a zero-effect fallback.</w:t>
      </w:r>
    </w:p>
    <w:p>
      <w:pPr>
        <w:pStyle w:val="ListNumber"/>
        <w:numPr>
          <w:ilvl w:val="0"/>
          <w:numId w:val="13"/>
        </w:numPr>
      </w:pPr>
      <w:r>
        <w:t>Define evidence requirements that cover every action.</w:t>
      </w:r>
    </w:p>
    <w:p>
      <w:pPr>
        <w:pStyle w:val="ListNumber"/>
        <w:numPr>
          <w:ilvl w:val="0"/>
          <w:numId w:val="13"/>
        </w:numPr>
      </w:pPr>
      <w:r>
        <w:t>Create a mapping witness covering every action and effect class.</w:t>
      </w:r>
    </w:p>
    <w:p>
      <w:pPr>
        <w:pStyle w:val="ListNumber"/>
        <w:numPr>
          <w:ilvl w:val="0"/>
          <w:numId w:val="13"/>
        </w:numPr>
      </w:pPr>
      <w:r>
        <w:t>Define role visibility, forbidden operator fields, failure posture, and hash-only registry policy.</w:t>
      </w:r>
    </w:p>
    <w:p>
      <w:pPr>
        <w:pStyle w:val="ListNumber"/>
        <w:numPr>
          <w:ilvl w:val="0"/>
          <w:numId w:val="13"/>
        </w:numPr>
      </w:pPr>
      <w:r>
        <w:t>Seal the profile and create a narrower instance declaration with explicit action-target bindings.</w:t>
      </w:r>
    </w:p>
    <w:p>
      <w:pPr>
        <w:pStyle w:val="ListNumber"/>
        <w:numPr>
          <w:ilvl w:val="0"/>
          <w:numId w:val="13"/>
        </w:numPr>
      </w:pPr>
      <w:r>
        <w:t>Run positive, contradiction, and deliberate-break checks before integration.</w:t>
      </w:r>
    </w:p>
    <w:p>
      <w:pPr>
        <w:pStyle w:val="ListNumber"/>
        <w:numPr>
          <w:ilvl w:val="0"/>
          <w:numId w:val="13"/>
        </w:numPr>
      </w:pPr>
      <w:r>
        <w:t>If the domain cannot be represented without weakening this contract, stop and create a new reviewed schema version instead of force-fitting it.</w:t>
      </w:r>
    </w:p>
    <w:tbl>
      <w:tblPr>
        <w:tblStyle w:val="TableGrid"/>
        <w:tblW w:type="dxa" w:w="9360"/>
        <w:jc w:val="center"/>
        <w:tblLayout w:type="fixed"/>
        <w:tblLook w:firstColumn="1" w:firstRow="1" w:lastColumn="0" w:lastRow="0" w:noHBand="0" w:noVBand="1" w:val="04A0"/>
        <w:tblInd w:w="120" w:type="dxa"/>
      </w:tblPr>
      <w:tblGrid>
        <w:gridCol w:w="4100"/>
        <w:gridCol w:w="5260"/>
      </w:tblGrid>
      <w:tr>
        <w:trPr>
          <w:tblHeader w:val="true"/>
          <w:cantSplit/>
        </w:trPr>
        <w:tc>
          <w:tcPr>
            <w:tcW w:type="dxa" w:w="4100"/>
            <w:shd w:fill="F2F4F7"/>
            <w:vAlign w:val="center"/>
            <w:tcMar>
              <w:top w:w="80" w:type="dxa"/>
              <w:start w:w="120" w:type="dxa"/>
              <w:bottom w:w="80" w:type="dxa"/>
              <w:end w:w="120" w:type="dxa"/>
            </w:tcMar>
          </w:tcPr>
          <w:p>
            <w:pPr>
              <w:keepNext/>
              <w:spacing w:after="0" w:before="0"/>
            </w:pPr>
            <w:r/>
            <w:r>
              <w:rPr>
                <w:rFonts w:ascii="Calibri" w:hAnsi="Calibri"/>
                <w:b/>
                <w:color w:val="17365D"/>
                <w:sz w:val="17"/>
              </w:rPr>
              <w:t>Invalid shortcut</w:t>
            </w:r>
          </w:p>
        </w:tc>
        <w:tc>
          <w:tcPr>
            <w:tcW w:type="dxa" w:w="5260"/>
            <w:shd w:fill="F2F4F7"/>
            <w:vAlign w:val="center"/>
            <w:tcMar>
              <w:top w:w="80" w:type="dxa"/>
              <w:start w:w="120" w:type="dxa"/>
              <w:bottom w:w="80" w:type="dxa"/>
              <w:end w:w="120" w:type="dxa"/>
            </w:tcMar>
          </w:tcPr>
          <w:p>
            <w:pPr>
              <w:keepNext/>
              <w:spacing w:after="0" w:before="0"/>
            </w:pPr>
            <w:r/>
            <w:r>
              <w:rPr>
                <w:rFonts w:ascii="Calibri" w:hAnsi="Calibri"/>
                <w:b/>
                <w:color w:val="17365D"/>
                <w:sz w:val="17"/>
              </w:rPr>
              <w:t>Required repair</w:t>
            </w:r>
          </w:p>
        </w:tc>
      </w:tr>
      <w:tr>
        <w:trPr>
          <w:cantSplit/>
        </w:trPr>
        <w:tc>
          <w:tcPr>
            <w:tcW w:type="dxa" w:w="4100"/>
            <w:vAlign w:val="center"/>
            <w:tcMar>
              <w:top w:w="80" w:type="dxa"/>
              <w:start w:w="120" w:type="dxa"/>
              <w:bottom w:w="80" w:type="dxa"/>
              <w:end w:w="120" w:type="dxa"/>
            </w:tcMar>
          </w:tcPr>
          <w:p>
            <w:pPr>
              <w:spacing w:after="0" w:before="0"/>
            </w:pPr>
            <w:r/>
            <w:r>
              <w:rPr>
                <w:rFonts w:ascii="Calibri" w:hAnsi="Calibri"/>
                <w:b w:val="0"/>
                <w:color w:val="000000"/>
                <w:sz w:val="17"/>
              </w:rPr>
              <w:t>The new API looks like the banking API</w:t>
            </w:r>
          </w:p>
        </w:tc>
        <w:tc>
          <w:tcPr>
            <w:tcW w:type="dxa" w:w="5260"/>
            <w:vAlign w:val="center"/>
            <w:tcMar>
              <w:top w:w="80" w:type="dxa"/>
              <w:start w:w="120" w:type="dxa"/>
              <w:bottom w:w="80" w:type="dxa"/>
              <w:end w:w="120" w:type="dxa"/>
            </w:tcMar>
          </w:tcPr>
          <w:p>
            <w:pPr>
              <w:spacing w:after="0" w:before="0"/>
            </w:pPr>
            <w:r/>
            <w:r>
              <w:rPr>
                <w:rFonts w:ascii="Calibri" w:hAnsi="Calibri"/>
                <w:b w:val="0"/>
                <w:color w:val="000000"/>
                <w:sz w:val="17"/>
              </w:rPr>
              <w:t>Provide a new domain mapping witness</w:t>
            </w:r>
          </w:p>
        </w:tc>
      </w:tr>
      <w:tr>
        <w:trPr>
          <w:cantSplit/>
        </w:trPr>
        <w:tc>
          <w:tcPr>
            <w:tcW w:type="dxa" w:w="4100"/>
            <w:vAlign w:val="center"/>
            <w:tcMar>
              <w:top w:w="80" w:type="dxa"/>
              <w:start w:w="120" w:type="dxa"/>
              <w:bottom w:w="80" w:type="dxa"/>
              <w:end w:w="120" w:type="dxa"/>
            </w:tcMar>
          </w:tcPr>
          <w:p>
            <w:pPr>
              <w:spacing w:after="0" w:before="0"/>
            </w:pPr>
            <w:r/>
            <w:r>
              <w:rPr>
                <w:rFonts w:ascii="Calibri" w:hAnsi="Calibri"/>
                <w:b w:val="0"/>
                <w:color w:val="000000"/>
                <w:sz w:val="17"/>
              </w:rPr>
              <w:t>The old action name is reused</w:t>
            </w:r>
          </w:p>
        </w:tc>
        <w:tc>
          <w:tcPr>
            <w:tcW w:type="dxa" w:w="5260"/>
            <w:vAlign w:val="center"/>
            <w:tcMar>
              <w:top w:w="80" w:type="dxa"/>
              <w:start w:w="120" w:type="dxa"/>
              <w:bottom w:w="80" w:type="dxa"/>
              <w:end w:w="120" w:type="dxa"/>
            </w:tcMar>
          </w:tcPr>
          <w:p>
            <w:pPr>
              <w:spacing w:after="0" w:before="0"/>
            </w:pPr>
            <w:r/>
            <w:r>
              <w:rPr>
                <w:rFonts w:ascii="Calibri" w:hAnsi="Calibri"/>
                <w:b w:val="0"/>
                <w:color w:val="000000"/>
                <w:sz w:val="17"/>
              </w:rPr>
              <w:t>Declare its effect class and resources in the new domain</w:t>
            </w:r>
          </w:p>
        </w:tc>
      </w:tr>
      <w:tr>
        <w:trPr>
          <w:cantSplit/>
        </w:trPr>
        <w:tc>
          <w:tcPr>
            <w:tcW w:type="dxa" w:w="4100"/>
            <w:vAlign w:val="center"/>
            <w:tcMar>
              <w:top w:w="80" w:type="dxa"/>
              <w:start w:w="120" w:type="dxa"/>
              <w:bottom w:w="80" w:type="dxa"/>
              <w:end w:w="120" w:type="dxa"/>
            </w:tcMar>
          </w:tcPr>
          <w:p>
            <w:pPr>
              <w:spacing w:after="0" w:before="0"/>
            </w:pPr>
            <w:r/>
            <w:r>
              <w:rPr>
                <w:rFonts w:ascii="Calibri" w:hAnsi="Calibri"/>
                <w:b w:val="0"/>
                <w:color w:val="000000"/>
                <w:sz w:val="17"/>
              </w:rPr>
              <w:t>The adapter already has approvals</w:t>
            </w:r>
          </w:p>
        </w:tc>
        <w:tc>
          <w:tcPr>
            <w:tcW w:type="dxa" w:w="5260"/>
            <w:vAlign w:val="center"/>
            <w:tcMar>
              <w:top w:w="80" w:type="dxa"/>
              <w:start w:w="120" w:type="dxa"/>
              <w:bottom w:w="80" w:type="dxa"/>
              <w:end w:w="120" w:type="dxa"/>
            </w:tcMar>
          </w:tcPr>
          <w:p>
            <w:pPr>
              <w:spacing w:after="0" w:before="0"/>
            </w:pPr>
            <w:r/>
            <w:r>
              <w:rPr>
                <w:rFonts w:ascii="Calibri" w:hAnsi="Calibri"/>
                <w:b w:val="0"/>
                <w:color w:val="000000"/>
                <w:sz w:val="17"/>
              </w:rPr>
              <w:t>Bind immutable evidence and exact authority to the new declaration</w:t>
            </w:r>
          </w:p>
        </w:tc>
      </w:tr>
      <w:tr>
        <w:trPr>
          <w:cantSplit/>
        </w:trPr>
        <w:tc>
          <w:tcPr>
            <w:tcW w:type="dxa" w:w="4100"/>
            <w:vAlign w:val="center"/>
            <w:tcMar>
              <w:top w:w="80" w:type="dxa"/>
              <w:start w:w="120" w:type="dxa"/>
              <w:bottom w:w="80" w:type="dxa"/>
              <w:end w:w="120" w:type="dxa"/>
            </w:tcMar>
          </w:tcPr>
          <w:p>
            <w:pPr>
              <w:spacing w:after="0" w:before="0"/>
            </w:pPr>
            <w:r/>
            <w:r>
              <w:rPr>
                <w:rFonts w:ascii="Calibri" w:hAnsi="Calibri"/>
                <w:b w:val="0"/>
                <w:color w:val="000000"/>
                <w:sz w:val="17"/>
              </w:rPr>
              <w:t>A manual reviewer can override refusal</w:t>
            </w:r>
          </w:p>
        </w:tc>
        <w:tc>
          <w:tcPr>
            <w:tcW w:type="dxa" w:w="5260"/>
            <w:vAlign w:val="center"/>
            <w:tcMar>
              <w:top w:w="80" w:type="dxa"/>
              <w:start w:w="120" w:type="dxa"/>
              <w:bottom w:w="80" w:type="dxa"/>
              <w:end w:w="120" w:type="dxa"/>
            </w:tcMar>
          </w:tcPr>
          <w:p>
            <w:pPr>
              <w:spacing w:after="0" w:before="0"/>
            </w:pPr>
            <w:r/>
            <w:r>
              <w:rPr>
                <w:rFonts w:ascii="Calibri" w:hAnsi="Calibri"/>
                <w:b w:val="0"/>
                <w:color w:val="000000"/>
                <w:sz w:val="17"/>
              </w:rPr>
              <w:t>Create a new approved version or proceed outside the automated path</w:t>
            </w:r>
          </w:p>
        </w:tc>
      </w:tr>
      <w:tr>
        <w:trPr>
          <w:cantSplit/>
        </w:trPr>
        <w:tc>
          <w:tcPr>
            <w:tcW w:type="dxa" w:w="4100"/>
            <w:vAlign w:val="center"/>
            <w:tcMar>
              <w:top w:w="80" w:type="dxa"/>
              <w:start w:w="120" w:type="dxa"/>
              <w:bottom w:w="80" w:type="dxa"/>
              <w:end w:w="120" w:type="dxa"/>
            </w:tcMar>
          </w:tcPr>
          <w:p>
            <w:pPr>
              <w:spacing w:after="0" w:before="0"/>
            </w:pPr>
            <w:r/>
            <w:r>
              <w:rPr>
                <w:rFonts w:ascii="Calibri" w:hAnsi="Calibri"/>
                <w:b w:val="0"/>
                <w:color w:val="000000"/>
                <w:sz w:val="17"/>
              </w:rPr>
              <w:t>A central ledger can keep all details</w:t>
            </w:r>
          </w:p>
        </w:tc>
        <w:tc>
          <w:tcPr>
            <w:tcW w:type="dxa" w:w="5260"/>
            <w:vAlign w:val="center"/>
            <w:tcMar>
              <w:top w:w="80" w:type="dxa"/>
              <w:start w:w="120" w:type="dxa"/>
              <w:bottom w:w="80" w:type="dxa"/>
              <w:end w:w="120" w:type="dxa"/>
            </w:tcMar>
          </w:tcPr>
          <w:p>
            <w:pPr>
              <w:spacing w:after="0" w:before="0"/>
            </w:pPr>
            <w:r/>
            <w:r>
              <w:rPr>
                <w:rFonts w:ascii="Calibri" w:hAnsi="Calibri"/>
                <w:b w:val="0"/>
                <w:color w:val="000000"/>
                <w:sz w:val="17"/>
              </w:rPr>
              <w:t>Keep full evidence local and publish only the hash-only projection</w:t>
            </w:r>
          </w:p>
        </w:tc>
      </w:tr>
    </w:tbl>
    <w:p>
      <w:pPr>
        <w:spacing w:after="0"/>
      </w:pPr>
    </w:p>
    <w:p>
      <w:pPr>
        <w:pStyle w:val="Heading2"/>
      </w:pPr>
      <w:r>
        <w:t>14.1 Profile validation command</w:t>
      </w:r>
    </w:p>
    <w:tbl>
      <w:tblPr>
        <w:tblW w:type="dxa" w:w="9360"/>
        <w:jc w:val="center"/>
        <w:tblLayout w:type="fixed"/>
        <w:tblLook w:firstColumn="1" w:firstRow="1" w:lastColumn="0" w:lastRow="0" w:noHBand="0" w:noVBand="1" w:val="04A0"/>
        <w:tblInd w:w="180" w:type="dxa"/>
      </w:tblPr>
      <w:tblGrid>
        <w:gridCol w:w="9360"/>
      </w:tblGrid>
      <w:tr>
        <w:tc>
          <w:tcPr>
            <w:tcW w:type="dxa" w:w="9360"/>
            <w:shd w:fill="F7F9FB"/>
            <w:tcMar>
              <w:top w:w="140" w:type="dxa"/>
              <w:start w:w="180" w:type="dxa"/>
              <w:bottom w:w="140" w:type="dxa"/>
              <w:end w:w="180" w:type="dxa"/>
            </w:tcMar>
          </w:tcPr>
          <w:p>
            <w:pPr>
              <w:spacing w:before="0" w:after="0"/>
            </w:pPr>
            <w:r/>
            <w:r>
              <w:rPr>
                <w:rFonts w:ascii="Consolas" w:hAnsi="Consolas"/>
                <w:color w:val="263238"/>
                <w:sz w:val="17"/>
              </w:rPr>
              <w:t>python -B -c "import sys; sys.path.insert(0, 'sdk/python'); from nc25_universal_ledger import load_json, validate_profile; validate_profile(load_json(sys.argv[1])); print('PROFILE_VALID')" profiles/banking/bank-profile.json</w:t>
            </w:r>
          </w:p>
        </w:tc>
      </w:tr>
    </w:tbl>
    <w:p>
      <w:pPr>
        <w:spacing w:after="0"/>
      </w:pPr>
    </w:p>
    <w:p>
      <w:pPr>
        <w:pStyle w:val="Heading1"/>
      </w:pPr>
      <w:r>
        <w:t>Appendix A. Complete NC2.5 crosswalk</w:t>
      </w:r>
    </w:p>
    <w:tbl>
      <w:tblPr>
        <w:tblStyle w:val="TableGrid"/>
        <w:tblW w:type="dxa" w:w="9360"/>
        <w:jc w:val="center"/>
        <w:tblLayout w:type="fixed"/>
        <w:tblLook w:firstColumn="1" w:firstRow="1" w:lastColumn="0" w:lastRow="0" w:noHBand="0" w:noVBand="1" w:val="04A0"/>
        <w:tblInd w:w="120" w:type="dxa"/>
      </w:tblPr>
      <w:tblGrid>
        <w:gridCol w:w="1750"/>
        <w:gridCol w:w="1250"/>
        <w:gridCol w:w="3000"/>
        <w:gridCol w:w="3360"/>
      </w:tblGrid>
      <w:tr>
        <w:trPr>
          <w:tblHeader w:val="true"/>
          <w:cantSplit/>
        </w:trPr>
        <w:tc>
          <w:tcPr>
            <w:tcW w:type="dxa" w:w="1750"/>
            <w:shd w:fill="F2F4F7"/>
            <w:vAlign w:val="center"/>
            <w:tcMar>
              <w:top w:w="80" w:type="dxa"/>
              <w:start w:w="120" w:type="dxa"/>
              <w:bottom w:w="80" w:type="dxa"/>
              <w:end w:w="120" w:type="dxa"/>
            </w:tcMar>
          </w:tcPr>
          <w:p>
            <w:pPr>
              <w:keepNext/>
              <w:spacing w:after="0" w:before="0"/>
            </w:pPr>
            <w:r/>
            <w:r>
              <w:rPr>
                <w:rFonts w:ascii="Calibri" w:hAnsi="Calibri"/>
                <w:b/>
                <w:color w:val="17365D"/>
                <w:sz w:val="14"/>
              </w:rPr>
              <w:t>ID</w:t>
            </w:r>
          </w:p>
        </w:tc>
        <w:tc>
          <w:tcPr>
            <w:tcW w:type="dxa" w:w="1250"/>
            <w:shd w:fill="F2F4F7"/>
            <w:vAlign w:val="center"/>
            <w:tcMar>
              <w:top w:w="80" w:type="dxa"/>
              <w:start w:w="120" w:type="dxa"/>
              <w:bottom w:w="80" w:type="dxa"/>
              <w:end w:w="120" w:type="dxa"/>
            </w:tcMar>
          </w:tcPr>
          <w:p>
            <w:pPr>
              <w:keepNext/>
              <w:spacing w:after="0" w:before="0"/>
            </w:pPr>
            <w:r/>
            <w:r>
              <w:rPr>
                <w:rFonts w:ascii="Calibri" w:hAnsi="Calibri"/>
                <w:b/>
                <w:color w:val="17365D"/>
                <w:sz w:val="14"/>
              </w:rPr>
              <w:t>Lines</w:t>
            </w:r>
          </w:p>
        </w:tc>
        <w:tc>
          <w:tcPr>
            <w:tcW w:type="dxa" w:w="3000"/>
            <w:shd w:fill="F2F4F7"/>
            <w:vAlign w:val="center"/>
            <w:tcMar>
              <w:top w:w="80" w:type="dxa"/>
              <w:start w:w="120" w:type="dxa"/>
              <w:bottom w:w="80" w:type="dxa"/>
              <w:end w:w="120" w:type="dxa"/>
            </w:tcMar>
          </w:tcPr>
          <w:p>
            <w:pPr>
              <w:keepNext/>
              <w:spacing w:after="0" w:before="0"/>
            </w:pPr>
            <w:r/>
            <w:r>
              <w:rPr>
                <w:rFonts w:ascii="Calibri" w:hAnsi="Calibri"/>
                <w:b/>
                <w:color w:val="17365D"/>
                <w:sz w:val="14"/>
              </w:rPr>
              <w:t>Universal use</w:t>
            </w:r>
          </w:p>
        </w:tc>
        <w:tc>
          <w:tcPr>
            <w:tcW w:type="dxa" w:w="3360"/>
            <w:shd w:fill="F2F4F7"/>
            <w:vAlign w:val="center"/>
            <w:tcMar>
              <w:top w:w="80" w:type="dxa"/>
              <w:start w:w="120" w:type="dxa"/>
              <w:bottom w:w="80" w:type="dxa"/>
              <w:end w:w="120" w:type="dxa"/>
            </w:tcMar>
          </w:tcPr>
          <w:p>
            <w:pPr>
              <w:keepNext/>
              <w:spacing w:after="0" w:before="0"/>
            </w:pPr>
            <w:r/>
            <w:r>
              <w:rPr>
                <w:rFonts w:ascii="Calibri" w:hAnsi="Calibri"/>
                <w:b/>
                <w:color w:val="17365D"/>
                <w:sz w:val="14"/>
              </w:rPr>
              <w:t>Constraint</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CORE-DECLARATION</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313-326</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Complete, sealed, versioned profile and connection declaration.</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Missing required fields make the claim undefined; a material post-activation change creates a new version and hash.</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CORE-NON-ACTIONABILITY</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337-351</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Exclusion-only gate and minimal operator projection.</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Boundary data, margins, sub-verdicts, statistics, and traces cannot be scores, features, objectives, or gradients.</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CORE-EFFECT-SPACE</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389-404, 542-552</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Typed action, effect, and forbidden-effect declarations in every profile.</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Action, admissible subset, effect class, and forbidden effect remain distinct types.</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A28-HISTORY</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1174-1184</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History and state anchors on every intent and permit.</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A restored operational state does not erase structural history.</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A29-A33-GATE</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1186-1284</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Authority before evaluation, zero executability for refusal, declared safe fallback.</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An inadmissible candidate is not scored, ranked, optimized, or executed.</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A40-A43-MINIMALITY</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1378-1404</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No blocked-branch learning, minimal operator result, prospective revision.</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Architect detail may be retained post-event but cannot become an operator signal.</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A48-A52-INTERFACE</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1497-1618</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Binary read-only gate and normalized response surface.</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Admissibility is an exclusion relation, not a scalar or probability.</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A52-1-A52-2-ABSTENTION</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1620-1685</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Non-executable ambiguity, hold, and manual-review paths.</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Architect-only ambiguity measures are not operator-readable.</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A53-A59-REVISION</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1687-1837, 5686-6055</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Authorized version change and isolated evidence references.</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No unlimited micro-revision and no post-failure rule rescue.</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A60-A61-BUDGET</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1839-1935</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Committed-action structural capacity channel, separate from domain resource limits, with a declared capacity provenance coding.</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Domain transaction limits are not the structural selector budget. The reference ledger debits committed actions only; standing pressure, refusals, and failed commits are not accounted, so the core's full structural-pressure accounting remains outside this package.</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A64-A66-SEPARATION</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10334-10387</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Read-only profile and gate, validated debit, role-restricted trace.</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Architect trace is post-emission only and unavailable to operator or ordinary observer.</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T67-HALT</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7057-7148</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Commit guard with halt authority and append-only local state.</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A detector without halt authority does not prevent propagation.</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T69-BIFURCATION</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7374-7468</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Permit/refusal witness without direct gate geometry or reason-code exposure.</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The connector receives only a coarse disposition. Repeated probing of that unavoidable decision bit must be throttled and audited by the production adapter.</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T98-FRAMEWORK-CORE</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12252-12458</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Independent determination and non-accumulating realization layers.</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Single-layer write-back or cross-invocation boundary reconstruction exits the declared class.</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T107-T108-TRANSFER</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12995-13065</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Explicit profile mapping witness for each domain.</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Connection or API similarity does not license viability transfer.</w:t>
            </w:r>
          </w:p>
        </w:tc>
      </w:tr>
      <w:tr>
        <w:trPr>
          <w:cantSplit/>
        </w:trPr>
        <w:tc>
          <w:tcPr>
            <w:tcW w:type="dxa" w:w="1750"/>
            <w:vAlign w:val="center"/>
            <w:tcMar>
              <w:top w:w="80" w:type="dxa"/>
              <w:start w:w="120" w:type="dxa"/>
              <w:bottom w:w="80" w:type="dxa"/>
              <w:end w:w="120" w:type="dxa"/>
            </w:tcMar>
          </w:tcPr>
          <w:p>
            <w:pPr>
              <w:spacing w:after="0" w:before="0"/>
            </w:pPr>
            <w:r/>
            <w:r>
              <w:rPr>
                <w:rFonts w:ascii="Calibri" w:hAnsi="Calibri"/>
                <w:b w:val="0"/>
                <w:color w:val="000000"/>
                <w:sz w:val="14"/>
              </w:rPr>
              <w:t>L47-NON-WEAPONIZABILITY</w:t>
            </w:r>
          </w:p>
        </w:tc>
        <w:tc>
          <w:tcPr>
            <w:tcW w:type="dxa" w:w="1250"/>
            <w:vAlign w:val="center"/>
            <w:tcMar>
              <w:top w:w="80" w:type="dxa"/>
              <w:start w:w="120" w:type="dxa"/>
              <w:bottom w:w="80" w:type="dxa"/>
              <w:end w:w="120" w:type="dxa"/>
            </w:tcMar>
          </w:tcPr>
          <w:p>
            <w:pPr>
              <w:spacing w:after="0" w:before="0"/>
            </w:pPr>
            <w:r/>
            <w:r>
              <w:rPr>
                <w:rFonts w:ascii="Calibri" w:hAnsi="Calibri"/>
                <w:b w:val="0"/>
                <w:color w:val="000000"/>
                <w:sz w:val="14"/>
              </w:rPr>
              <w:t>13317-13341</w:t>
            </w:r>
          </w:p>
        </w:tc>
        <w:tc>
          <w:tcPr>
            <w:tcW w:type="dxa" w:w="3000"/>
            <w:vAlign w:val="center"/>
            <w:tcMar>
              <w:top w:w="80" w:type="dxa"/>
              <w:start w:w="120" w:type="dxa"/>
              <w:bottom w:w="80" w:type="dxa"/>
              <w:end w:w="120" w:type="dxa"/>
            </w:tcMar>
          </w:tcPr>
          <w:p>
            <w:pPr>
              <w:spacing w:after="0" w:before="0"/>
            </w:pPr>
            <w:r/>
            <w:r>
              <w:rPr>
                <w:rFonts w:ascii="Calibri" w:hAnsi="Calibri"/>
                <w:b w:val="0"/>
                <w:color w:val="000000"/>
                <w:sz w:val="14"/>
              </w:rPr>
              <w:t>Hash-only registry, coarse operator codes, forbidden-key scans, and adapter-level anti-probing controls.</w:t>
            </w:r>
          </w:p>
        </w:tc>
        <w:tc>
          <w:tcPr>
            <w:tcW w:type="dxa" w:w="3360"/>
            <w:vAlign w:val="center"/>
            <w:tcMar>
              <w:top w:w="80" w:type="dxa"/>
              <w:start w:w="120" w:type="dxa"/>
              <w:bottom w:w="80" w:type="dxa"/>
              <w:end w:w="120" w:type="dxa"/>
            </w:tcMar>
          </w:tcPr>
          <w:p>
            <w:pPr>
              <w:spacing w:after="0" w:before="0"/>
            </w:pPr>
            <w:r/>
            <w:r>
              <w:rPr>
                <w:rFonts w:ascii="Calibri" w:hAnsi="Calibri"/>
                <w:b w:val="0"/>
                <w:color w:val="000000"/>
                <w:sz w:val="14"/>
              </w:rPr>
              <w:t>Boundary geometry and detailed reasons remain architect evidence only; the unavoidable disposition bit is rate-limited and auditable.</w:t>
            </w:r>
          </w:p>
        </w:tc>
      </w:tr>
    </w:tbl>
    <w:p>
      <w:pPr>
        <w:spacing w:after="0"/>
      </w:pPr>
    </w:p>
    <w:p>
      <w:pPr>
        <w:pStyle w:val="Heading1"/>
      </w:pPr>
      <w:r>
        <w:t>Appendix B. Package files</w:t>
      </w:r>
    </w:p>
    <w:tbl>
      <w:tblPr>
        <w:tblStyle w:val="TableGrid"/>
        <w:tblW w:type="dxa" w:w="9360"/>
        <w:jc w:val="center"/>
        <w:tblLayout w:type="fixed"/>
        <w:tblLook w:firstColumn="1" w:firstRow="1" w:lastColumn="0" w:lastRow="0" w:noHBand="0" w:noVBand="1" w:val="04A0"/>
        <w:tblInd w:w="120" w:type="dxa"/>
      </w:tblPr>
      <w:tblGrid>
        <w:gridCol w:w="3900"/>
        <w:gridCol w:w="5460"/>
      </w:tblGrid>
      <w:tr>
        <w:trPr>
          <w:tblHeader w:val="true"/>
          <w:cantSplit/>
        </w:trPr>
        <w:tc>
          <w:tcPr>
            <w:tcW w:type="dxa" w:w="3900"/>
            <w:shd w:fill="F2F4F7"/>
            <w:vAlign w:val="center"/>
            <w:tcMar>
              <w:top w:w="80" w:type="dxa"/>
              <w:start w:w="120" w:type="dxa"/>
              <w:bottom w:w="80" w:type="dxa"/>
              <w:end w:w="120" w:type="dxa"/>
            </w:tcMar>
          </w:tcPr>
          <w:p>
            <w:pPr>
              <w:keepNext/>
              <w:spacing w:after="0" w:before="0"/>
            </w:pPr>
            <w:r/>
            <w:r>
              <w:rPr>
                <w:rFonts w:ascii="Calibri" w:hAnsi="Calibri"/>
                <w:b/>
                <w:color w:val="17365D"/>
                <w:sz w:val="16"/>
              </w:rPr>
              <w:t>Path</w:t>
            </w:r>
          </w:p>
        </w:tc>
        <w:tc>
          <w:tcPr>
            <w:tcW w:type="dxa" w:w="5460"/>
            <w:shd w:fill="F2F4F7"/>
            <w:vAlign w:val="center"/>
            <w:tcMar>
              <w:top w:w="80" w:type="dxa"/>
              <w:start w:w="120" w:type="dxa"/>
              <w:bottom w:w="80" w:type="dxa"/>
              <w:end w:w="120" w:type="dxa"/>
            </w:tcMar>
          </w:tcPr>
          <w:p>
            <w:pPr>
              <w:keepNext/>
              <w:spacing w:after="0" w:before="0"/>
            </w:pPr>
            <w:r/>
            <w:r>
              <w:rPr>
                <w:rFonts w:ascii="Calibri" w:hAnsi="Calibri"/>
                <w:b/>
                <w:color w:val="17365D"/>
                <w:sz w:val="16"/>
              </w:rPr>
              <w:t>Purpose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README.md</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Reader entry point and claim boundary</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SOURCE-MANIFEST.json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Immutable external-input hashes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PACKAGE-MANIFEST.json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SHA-256 and byte-length coverage of shipped package files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requirements-lock.txt</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Pinned schema, YAML, and DOCX tool dependencies, plus the optional cryptography runtime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LICENSE</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Per-file documentation and code licensing</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core/nc25-core-crosswalk.json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Exact core source anchors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core/schemas/profile.schema.json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Domain profile contract</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core/schemas/connection-declaration.schema.json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Instance declaration contract</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core/schemas/runtime-contracts.schema.json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Authority, intent, evidence, result, execution, and receipt contracts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core/schemas/registry-record.schema.json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Hash-only shared projection</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protocol/universal-connection.openapi.yaml</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Role-separated API</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sdk/python/nc25_universal_ledger.py</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Reference state machine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sdk/python/nc25_universal_adapter.py</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Reference WSGI HTTP adapter enforcing the wire contract</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sdk/python/nc25_otcs_bridge.py</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Permit-gated OTCS append bridge with durable recovery outbox</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profiles/PROFILE-AUTHORING-CHECKLIST.md</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Required profile authoring gates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profiles/banking/</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Bank profile and questionnaire crosswalk</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profiles/document-release/reference-connection.json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Second executable reference profile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profiles/otcs/reference-connection.json</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Third executable profile plus typed OTCS operation and receipt fixture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examples/</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Synthetic executable fixtures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tests/test_otcs_bridge.py</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OTCS authority-boundary and crash-seam regression cases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tests/</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Behavior, contradiction, deliberate-break, conformance, and package checks</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tools/</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Deterministic builders for this document, its review projection, the package manifest, the acceptance report, the review bundle and the contract's error-code enum, plus the failure-surface ratchet</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UNIVERSAL-CONNECTION-RUNBOOK.md</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Integration sequence</w:t>
            </w:r>
          </w:p>
        </w:tc>
      </w:tr>
      <w:tr>
        <w:trPr>
          <w:cantSplit/>
        </w:trPr>
        <w:tc>
          <w:tcPr>
            <w:tcW w:type="dxa" w:w="3900"/>
            <w:vAlign w:val="center"/>
            <w:tcMar>
              <w:top w:w="80" w:type="dxa"/>
              <w:start w:w="120" w:type="dxa"/>
              <w:bottom w:w="80" w:type="dxa"/>
              <w:end w:w="120" w:type="dxa"/>
            </w:tcMar>
          </w:tcPr>
          <w:p>
            <w:pPr>
              <w:spacing w:after="0" w:before="0"/>
            </w:pPr>
            <w:r/>
            <w:r>
              <w:rPr>
                <w:rFonts w:ascii="Calibri" w:hAnsi="Calibri"/>
                <w:b w:val="0"/>
                <w:color w:val="000000"/>
                <w:sz w:val="16"/>
              </w:rPr>
              <w:t>ACCEPTANCE-REPORT.md</w:t>
            </w:r>
          </w:p>
        </w:tc>
        <w:tc>
          <w:tcPr>
            <w:tcW w:type="dxa" w:w="5460"/>
            <w:vAlign w:val="center"/>
            <w:tcMar>
              <w:top w:w="80" w:type="dxa"/>
              <w:start w:w="120" w:type="dxa"/>
              <w:bottom w:w="80" w:type="dxa"/>
              <w:end w:w="120" w:type="dxa"/>
            </w:tcMar>
          </w:tcPr>
          <w:p>
            <w:pPr>
              <w:spacing w:after="0" w:before="0"/>
            </w:pPr>
            <w:r/>
            <w:r>
              <w:rPr>
                <w:rFonts w:ascii="Calibri" w:hAnsi="Calibri"/>
                <w:b w:val="0"/>
                <w:color w:val="000000"/>
                <w:sz w:val="16"/>
              </w:rPr>
              <w:t>Verification status and production boundary</w:t>
            </w:r>
          </w:p>
        </w:tc>
      </w:tr>
    </w:tbl>
    <w:p>
      <w:pPr>
        <w:spacing w:after="0"/>
      </w:pPr>
    </w:p>
    <w:p>
      <w:pPr>
        <w:pStyle w:val="Heading1"/>
      </w:pPr>
      <w:r>
        <w:t>Appendix C. Synthetic command sequence</w:t>
      </w:r>
    </w:p>
    <w:tbl>
      <w:tblPr>
        <w:tblW w:type="dxa" w:w="9360"/>
        <w:jc w:val="center"/>
        <w:tblLayout w:type="fixed"/>
        <w:tblLook w:firstColumn="1" w:firstRow="1" w:lastColumn="0" w:lastRow="0" w:noHBand="0" w:noVBand="1" w:val="04A0"/>
        <w:tblInd w:w="180" w:type="dxa"/>
      </w:tblPr>
      <w:tblGrid>
        <w:gridCol w:w="9360"/>
      </w:tblGrid>
      <w:tr>
        <w:tc>
          <w:tcPr>
            <w:tcW w:type="dxa" w:w="9360"/>
            <w:shd w:fill="F7F9FB"/>
            <w:tcMar>
              <w:top w:w="140" w:type="dxa"/>
              <w:start w:w="180" w:type="dxa"/>
              <w:bottom w:w="140" w:type="dxa"/>
              <w:end w:w="180" w:type="dxa"/>
            </w:tcMar>
          </w:tcPr>
          <w:p>
            <w:pPr>
              <w:spacing w:before="0" w:after="0"/>
            </w:pPr>
            <w:r/>
            <w:r>
              <w:rPr>
                <w:rFonts w:ascii="Consolas" w:hAnsi="Consolas"/>
                <w:color w:val="263238"/>
                <w:sz w:val="17"/>
              </w:rPr>
              <w:t>python -B tests/run_acceptance.py</w:t>
            </w:r>
          </w:p>
          <w:p>
            <w:pPr>
              <w:spacing w:before="0" w:after="0"/>
            </w:pPr>
            <w:r>
              <w:rPr>
                <w:rFonts w:ascii="Consolas" w:hAnsi="Consolas"/>
                <w:color w:val="263238"/>
                <w:sz w:val="17"/>
              </w:rPr>
              <w:t>python -B -m pytest -p no:cacheprovider tests  # optional collection</w:t>
            </w:r>
          </w:p>
          <w:p>
            <w:pPr>
              <w:spacing w:before="0" w:after="0"/>
            </w:pPr>
            <w:r>
              <w:rPr>
                <w:rFonts w:ascii="Consolas" w:hAnsi="Consolas"/>
                <w:color w:val="263238"/>
                <w:sz w:val="17"/>
              </w:rPr>
            </w:r>
          </w:p>
          <w:p>
            <w:pPr>
              <w:spacing w:before="0" w:after="0"/>
            </w:pPr>
            <w:r>
              <w:rPr>
                <w:rFonts w:ascii="Consolas" w:hAnsi="Consolas"/>
                <w:color w:val="263238"/>
                <w:sz w:val="17"/>
              </w:rPr>
              <w:t>Expected reference outcome:</w:t>
            </w:r>
          </w:p>
          <w:p>
            <w:pPr>
              <w:spacing w:before="0" w:after="0"/>
            </w:pPr>
            <w:r>
              <w:rPr>
                <w:rFonts w:ascii="Consolas" w:hAnsi="Consolas"/>
                <w:color w:val="263238"/>
                <w:sz w:val="17"/>
              </w:rPr>
              <w:t xml:space="preserve">  functional tests .......... pass</w:t>
            </w:r>
          </w:p>
          <w:p>
            <w:pPr>
              <w:spacing w:before="0" w:after="0"/>
            </w:pPr>
            <w:r>
              <w:rPr>
                <w:rFonts w:ascii="Consolas" w:hAnsi="Consolas"/>
                <w:color w:val="263238"/>
                <w:sz w:val="17"/>
              </w:rPr>
              <w:t xml:space="preserve">  semantic contradictions ... rejected</w:t>
            </w:r>
          </w:p>
          <w:p>
            <w:pPr>
              <w:spacing w:before="0" w:after="0"/>
            </w:pPr>
            <w:r>
              <w:rPr>
                <w:rFonts w:ascii="Consolas" w:hAnsi="Consolas"/>
                <w:color w:val="263238"/>
                <w:sz w:val="17"/>
              </w:rPr>
              <w:t xml:space="preserve">  deliberate breaks ......... each detected by its named control</w:t>
            </w:r>
          </w:p>
          <w:p>
            <w:pPr>
              <w:spacing w:before="0" w:after="0"/>
            </w:pPr>
            <w:r>
              <w:rPr>
                <w:rFonts w:ascii="Consolas" w:hAnsi="Consolas"/>
                <w:color w:val="263238"/>
                <w:sz w:val="17"/>
              </w:rPr>
              <w:t xml:space="preserve">  package bindings .......... pass</w:t>
            </w:r>
          </w:p>
        </w:tc>
      </w:tr>
    </w:tbl>
    <w:p>
      <w:pPr>
        <w:spacing w:after="0"/>
      </w:pPr>
    </w:p>
    <w:p>
      <w:pPr>
        <w:spacing w:before="360"/>
        <w:jc w:val="center"/>
      </w:pPr>
      <w:r>
        <w:rPr>
          <w:rFonts w:ascii="Calibri" w:hAnsi="Calibri"/>
          <w:b/>
          <w:color w:val="4A5568"/>
          <w:sz w:val="18"/>
        </w:rPr>
        <w:t>END OF SPECIFICATION</w:t>
      </w:r>
    </w:p>
    <w:sectPr w:rsidR="00FC693F" w:rsidRPr="0006063C" w:rsidSect="00034616">
      <w:headerReference w:type="default" r:id="rId9"/>
      <w:footerReference w:type="default" r:id="rId10"/>
      <w:footerReference w:type="first" r:id="rId11"/>
      <w:pgSz w:w="12240" w:h="15840"/>
      <w:pgMar w:top="1440" w:right="1440" w:bottom="1440" w:left="1440" w:header="605" w:footer="605"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568"/>
        <w:sz w:val="16"/>
      </w:rPr>
      <w:t xml:space="preserve">REFERENCE PACKAGE  •  NOT PRODUCTION CONFIGURATION  •  </w:t>
    </w:r>
    <w: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A5568"/>
        <w:sz w:val="16"/>
      </w:rPr>
      <w:t>REFERENCE PACKAGE  •  NOT PRODUCTION CONFIGURATION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A5568"/>
        <w:sz w:val="16"/>
      </w:rPr>
      <w:t>NC25OL  •  v01.09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Calibri" w:hAnsi="Calibri"/>
      <w:b w:val="0"/>
      <w:i/>
      <w:iCs/>
      <w:color w:val="4A556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sz w:val="22"/>
    </w:rPr>
  </w:style>
  <w:style w:type="paragraph" w:styleId="ListBullet2">
    <w:name w:val="List Bullet 2"/>
    <w:basedOn w:val="Normal"/>
    <w:uiPriority w:val="99"/>
    <w:unhideWhenUsed/>
    <w:rsid w:val="00326F90"/>
    <w:pPr>
      <w:numPr>
        <w:numId w:val="2"/>
      </w:numPr>
      <w:spacing w:after="60"/>
      <w:contextualSpacing/>
    </w:pPr>
    <w:rPr>
      <w:rFonts w:ascii="Calibri" w:hAnsi="Calibri"/>
      <w:sz w:val="22"/>
    </w:r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Label">
    <w:name w:val="Small Label"/>
    <w:pPr>
      <w:keepNext/>
      <w:spacing w:after="120"/>
    </w:pPr>
    <w:rPr>
      <w:rFonts w:ascii="Calibri" w:hAnsi="Calibri"/>
      <w:b/>
      <w:color w:val="2E74B5"/>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Application>NC2.5 Deterministic Builder</Application>
  <DocSecurity>0</DocSecurity>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SharedDoc>false</SharedDoc>
  <HyperlinkBase/>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NC25OL Specification</dc:title>
  <dc:subject>Domain-neutral connection contract</dc:subject>
  <dc:creator>Maksim Barziankou (MxBv)</dc:creator>
  <cp:keywords>NC2.5, connection ledger, integration, reference profiles</cp:keywords>
  <dc:description>Reference package; not production configuration</dc:description>
  <cp:lastModifiedBy>Maksim Barziankou (MxBv)</cp:lastModifiedBy>
  <cp:revision>1</cp:revision>
  <dcterms:created xsi:type="dcterms:W3CDTF">2026-07-28T00:00:00Z</dcterms:created>
  <dcterms:modified xsi:type="dcterms:W3CDTF">2026-08-01T00:00:00Z</dcterms:modified>
  <cp:category/>
</cp:coreProperties>
</file>