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Label"/>
      </w:pPr>
      <w:r>
        <w:t>INTEGRATION SPECIFICATION</w:t>
      </w:r>
    </w:p>
    <w:p>
      <w:pPr>
        <w:spacing w:after="160"/>
        <w:pBdr>
          <w:bottom w:val="single" w:sz="18" w:space="1" w:color="2E74B5"/>
        </w:pBdr>
      </w:pPr>
    </w:p>
    <w:p>
      <w:pPr>
        <w:pStyle w:val="Title"/>
      </w:pPr>
      <w:r>
        <w:t>NC25OL</w:t>
      </w:r>
    </w:p>
    <w:p>
      <w:pPr>
        <w:pStyle w:val="Subtitle"/>
      </w:pPr>
      <w:r>
        <w:t>Navigational Cybernetics 2.5 Open Ledger</w:t>
      </w:r>
    </w:p>
    <w:p>
      <w:pPr>
        <w:pStyle w:val="Subtitle"/>
      </w:pPr>
      <w:r>
        <w:t>Domain-neutral connection contract with three reference profiles</w:t>
      </w:r>
    </w:p>
    <w:tbl>
      <w:tblPr>
        <w:tblStyle w:val="TableGrid"/>
        <w:tblW w:type="dxa" w:w="9360"/>
        <w:jc w:val="center"/>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center"/>
            <w:tcMar>
              <w:top w:w="80" w:type="dxa"/>
              <w:start w:w="120" w:type="dxa"/>
              <w:bottom w:w="80" w:type="dxa"/>
              <w:end w:w="120" w:type="dxa"/>
            </w:tcMar>
          </w:tcPr>
          <w:p>
            <w:pPr>
              <w:keepNext/>
              <w:spacing w:after="0" w:before="0"/>
            </w:pPr>
            <w:r/>
            <w:r>
              <w:rPr>
                <w:rFonts w:ascii="Calibri" w:hAnsi="Calibri"/>
                <w:b/>
                <w:color w:val="17365D"/>
                <w:sz w:val="18"/>
              </w:rPr>
              <w:t>Document</w:t>
            </w:r>
          </w:p>
        </w:tc>
        <w:tc>
          <w:tcPr>
            <w:tcW w:type="dxa" w:w="6960"/>
            <w:shd w:fill="F2F4F7"/>
            <w:vAlign w:val="center"/>
            <w:tcMar>
              <w:top w:w="80" w:type="dxa"/>
              <w:start w:w="120" w:type="dxa"/>
              <w:bottom w:w="80" w:type="dxa"/>
              <w:end w:w="120" w:type="dxa"/>
            </w:tcMar>
          </w:tcPr>
          <w:p>
            <w:pPr>
              <w:keepNext/>
              <w:spacing w:after="0" w:before="0"/>
            </w:pPr>
            <w:r/>
            <w:r>
              <w:rPr>
                <w:rFonts w:ascii="Calibri" w:hAnsi="Calibri"/>
                <w:b/>
                <w:color w:val="17365D"/>
                <w:sz w:val="18"/>
              </w:rPr>
              <w:t>Value</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Version</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01.09.03</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Date</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22 October 2026</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Author</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Maksim Barziankou (MxBv)</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Affiliation</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The Urgrund Laboratheory</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Licence</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CC BY 4.0 (specification) • MIT (code and schemas)</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Status</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Reference and conformance package</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Core anchor</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NC2.5 v3.0 • DOI 10.17605/OSF.IO/NHTC5</w:t>
            </w:r>
          </w:p>
        </w:tc>
      </w:tr>
      <w:tr>
        <w:trPr>
          <w:cantSplit/>
        </w:trPr>
        <w:tc>
          <w:tcPr>
            <w:tcW w:type="dxa" w:w="2400"/>
            <w:vAlign w:val="center"/>
            <w:tcMar>
              <w:top w:w="80" w:type="dxa"/>
              <w:start w:w="120" w:type="dxa"/>
              <w:bottom w:w="80" w:type="dxa"/>
              <w:end w:w="120" w:type="dxa"/>
            </w:tcMar>
          </w:tcPr>
          <w:p>
            <w:pPr>
              <w:spacing w:after="0" w:before="0"/>
            </w:pPr>
            <w:r/>
            <w:r>
              <w:rPr>
                <w:rFonts w:ascii="Calibri" w:hAnsi="Calibri"/>
                <w:b w:val="0"/>
                <w:color w:val="000000"/>
                <w:sz w:val="18"/>
              </w:rPr>
              <w:t>Core SHA-256</w:t>
            </w:r>
          </w:p>
        </w:tc>
        <w:tc>
          <w:tcPr>
            <w:tcW w:type="dxa" w:w="6960"/>
            <w:vAlign w:val="center"/>
            <w:tcMar>
              <w:top w:w="80" w:type="dxa"/>
              <w:start w:w="120" w:type="dxa"/>
              <w:bottom w:w="80" w:type="dxa"/>
              <w:end w:w="120" w:type="dxa"/>
            </w:tcMar>
          </w:tcPr>
          <w:p>
            <w:pPr>
              <w:spacing w:after="0" w:before="0"/>
            </w:pPr>
            <w:r/>
            <w:r>
              <w:rPr>
                <w:rFonts w:ascii="Calibri" w:hAnsi="Calibri"/>
                <w:b w:val="0"/>
                <w:color w:val="000000"/>
                <w:sz w:val="18"/>
              </w:rPr>
              <w:t>20F1EA17E0B986627CAD9AFA7C02E1DC5088C43A779435E5A38F11E43A06C9C3</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DCE6F1"/>
            <w:tcMar>
              <w:top w:w="140" w:type="dxa"/>
              <w:start w:w="180" w:type="dxa"/>
              <w:bottom w:w="140" w:type="dxa"/>
              <w:end w:w="180" w:type="dxa"/>
            </w:tcMar>
          </w:tcPr>
          <w:p>
            <w:pPr>
              <w:spacing w:before="60" w:after="60"/>
            </w:pPr>
            <w:r/>
            <w:r>
              <w:rPr>
                <w:rFonts w:ascii="Calibri" w:hAnsi="Calibri"/>
                <w:b/>
                <w:color w:val="17365D"/>
                <w:sz w:val="20"/>
              </w:rPr>
              <w:t xml:space="preserve">DECISION  </w:t>
            </w:r>
            <w:r>
              <w:rPr>
                <w:rFonts w:ascii="Calibri" w:hAnsi="Calibri"/>
                <w:sz w:val="20"/>
              </w:rPr>
              <w:t>Use one universal protocol for connection mechanics, but require an explicit domain profile and instance declaration before any system can become executable.</w:t>
            </w:r>
          </w:p>
        </w:tc>
      </w:tr>
    </w:tbl>
    <w:p>
      <w:pPr>
        <w:spacing w:after="0"/>
      </w:pPr>
    </w:p>
    <w:p>
      <w:pPr>
        <w:pStyle w:val="Heading2"/>
      </w:pPr>
      <w:r>
        <w:t>What a receiving institution can determine</w:t>
      </w:r>
    </w:p>
    <w:p>
      <w:pPr>
        <w:pStyle w:val="ListBullet"/>
      </w:pPr>
      <w:r>
        <w:t>which exact objects must be declared and signed before activation;</w:t>
      </w:r>
    </w:p>
    <w:p>
      <w:pPr>
        <w:pStyle w:val="ListBullet"/>
      </w:pPr>
      <w:r>
        <w:t>which role may activate, submit, evaluate, consume, observe, or audit;</w:t>
      </w:r>
    </w:p>
    <w:p>
      <w:pPr>
        <w:pStyle w:val="ListBullet"/>
      </w:pPr>
      <w:r>
        <w:t>which runtime sequence produces a single-use permit;</w:t>
      </w:r>
    </w:p>
    <w:p>
      <w:pPr>
        <w:pStyle w:val="ListBullet"/>
      </w:pPr>
      <w:r>
        <w:t>which failures remain non-executable;</w:t>
      </w:r>
    </w:p>
    <w:p>
      <w:pPr>
        <w:pStyle w:val="ListBullet"/>
      </w:pPr>
      <w:r>
        <w:t>which evidence stays local and which hashes may enter a registry;</w:t>
      </w:r>
    </w:p>
    <w:p>
      <w:pPr>
        <w:pStyle w:val="ListBullet"/>
      </w:pPr>
      <w:r>
        <w:t>which demonstration components must be replaced before production.</w:t>
      </w:r>
    </w:p>
    <w:tbl>
      <w:tblPr>
        <w:tblW w:type="dxa" w:w="9360"/>
        <w:jc w:val="center"/>
        <w:tblLayout w:type="fixed"/>
        <w:tblLook w:firstColumn="1" w:firstRow="1" w:lastColumn="0" w:lastRow="0" w:noHBand="0" w:noVBand="1" w:val="04A0"/>
        <w:tblInd w:w="180" w:type="dxa"/>
      </w:tblPr>
      <w:tblGrid>
        <w:gridCol w:w="9360"/>
      </w:tblGrid>
      <w:tr>
        <w:tc>
          <w:tcPr>
            <w:tcW w:type="dxa" w:w="9360"/>
            <w:shd w:fill="FFF2CC"/>
            <w:tcMar>
              <w:top w:w="140" w:type="dxa"/>
              <w:start w:w="180" w:type="dxa"/>
              <w:bottom w:w="140" w:type="dxa"/>
              <w:end w:w="180" w:type="dxa"/>
            </w:tcMar>
          </w:tcPr>
          <w:p>
            <w:pPr>
              <w:spacing w:before="60" w:after="60"/>
            </w:pPr>
            <w:r/>
            <w:r>
              <w:rPr>
                <w:rFonts w:ascii="Calibri" w:hAnsi="Calibri"/>
                <w:b/>
                <w:color w:val="7F6000"/>
                <w:sz w:val="20"/>
              </w:rPr>
              <w:t xml:space="preserve">CLAIM BOUNDARY  </w:t>
            </w:r>
            <w:r>
              <w:rPr>
                <w:rFonts w:ascii="Calibri" w:hAnsi="Calibri"/>
                <w:sz w:val="20"/>
              </w:rPr>
              <w:t>This package is an engineering reference for domains expressible by its declared profile and runtime contract. It does not automatically classify an arbitrary deployment as NC2.5-conformant and does not replace domain policy, legal approval, or production assurance.</w:t>
            </w:r>
          </w:p>
        </w:tc>
      </w:tr>
    </w:tbl>
    <w:p>
      <w:pPr>
        <w:spacing w:after="0"/>
      </w:pPr>
    </w:p>
    <w:p>
      <w:r>
        <w:br w:type="page"/>
      </w:r>
    </w:p>
    <w:p>
      <w:pPr>
        <w:pStyle w:val="Heading1"/>
      </w:pPr>
      <w:r>
        <w:t>Document map</w:t>
      </w:r>
    </w:p>
    <w:tbl>
      <w:tblPr>
        <w:tblStyle w:val="TableGrid"/>
        <w:tblW w:type="dxa" w:w="9360"/>
        <w:jc w:val="center"/>
        <w:tblLayout w:type="fixed"/>
        <w:tblLook w:firstColumn="1" w:firstRow="1" w:lastColumn="0" w:lastRow="0" w:noHBand="0" w:noVBand="1" w:val="04A0"/>
        <w:tblInd w:w="120" w:type="dxa"/>
      </w:tblPr>
      <w:tblGrid>
        <w:gridCol w:w="700"/>
        <w:gridCol w:w="2860"/>
        <w:gridCol w:w="5800"/>
      </w:tblGrid>
      <w:tr>
        <w:trPr>
          <w:tblHeader w:val="true"/>
          <w:cantSplit/>
        </w:trPr>
        <w:tc>
          <w:tcPr>
            <w:tcW w:type="dxa" w:w="700"/>
            <w:shd w:fill="F2F4F7"/>
            <w:vAlign w:val="center"/>
            <w:tcMar>
              <w:top w:w="80" w:type="dxa"/>
              <w:start w:w="120" w:type="dxa"/>
              <w:bottom w:w="80" w:type="dxa"/>
              <w:end w:w="120" w:type="dxa"/>
            </w:tcMar>
          </w:tcPr>
          <w:p>
            <w:pPr>
              <w:keepNext/>
              <w:spacing w:after="0" w:before="0"/>
            </w:pPr>
            <w:r/>
            <w:r>
              <w:rPr>
                <w:rFonts w:ascii="Calibri" w:hAnsi="Calibri"/>
                <w:b/>
                <w:color w:val="17365D"/>
                <w:sz w:val="17"/>
              </w:rPr>
              <w:t>§</w:t>
            </w:r>
          </w:p>
        </w:tc>
        <w:tc>
          <w:tcPr>
            <w:tcW w:type="dxa" w:w="2860"/>
            <w:shd w:fill="F2F4F7"/>
            <w:vAlign w:val="center"/>
            <w:tcMar>
              <w:top w:w="80" w:type="dxa"/>
              <w:start w:w="120" w:type="dxa"/>
              <w:bottom w:w="80" w:type="dxa"/>
              <w:end w:w="120" w:type="dxa"/>
            </w:tcMar>
          </w:tcPr>
          <w:p>
            <w:pPr>
              <w:keepNext/>
              <w:spacing w:after="0" w:before="0"/>
            </w:pPr>
            <w:r/>
            <w:r>
              <w:rPr>
                <w:rFonts w:ascii="Calibri" w:hAnsi="Calibri"/>
                <w:b/>
                <w:color w:val="17365D"/>
                <w:sz w:val="17"/>
              </w:rPr>
              <w:t>Section</w:t>
            </w:r>
          </w:p>
        </w:tc>
        <w:tc>
          <w:tcPr>
            <w:tcW w:type="dxa" w:w="5800"/>
            <w:shd w:fill="F2F4F7"/>
            <w:vAlign w:val="center"/>
            <w:tcMar>
              <w:top w:w="80" w:type="dxa"/>
              <w:start w:w="120" w:type="dxa"/>
              <w:bottom w:w="80" w:type="dxa"/>
              <w:end w:w="120" w:type="dxa"/>
            </w:tcMar>
          </w:tcPr>
          <w:p>
            <w:pPr>
              <w:keepNext/>
              <w:spacing w:after="0" w:before="0"/>
            </w:pPr>
            <w:r/>
            <w:r>
              <w:rPr>
                <w:rFonts w:ascii="Calibri" w:hAnsi="Calibri"/>
                <w:b/>
                <w:color w:val="17365D"/>
                <w:sz w:val="17"/>
              </w:rPr>
              <w:t>Reader outcome</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Executive decision</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What is universal and what remains domain-specific</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2</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Relationship to NC2.5</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Exact source anchor and claim boundary</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3</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Architecture</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Objects, layers, trust boundaries, and data flow</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4</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Roles and visibility</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Governance, operator, executor, architect, observer</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5</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Contract objects</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Profile, declaration, authority, intent, evidence, permit, receipt</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6</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Runtime state machine</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Preflight, binary gate, reservation, commit</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7</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Integrity and revision</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Hashes, idempotency, revocation, append-only state</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8</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Registry projection</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Local full evidence and shared hash-only record</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9</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Reference profiles</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Banking, document-release, and OTCS registry mappings</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10</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API contract</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Role-separated routes and security requirements</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11</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Failure matrix</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Deterministic non-executable outcomes</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12</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Production substitutions</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Controls required beyond the reference engine</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13</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Acceptance</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Local checks and go-live evidence</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14</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New-domain authoring</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How to add another connector without transfer-by-similarity</w:t>
            </w:r>
          </w:p>
        </w:tc>
      </w:tr>
      <w:tr>
        <w:trPr>
          <w:cantSplit/>
        </w:trPr>
        <w:tc>
          <w:tcPr>
            <w:tcW w:type="dxa" w:w="700"/>
            <w:vAlign w:val="center"/>
            <w:tcMar>
              <w:top w:w="80" w:type="dxa"/>
              <w:start w:w="120" w:type="dxa"/>
              <w:bottom w:w="80" w:type="dxa"/>
              <w:end w:w="120" w:type="dxa"/>
            </w:tcMar>
          </w:tcPr>
          <w:p>
            <w:pPr>
              <w:spacing w:after="0" w:before="0"/>
            </w:pPr>
            <w:r/>
            <w:r>
              <w:rPr>
                <w:rFonts w:ascii="Calibri" w:hAnsi="Calibri"/>
                <w:b w:val="0"/>
                <w:color w:val="000000"/>
                <w:sz w:val="17"/>
              </w:rPr>
              <w:t>A–C</w:t>
            </w:r>
          </w:p>
        </w:tc>
        <w:tc>
          <w:tcPr>
            <w:tcW w:type="dxa" w:w="2860"/>
            <w:vAlign w:val="center"/>
            <w:tcMar>
              <w:top w:w="80" w:type="dxa"/>
              <w:start w:w="120" w:type="dxa"/>
              <w:bottom w:w="80" w:type="dxa"/>
              <w:end w:w="120" w:type="dxa"/>
            </w:tcMar>
          </w:tcPr>
          <w:p>
            <w:pPr>
              <w:spacing w:after="0" w:before="0"/>
            </w:pPr>
            <w:r/>
            <w:r>
              <w:rPr>
                <w:rFonts w:ascii="Calibri" w:hAnsi="Calibri"/>
                <w:b w:val="0"/>
                <w:color w:val="000000"/>
                <w:sz w:val="17"/>
              </w:rPr>
              <w:t>Appendices</w:t>
            </w:r>
          </w:p>
        </w:tc>
        <w:tc>
          <w:tcPr>
            <w:tcW w:type="dxa" w:w="5800"/>
            <w:vAlign w:val="center"/>
            <w:tcMar>
              <w:top w:w="80" w:type="dxa"/>
              <w:start w:w="120" w:type="dxa"/>
              <w:bottom w:w="80" w:type="dxa"/>
              <w:end w:w="120" w:type="dxa"/>
            </w:tcMar>
          </w:tcPr>
          <w:p>
            <w:pPr>
              <w:spacing w:after="0" w:before="0"/>
            </w:pPr>
            <w:r/>
            <w:r>
              <w:rPr>
                <w:rFonts w:ascii="Calibri" w:hAnsi="Calibri"/>
                <w:b w:val="0"/>
                <w:color w:val="000000"/>
                <w:sz w:val="17"/>
              </w:rPr>
              <w:t>Core crosswalk, package files, synthetic walkthrough</w:t>
            </w:r>
          </w:p>
        </w:tc>
      </w:tr>
    </w:tbl>
    <w:p>
      <w:pPr>
        <w:spacing w:after="0"/>
      </w:pPr>
    </w:p>
    <w:p>
      <w:pPr>
        <w:pStyle w:val="Heading1"/>
      </w:pPr>
      <w:r>
        <w:t>1. Executive decision</w:t>
      </w:r>
    </w:p>
    <w:p>
      <w:r>
        <w:t>A universal connection ledger is feasible when universality is confined to the protocol boundary and the domain is expressible by the declared contract. The same lifecycle, hashes, roles, state machine, refusal posture, reservation semantics, and receipt chain can serve such domains. The domain selector cannot be universalized by assumption: every domain must declare how its actions map to effects, resources, controls, evidence, and a mapping witness.</w:t>
      </w:r>
    </w:p>
    <w:tbl>
      <w:tblPr>
        <w:tblStyle w:val="TableGrid"/>
        <w:tblW w:type="dxa" w:w="9360"/>
        <w:jc w:val="center"/>
        <w:tblLayout w:type="fixed"/>
        <w:tblLook w:firstColumn="1" w:firstRow="1" w:lastColumn="0" w:lastRow="0" w:noHBand="0" w:noVBand="1" w:val="04A0"/>
        <w:tblInd w:w="120" w:type="dxa"/>
      </w:tblPr>
      <w:tblGrid>
        <w:gridCol w:w="4380"/>
        <w:gridCol w:w="4980"/>
      </w:tblGrid>
      <w:tr>
        <w:trPr>
          <w:tblHeader w:val="true"/>
          <w:cantSplit/>
        </w:trPr>
        <w:tc>
          <w:tcPr>
            <w:tcW w:type="dxa" w:w="4380"/>
            <w:shd w:fill="F2F4F7"/>
            <w:vAlign w:val="center"/>
            <w:tcMar>
              <w:top w:w="80" w:type="dxa"/>
              <w:start w:w="120" w:type="dxa"/>
              <w:bottom w:w="80" w:type="dxa"/>
              <w:end w:w="120" w:type="dxa"/>
            </w:tcMar>
          </w:tcPr>
          <w:p>
            <w:pPr>
              <w:keepNext/>
              <w:spacing w:after="0" w:before="0"/>
            </w:pPr>
            <w:r/>
            <w:r>
              <w:rPr>
                <w:rFonts w:ascii="Calibri" w:hAnsi="Calibri"/>
                <w:b/>
                <w:color w:val="17365D"/>
                <w:sz w:val="17"/>
              </w:rPr>
              <w:t>Universal protocol layer</w:t>
            </w:r>
          </w:p>
        </w:tc>
        <w:tc>
          <w:tcPr>
            <w:tcW w:type="dxa" w:w="4980"/>
            <w:shd w:fill="F2F4F7"/>
            <w:vAlign w:val="center"/>
            <w:tcMar>
              <w:top w:w="80" w:type="dxa"/>
              <w:start w:w="120" w:type="dxa"/>
              <w:bottom w:w="80" w:type="dxa"/>
              <w:end w:w="120" w:type="dxa"/>
            </w:tcMar>
          </w:tcPr>
          <w:p>
            <w:pPr>
              <w:keepNext/>
              <w:spacing w:after="0" w:before="0"/>
            </w:pPr>
            <w:r/>
            <w:r>
              <w:rPr>
                <w:rFonts w:ascii="Calibri" w:hAnsi="Calibri"/>
                <w:b/>
                <w:color w:val="17365D"/>
                <w:sz w:val="17"/>
              </w:rPr>
              <w:t>Domain-specific obligation</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Canonical JSON and SHA-256 bindings</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Action alphabet and effect classes</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Profile and declaration versioning</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Instance scope and downstream targets</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Authority, revocation, and role scopes</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Prerequisites, hard blocks, and review flags</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Binary gate and non-executable dispositions</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Resource limits and trusted evidence</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Reservation and exactly-once permit consumption</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Mapping witness and approval evidence</w:t>
            </w:r>
          </w:p>
        </w:tc>
      </w:tr>
      <w:tr>
        <w:trPr>
          <w:cantSplit/>
        </w:trPr>
        <w:tc>
          <w:tcPr>
            <w:tcW w:type="dxa" w:w="4380"/>
            <w:vAlign w:val="center"/>
            <w:tcMar>
              <w:top w:w="80" w:type="dxa"/>
              <w:start w:w="120" w:type="dxa"/>
              <w:bottom w:w="80" w:type="dxa"/>
              <w:end w:w="120" w:type="dxa"/>
            </w:tcMar>
          </w:tcPr>
          <w:p>
            <w:pPr>
              <w:spacing w:after="0" w:before="0"/>
            </w:pPr>
            <w:r/>
            <w:r>
              <w:rPr>
                <w:rFonts w:ascii="Calibri" w:hAnsi="Calibri"/>
                <w:b w:val="0"/>
                <w:color w:val="000000"/>
                <w:sz w:val="17"/>
              </w:rPr>
              <w:t>Append-only local ledger and receipt roots</w:t>
            </w:r>
          </w:p>
        </w:tc>
        <w:tc>
          <w:tcPr>
            <w:tcW w:type="dxa" w:w="4980"/>
            <w:vAlign w:val="center"/>
            <w:tcMar>
              <w:top w:w="80" w:type="dxa"/>
              <w:start w:w="120" w:type="dxa"/>
              <w:bottom w:w="80" w:type="dxa"/>
              <w:end w:w="120" w:type="dxa"/>
            </w:tcMar>
          </w:tcPr>
          <w:p>
            <w:pPr>
              <w:spacing w:after="0" w:before="0"/>
            </w:pPr>
            <w:r/>
            <w:r>
              <w:rPr>
                <w:rFonts w:ascii="Calibri" w:hAnsi="Calibri"/>
                <w:b w:val="0"/>
                <w:color w:val="000000"/>
                <w:sz w:val="17"/>
              </w:rPr>
              <w:t>Production identity, atomicity, and retention</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EEF4FA"/>
            <w:tcMar>
              <w:top w:w="140" w:type="dxa"/>
              <w:start w:w="180" w:type="dxa"/>
              <w:bottom w:w="140" w:type="dxa"/>
              <w:end w:w="180" w:type="dxa"/>
            </w:tcMar>
          </w:tcPr>
          <w:p>
            <w:pPr>
              <w:spacing w:before="60" w:after="60"/>
            </w:pPr>
            <w:r/>
            <w:r>
              <w:rPr>
                <w:rFonts w:ascii="Calibri" w:hAnsi="Calibri"/>
                <w:b/>
                <w:color w:val="17365D"/>
                <w:sz w:val="20"/>
              </w:rPr>
              <w:t xml:space="preserve">RULE  </w:t>
            </w:r>
            <w:r>
              <w:rPr>
                <w:rFonts w:ascii="Calibri" w:hAnsi="Calibri"/>
                <w:sz w:val="20"/>
              </w:rPr>
              <w:t>Connection similarity never creates admissibility. A new profile must carry its own mapping witness even when it reuses the same API or adapter.</w:t>
            </w:r>
          </w:p>
        </w:tc>
      </w:tr>
    </w:tbl>
    <w:p>
      <w:pPr>
        <w:spacing w:after="0"/>
      </w:pPr>
    </w:p>
    <w:p>
      <w:pPr>
        <w:pStyle w:val="Heading2"/>
      </w:pPr>
      <w:r>
        <w:t>1.1 What this package is</w:t>
      </w:r>
    </w:p>
    <w:p>
      <w:pPr>
        <w:pStyle w:val="ListBullet"/>
      </w:pPr>
      <w:r>
        <w:t>a domain-neutral connection contract;</w:t>
      </w:r>
    </w:p>
    <w:p>
      <w:pPr>
        <w:pStyle w:val="ListBullet"/>
      </w:pPr>
      <w:r>
        <w:t>a strict schema envelope for profile, declaration, and runtime messages;</w:t>
      </w:r>
    </w:p>
    <w:p>
      <w:pPr>
        <w:pStyle w:val="ListBullet"/>
      </w:pPr>
      <w:r>
        <w:t>a reference state machine implementing fail-closed behavior;</w:t>
      </w:r>
    </w:p>
    <w:p>
      <w:pPr>
        <w:pStyle w:val="ListBullet"/>
      </w:pPr>
      <w:r>
        <w:t>banking, document-release, and OTCS registry profiles sharing one admission and receipt contract;</w:t>
      </w:r>
    </w:p>
    <w:p>
      <w:pPr>
        <w:pStyle w:val="ListBullet"/>
      </w:pPr>
      <w:r>
        <w:t>a local verification set for positive, contradictory, and deliberately broken cases.</w:t>
      </w:r>
    </w:p>
    <w:p>
      <w:pPr>
        <w:pStyle w:val="Heading2"/>
      </w:pPr>
      <w:r>
        <w:t>1.2 What this package is not</w:t>
      </w:r>
    </w:p>
    <w:p>
      <w:pPr>
        <w:pStyle w:val="ListBullet"/>
      </w:pPr>
      <w:r>
        <w:t>a payment rail, core-banking system, policy engine, or legal approval;</w:t>
      </w:r>
    </w:p>
    <w:p>
      <w:pPr>
        <w:pStyle w:val="ListBullet"/>
      </w:pPr>
      <w:r>
        <w:t>an automatic proof that a concrete deployment belongs to an NC2.5 class;</w:t>
      </w:r>
    </w:p>
    <w:p>
      <w:pPr>
        <w:pStyle w:val="ListBullet"/>
      </w:pPr>
      <w:r>
        <w:t>a central store for raw intent, evidence, personal data, or gate internals;</w:t>
      </w:r>
    </w:p>
    <w:p>
      <w:pPr>
        <w:pStyle w:val="ListBullet"/>
      </w:pPr>
      <w:r>
        <w:t>a production identity, cryptographic key, time, or transactional system.</w:t>
      </w:r>
    </w:p>
    <w:p>
      <w:pPr>
        <w:pStyle w:val="Heading1"/>
      </w:pPr>
      <w:r>
        <w:t>2. Relationship to NC2.5</w:t>
      </w:r>
    </w:p>
    <w:p>
      <w:r>
        <w:t>The package is anchored to one read-only NC2.5 v3.0 source file. The source hash is repeated in the profile, declaration, source manifest, and crosswalk. The package translates declared interface and separation constraints into an engineering contract; it does not modify the core or turn conditional structural results into deployment guarantees.</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2F4F7"/>
            <w:vAlign w:val="center"/>
            <w:tcMar>
              <w:top w:w="80" w:type="dxa"/>
              <w:start w:w="120" w:type="dxa"/>
              <w:bottom w:w="80" w:type="dxa"/>
              <w:end w:w="120" w:type="dxa"/>
            </w:tcMar>
          </w:tcPr>
          <w:p>
            <w:pPr>
              <w:keepNext/>
              <w:spacing w:after="0" w:before="0"/>
            </w:pPr>
            <w:r/>
            <w:r>
              <w:rPr>
                <w:rFonts w:ascii="Calibri" w:hAnsi="Calibri"/>
                <w:b/>
                <w:color w:val="17365D"/>
                <w:sz w:val="17"/>
              </w:rPr>
              <w:t>Anchor</w:t>
            </w:r>
          </w:p>
        </w:tc>
        <w:tc>
          <w:tcPr>
            <w:tcW w:type="dxa" w:w="7060"/>
            <w:shd w:fill="F2F4F7"/>
            <w:vAlign w:val="center"/>
            <w:tcMar>
              <w:top w:w="80" w:type="dxa"/>
              <w:start w:w="120" w:type="dxa"/>
              <w:bottom w:w="80" w:type="dxa"/>
              <w:end w:w="120" w:type="dxa"/>
            </w:tcMar>
          </w:tcPr>
          <w:p>
            <w:pPr>
              <w:keepNext/>
              <w:spacing w:after="0" w:before="0"/>
            </w:pPr>
            <w:r/>
            <w:r>
              <w:rPr>
                <w:rFonts w:ascii="Calibri" w:hAnsi="Calibri"/>
                <w:b/>
                <w:color w:val="17365D"/>
                <w:sz w:val="17"/>
              </w:rPr>
              <w:t>Value</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File</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NC25_v3_0_patched_v4.tex</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Version</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3.0</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DOI</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10.17605/OSF.IO/NHTC5</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SHA-256</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20F1EA17E0B986627CAD9AFA7C02E1DC5088C43A779435E5A38F11E43A06C9C3</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Bytes / lines</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1,414,184 bytes / 14,228 lines</w:t>
            </w:r>
          </w:p>
        </w:tc>
      </w:tr>
      <w:tr>
        <w:trPr>
          <w:cantSplit/>
        </w:trPr>
        <w:tc>
          <w:tcPr>
            <w:tcW w:type="dxa" w:w="2300"/>
            <w:vAlign w:val="center"/>
            <w:tcMar>
              <w:top w:w="80" w:type="dxa"/>
              <w:start w:w="120" w:type="dxa"/>
              <w:bottom w:w="80" w:type="dxa"/>
              <w:end w:w="120" w:type="dxa"/>
            </w:tcMar>
          </w:tcPr>
          <w:p>
            <w:pPr>
              <w:spacing w:after="0" w:before="0"/>
            </w:pPr>
            <w:r/>
            <w:r>
              <w:rPr>
                <w:rFonts w:ascii="Calibri" w:hAnsi="Calibri"/>
                <w:b w:val="0"/>
                <w:color w:val="000000"/>
                <w:sz w:val="17"/>
              </w:rPr>
              <w:t>Package posture</w:t>
            </w:r>
          </w:p>
        </w:tc>
        <w:tc>
          <w:tcPr>
            <w:tcW w:type="dxa" w:w="7060"/>
            <w:vAlign w:val="center"/>
            <w:tcMar>
              <w:top w:w="80" w:type="dxa"/>
              <w:start w:w="120" w:type="dxa"/>
              <w:bottom w:w="80" w:type="dxa"/>
              <w:end w:w="120" w:type="dxa"/>
            </w:tcMar>
          </w:tcPr>
          <w:p>
            <w:pPr>
              <w:spacing w:after="0" w:before="0"/>
            </w:pPr>
            <w:r/>
            <w:r>
              <w:rPr>
                <w:rFonts w:ascii="Calibri" w:hAnsi="Calibri"/>
                <w:b w:val="0"/>
                <w:color w:val="000000"/>
                <w:sz w:val="17"/>
              </w:rPr>
              <w:t>Read-only input; no source modification</w:t>
            </w:r>
          </w:p>
        </w:tc>
      </w:tr>
    </w:tbl>
    <w:p>
      <w:pPr>
        <w:spacing w:after="0"/>
      </w:pPr>
    </w:p>
    <w:p>
      <w:pPr>
        <w:pStyle w:val="Heading2"/>
      </w:pPr>
      <w:r>
        <w:t>2.1 Load-bearing translations</w:t>
      </w:r>
    </w:p>
    <w:tbl>
      <w:tblPr>
        <w:tblStyle w:val="TableGrid"/>
        <w:tblW w:type="dxa" w:w="9360"/>
        <w:jc w:val="center"/>
        <w:tblLayout w:type="fixed"/>
        <w:tblLook w:firstColumn="1" w:firstRow="1" w:lastColumn="0" w:lastRow="0" w:noHBand="0" w:noVBand="1" w:val="04A0"/>
        <w:tblInd w:w="120" w:type="dxa"/>
      </w:tblPr>
      <w:tblGrid>
        <w:gridCol w:w="2100"/>
        <w:gridCol w:w="1700"/>
        <w:gridCol w:w="5560"/>
      </w:tblGrid>
      <w:tr>
        <w:trPr>
          <w:tblHeader w:val="true"/>
          <w:cantSplit/>
        </w:trPr>
        <w:tc>
          <w:tcPr>
            <w:tcW w:type="dxa" w:w="2100"/>
            <w:shd w:fill="F2F4F7"/>
            <w:vAlign w:val="center"/>
            <w:tcMar>
              <w:top w:w="80" w:type="dxa"/>
              <w:start w:w="120" w:type="dxa"/>
              <w:bottom w:w="80" w:type="dxa"/>
              <w:end w:w="120" w:type="dxa"/>
            </w:tcMar>
          </w:tcPr>
          <w:p>
            <w:pPr>
              <w:keepNext/>
              <w:spacing w:after="0" w:before="0"/>
            </w:pPr>
            <w:r/>
            <w:r>
              <w:rPr>
                <w:rFonts w:ascii="Calibri" w:hAnsi="Calibri"/>
                <w:b/>
                <w:color w:val="17365D"/>
                <w:sz w:val="16"/>
              </w:rPr>
              <w:t>Core anchor</w:t>
            </w:r>
          </w:p>
        </w:tc>
        <w:tc>
          <w:tcPr>
            <w:tcW w:type="dxa" w:w="1700"/>
            <w:shd w:fill="F2F4F7"/>
            <w:vAlign w:val="center"/>
            <w:tcMar>
              <w:top w:w="80" w:type="dxa"/>
              <w:start w:w="120" w:type="dxa"/>
              <w:bottom w:w="80" w:type="dxa"/>
              <w:end w:w="120" w:type="dxa"/>
            </w:tcMar>
          </w:tcPr>
          <w:p>
            <w:pPr>
              <w:keepNext/>
              <w:spacing w:after="0" w:before="0"/>
            </w:pPr>
            <w:r/>
            <w:r>
              <w:rPr>
                <w:rFonts w:ascii="Calibri" w:hAnsi="Calibri"/>
                <w:b/>
                <w:color w:val="17365D"/>
                <w:sz w:val="16"/>
              </w:rPr>
              <w:t>Lines</w:t>
            </w:r>
          </w:p>
        </w:tc>
        <w:tc>
          <w:tcPr>
            <w:tcW w:type="dxa" w:w="5560"/>
            <w:shd w:fill="F2F4F7"/>
            <w:vAlign w:val="center"/>
            <w:tcMar>
              <w:top w:w="80" w:type="dxa"/>
              <w:start w:w="120" w:type="dxa"/>
              <w:bottom w:w="80" w:type="dxa"/>
              <w:end w:w="120" w:type="dxa"/>
            </w:tcMar>
          </w:tcPr>
          <w:p>
            <w:pPr>
              <w:keepNext/>
              <w:spacing w:after="0" w:before="0"/>
            </w:pPr>
            <w:r/>
            <w:r>
              <w:rPr>
                <w:rFonts w:ascii="Calibri" w:hAnsi="Calibri"/>
                <w:b/>
                <w:color w:val="17365D"/>
                <w:sz w:val="16"/>
              </w:rPr>
              <w:t>Engineering consequence</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CORE-DECLARATION</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313-326</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Complete, sealed, versioned profile and connection declaration.</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CORE-NON-ACTIONABILITY</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337-351</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Exclusion-only gate and minimal operator projection.</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A29-A33-GATE</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1186-1284</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Authority before evaluation, zero executability for refusal, declared safe fallback.</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A64-A66-SEPARATION</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10334-10387</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Read-only profile and gate, validated debit, role-restricted trace.</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T67-HALT</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7057-7148</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Commit guard with halt authority and append-only local state.</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T98-FRAMEWORK-CORE</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12252-12458</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Independent determination and non-accumulating realization layers.</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T107-T108-TRANSFER</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12995-13065</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Explicit profile mapping witness for each domain.</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L47-NON-WEAPONIZABILITY</w:t>
            </w:r>
          </w:p>
        </w:tc>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13317-13341</w:t>
            </w:r>
          </w:p>
        </w:tc>
        <w:tc>
          <w:tcPr>
            <w:tcW w:type="dxa" w:w="5560"/>
            <w:vAlign w:val="center"/>
            <w:tcMar>
              <w:top w:w="80" w:type="dxa"/>
              <w:start w:w="120" w:type="dxa"/>
              <w:bottom w:w="80" w:type="dxa"/>
              <w:end w:w="120" w:type="dxa"/>
            </w:tcMar>
          </w:tcPr>
          <w:p>
            <w:pPr>
              <w:spacing w:after="0" w:before="0"/>
            </w:pPr>
            <w:r/>
            <w:r>
              <w:rPr>
                <w:rFonts w:ascii="Calibri" w:hAnsi="Calibri"/>
                <w:b w:val="0"/>
                <w:color w:val="000000"/>
                <w:sz w:val="16"/>
              </w:rPr>
              <w:t>Hash-only registry, coarse operator codes, forbidden-key scans, and adapter-level anti-probing controls.</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EEF4FA"/>
            <w:tcMar>
              <w:top w:w="140" w:type="dxa"/>
              <w:start w:w="180" w:type="dxa"/>
              <w:bottom w:w="140" w:type="dxa"/>
              <w:end w:w="180" w:type="dxa"/>
            </w:tcMar>
          </w:tcPr>
          <w:p>
            <w:pPr>
              <w:spacing w:before="60" w:after="60"/>
            </w:pPr>
            <w:r/>
            <w:r>
              <w:rPr>
                <w:rFonts w:ascii="Calibri" w:hAnsi="Calibri"/>
                <w:b/>
                <w:color w:val="17365D"/>
                <w:sz w:val="20"/>
              </w:rPr>
              <w:t xml:space="preserve">NON-ACTIONABILITY  </w:t>
            </w:r>
            <w:r>
              <w:rPr>
                <w:rFonts w:ascii="Calibri" w:hAnsi="Calibri"/>
                <w:sz w:val="20"/>
              </w:rPr>
              <w:t>The operator receives only a normalized permit or non-executable result. Gate geometry, margins, thresholds, sub-verdicts, reason vectors, and retained statistics stay outside operation selection.</w:t>
            </w:r>
          </w:p>
        </w:tc>
      </w:tr>
    </w:tbl>
    <w:p>
      <w:pPr>
        <w:spacing w:after="0"/>
      </w:pPr>
    </w:p>
    <w:p>
      <w:pPr>
        <w:pStyle w:val="Heading2"/>
      </w:pPr>
      <w:r>
        <w:t>2.2 Accounting registers and their limits</w:t>
      </w:r>
    </w:p>
    <w:p>
      <w:pPr>
        <w:pStyle w:val="ListBullet"/>
      </w:pPr>
      <w:r>
        <w:t>The hash-chained event ledger is an immutable append-only record of the declared event types: genealogy, not load. Permit-state changes that append no event (reservation expiry, window-limit invalidation) are visible in permit state only.</w:t>
      </w:r>
    </w:p>
    <w:p>
      <w:pPr>
        <w:pStyle w:val="ListBullet"/>
      </w:pPr>
      <w:r>
        <w:t>The structural budget is a monotone committed-action counter read by the gate. It debits committed actions only; standing pressure, refusals, and failed commits are not accounted, so it is narrower than the core's structural-pressure accounting.</w:t>
      </w:r>
    </w:p>
    <w:p>
      <w:pPr>
        <w:pStyle w:val="ListBullet"/>
      </w:pPr>
      <w:r>
        <w:t>Resource limits are sliding windows; committed amounts age out, so they are rate boundaries, not burden.</w:t>
      </w:r>
    </w:p>
    <w:p>
      <w:pPr>
        <w:pStyle w:val="ListBullet"/>
      </w:pPr>
      <w:r>
        <w:t>A new declaration version starts a new accounting instance. No burden crosses versions, and a cross-version continuation claim requires an external ledger.</w:t>
      </w:r>
    </w:p>
    <w:p>
      <w:pPr>
        <w:pStyle w:val="ListBullet"/>
      </w:pPr>
      <w:r>
        <w:t>The declaration enforces a non-negative capacity but does not encode its empirical origin. Any calibration or load-model evidence belongs to an external governance record; this package does not bind it.</w:t>
      </w:r>
    </w:p>
    <w:p>
      <w:pPr>
        <w:pStyle w:val="Heading1"/>
      </w:pPr>
      <w:r>
        <w:t>3. Architecture</w:t>
      </w:r>
    </w:p>
    <w:p>
      <w:pPr>
        <w:pStyle w:val="Heading2"/>
      </w:pPr>
      <w:r>
        <w:t>3.1 Seven contract layers</w:t>
      </w:r>
    </w:p>
    <w:tbl>
      <w:tblPr>
        <w:tblStyle w:val="TableGrid"/>
        <w:tblW w:type="dxa" w:w="9360"/>
        <w:jc w:val="center"/>
        <w:tblLayout w:type="fixed"/>
        <w:tblLook w:firstColumn="1" w:firstRow="1" w:lastColumn="0" w:lastRow="0" w:noHBand="0" w:noVBand="1" w:val="04A0"/>
        <w:tblInd w:w="120" w:type="dxa"/>
      </w:tblPr>
      <w:tblGrid>
        <w:gridCol w:w="650"/>
        <w:gridCol w:w="1750"/>
        <w:gridCol w:w="4550"/>
        <w:gridCol w:w="2410"/>
      </w:tblGrid>
      <w:tr>
        <w:trPr>
          <w:tblHeader w:val="true"/>
          <w:cantSplit/>
        </w:trPr>
        <w:tc>
          <w:tcPr>
            <w:tcW w:type="dxa" w:w="650"/>
            <w:shd w:fill="F2F4F7"/>
            <w:vAlign w:val="center"/>
            <w:tcMar>
              <w:top w:w="80" w:type="dxa"/>
              <w:start w:w="120" w:type="dxa"/>
              <w:bottom w:w="80" w:type="dxa"/>
              <w:end w:w="120" w:type="dxa"/>
            </w:tcMar>
          </w:tcPr>
          <w:p>
            <w:pPr>
              <w:keepNext/>
              <w:spacing w:after="0" w:before="0"/>
            </w:pPr>
            <w:r/>
            <w:r>
              <w:rPr>
                <w:rFonts w:ascii="Calibri" w:hAnsi="Calibri"/>
                <w:b/>
                <w:color w:val="17365D"/>
                <w:sz w:val="16"/>
              </w:rPr>
              <w:t>Layer</w:t>
            </w:r>
          </w:p>
        </w:tc>
        <w:tc>
          <w:tcPr>
            <w:tcW w:type="dxa" w:w="1750"/>
            <w:shd w:fill="F2F4F7"/>
            <w:vAlign w:val="center"/>
            <w:tcMar>
              <w:top w:w="80" w:type="dxa"/>
              <w:start w:w="120" w:type="dxa"/>
              <w:bottom w:w="80" w:type="dxa"/>
              <w:end w:w="120" w:type="dxa"/>
            </w:tcMar>
          </w:tcPr>
          <w:p>
            <w:pPr>
              <w:keepNext/>
              <w:spacing w:after="0" w:before="0"/>
            </w:pPr>
            <w:r/>
            <w:r>
              <w:rPr>
                <w:rFonts w:ascii="Calibri" w:hAnsi="Calibri"/>
                <w:b/>
                <w:color w:val="17365D"/>
                <w:sz w:val="16"/>
              </w:rPr>
              <w:t>Object</w:t>
            </w:r>
          </w:p>
        </w:tc>
        <w:tc>
          <w:tcPr>
            <w:tcW w:type="dxa" w:w="4550"/>
            <w:shd w:fill="F2F4F7"/>
            <w:vAlign w:val="center"/>
            <w:tcMar>
              <w:top w:w="80" w:type="dxa"/>
              <w:start w:w="120" w:type="dxa"/>
              <w:bottom w:w="80" w:type="dxa"/>
              <w:end w:w="120" w:type="dxa"/>
            </w:tcMar>
          </w:tcPr>
          <w:p>
            <w:pPr>
              <w:keepNext/>
              <w:spacing w:after="0" w:before="0"/>
            </w:pPr>
            <w:r/>
            <w:r>
              <w:rPr>
                <w:rFonts w:ascii="Calibri" w:hAnsi="Calibri"/>
                <w:b/>
                <w:color w:val="17365D"/>
                <w:sz w:val="16"/>
              </w:rPr>
              <w:t>Purpose</w:t>
            </w:r>
          </w:p>
        </w:tc>
        <w:tc>
          <w:tcPr>
            <w:tcW w:type="dxa" w:w="2410"/>
            <w:shd w:fill="F2F4F7"/>
            <w:vAlign w:val="center"/>
            <w:tcMar>
              <w:top w:w="80" w:type="dxa"/>
              <w:start w:w="120" w:type="dxa"/>
              <w:bottom w:w="80" w:type="dxa"/>
              <w:end w:w="120" w:type="dxa"/>
            </w:tcMar>
          </w:tcPr>
          <w:p>
            <w:pPr>
              <w:keepNext/>
              <w:spacing w:after="0" w:before="0"/>
            </w:pPr>
            <w:r/>
            <w:r>
              <w:rPr>
                <w:rFonts w:ascii="Calibri" w:hAnsi="Calibri"/>
                <w:b/>
                <w:color w:val="17365D"/>
                <w:sz w:val="16"/>
              </w:rPr>
              <w:t>Write authority</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1</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Domain profile</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Types actions, effects, resources, controls, evidence, and witness</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Governance only; new version</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2</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Connection declaration</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Binds one connector and exact instance scope to one profile hash</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Governance only; new version</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3</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Authority grant</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Limits one workload subject by action, target, and time</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Authority issuer</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4</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Intent + evidence</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Binds one proposed action to hashes, state, derived controls, and resolved evidence</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Operator proposes; production adapter resolves evidence and controls</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5</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Independent evaluator</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Runs preflight and the binary structural/domain-resource-admissibility conjunction</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Read-only over profile and declaration</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6</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Reservation + permit</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Temporarily reserves capacity and authorizes one exact commit</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Evaluator issues; executor consumes once</w:t>
            </w:r>
          </w:p>
        </w:tc>
      </w:tr>
      <w:tr>
        <w:trPr>
          <w:cantSplit/>
        </w:trPr>
        <w:tc>
          <w:tcPr>
            <w:tcW w:type="dxa" w:w="650"/>
            <w:vAlign w:val="center"/>
            <w:tcMar>
              <w:top w:w="80" w:type="dxa"/>
              <w:start w:w="120" w:type="dxa"/>
              <w:bottom w:w="80" w:type="dxa"/>
              <w:end w:w="120" w:type="dxa"/>
            </w:tcMar>
          </w:tcPr>
          <w:p>
            <w:pPr>
              <w:spacing w:after="0" w:before="0"/>
            </w:pPr>
            <w:r/>
            <w:r>
              <w:rPr>
                <w:rFonts w:ascii="Calibri" w:hAnsi="Calibri"/>
                <w:b w:val="0"/>
                <w:color w:val="000000"/>
                <w:sz w:val="16"/>
              </w:rPr>
              <w:t>7</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Local ledger + registry</w:t>
            </w:r>
          </w:p>
        </w:tc>
        <w:tc>
          <w:tcPr>
            <w:tcW w:type="dxa" w:w="4550"/>
            <w:vAlign w:val="center"/>
            <w:tcMar>
              <w:top w:w="80" w:type="dxa"/>
              <w:start w:w="120" w:type="dxa"/>
              <w:bottom w:w="80" w:type="dxa"/>
              <w:end w:w="120" w:type="dxa"/>
            </w:tcMar>
          </w:tcPr>
          <w:p>
            <w:pPr>
              <w:spacing w:after="0" w:before="0"/>
            </w:pPr>
            <w:r/>
            <w:r>
              <w:rPr>
                <w:rFonts w:ascii="Calibri" w:hAnsi="Calibri"/>
                <w:b w:val="0"/>
                <w:color w:val="000000"/>
                <w:sz w:val="16"/>
              </w:rPr>
              <w:t>Keeps full local evidence and a minimal shared hash projection</w:t>
            </w:r>
          </w:p>
        </w:tc>
        <w:tc>
          <w:tcPr>
            <w:tcW w:type="dxa" w:w="2410"/>
            <w:vAlign w:val="center"/>
            <w:tcMar>
              <w:top w:w="80" w:type="dxa"/>
              <w:start w:w="120" w:type="dxa"/>
              <w:bottom w:w="80" w:type="dxa"/>
              <w:end w:w="120" w:type="dxa"/>
            </w:tcMar>
          </w:tcPr>
          <w:p>
            <w:pPr>
              <w:spacing w:after="0" w:before="0"/>
            </w:pPr>
            <w:r/>
            <w:r>
              <w:rPr>
                <w:rFonts w:ascii="Calibri" w:hAnsi="Calibri"/>
                <w:b w:val="0"/>
                <w:color w:val="000000"/>
                <w:sz w:val="16"/>
              </w:rPr>
              <w:t>Append-only local writer</w:t>
            </w:r>
          </w:p>
        </w:tc>
      </w:tr>
    </w:tbl>
    <w:p>
      <w:pPr>
        <w:spacing w:after="0"/>
      </w:pPr>
    </w:p>
    <w:p>
      <w:pPr>
        <w:pStyle w:val="Heading2"/>
      </w:pPr>
      <w:r>
        <w:t>3.2 Runtime data flow</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PROFILE + DECLARATION  ──sealed hashes──►  GOVERNANCE ACTIVATION</w:t>
            </w:r>
          </w:p>
          <w:p>
            <w:pPr>
              <w:spacing w:before="0" w:after="0"/>
            </w:pPr>
            <w:r>
              <w:rPr>
                <w:rFonts w:ascii="Consolas" w:hAnsi="Consolas"/>
                <w:color w:val="263238"/>
                <w:sz w:val="17"/>
              </w:rPr>
              <w:t>AUTHORITY GRANT       ──scoped identity─►  OPERATOR INTENT + EVIDENCE</w:t>
            </w:r>
          </w:p>
          <w:p>
            <w:pPr>
              <w:spacing w:before="0" w:after="0"/>
            </w:pPr>
            <w:r>
              <w:rPr>
                <w:rFonts w:ascii="Consolas" w:hAnsi="Consolas"/>
                <w:color w:val="263238"/>
                <w:sz w:val="17"/>
              </w:rPr>
              <w:t>INTENT                ──read-only───────►  PREFLIGHT</w:t>
            </w:r>
          </w:p>
          <w:p>
            <w:pPr>
              <w:spacing w:before="0" w:after="0"/>
            </w:pPr>
            <w:r>
              <w:rPr>
                <w:rFonts w:ascii="Consolas" w:hAnsi="Consolas"/>
                <w:color w:val="263238"/>
                <w:sz w:val="17"/>
              </w:rPr>
              <w:t>PREFLIGHT PASS        ────────────────►  structural_gate AND effect_gate  # effect_gate checks domain-resource admissibility; it does not execute or simulate the external effect</w:t>
            </w:r>
          </w:p>
          <w:p>
            <w:pPr>
              <w:spacing w:before="0" w:after="0"/>
            </w:pPr>
            <w:r>
              <w:rPr>
                <w:rFonts w:ascii="Consolas" w:hAnsi="Consolas"/>
                <w:color w:val="263238"/>
                <w:sz w:val="17"/>
              </w:rPr>
              <w:t>1 AND 1               ────────────────►  RESERVATION + SINGLE-USE PERMIT</w:t>
            </w:r>
          </w:p>
          <w:p>
            <w:pPr>
              <w:spacing w:before="0" w:after="0"/>
            </w:pPr>
            <w:r>
              <w:rPr>
                <w:rFonts w:ascii="Consolas" w:hAnsi="Consolas"/>
                <w:color w:val="263238"/>
                <w:sz w:val="17"/>
              </w:rPr>
              <w:t>EXECUTOR              ──same binding──►  COMMIT / FAILED / ABORTED RECEIPT</w:t>
            </w:r>
          </w:p>
          <w:p>
            <w:pPr>
              <w:spacing w:before="0" w:after="0"/>
            </w:pPr>
            <w:r>
              <w:rPr>
                <w:rFonts w:ascii="Consolas" w:hAnsi="Consolas"/>
                <w:color w:val="263238"/>
                <w:sz w:val="17"/>
              </w:rPr>
              <w:t>ALL EVENTS            ────────────────►  SIGNED LOCAL CHAIN</w:t>
            </w:r>
          </w:p>
          <w:p>
            <w:pPr>
              <w:spacing w:before="0" w:after="0"/>
            </w:pPr>
            <w:r>
              <w:rPr>
                <w:rFonts w:ascii="Consolas" w:hAnsi="Consolas"/>
                <w:color w:val="263238"/>
                <w:sz w:val="17"/>
              </w:rPr>
              <w:t>HASHES + STATUS ONLY  ────────────────►  OPTIONAL SHARED REGISTRY</w:t>
            </w:r>
          </w:p>
        </w:tc>
      </w:tr>
    </w:tbl>
    <w:p>
      <w:pPr>
        <w:spacing w:after="0"/>
      </w:pPr>
    </w:p>
    <w:p>
      <w:pPr>
        <w:pStyle w:val="Heading2"/>
      </w:pPr>
      <w:r>
        <w:t>3.3 Trust boundaries</w:t>
      </w:r>
    </w:p>
    <w:p>
      <w:pPr>
        <w:pStyle w:val="ListBullet"/>
      </w:pPr>
      <w:r>
        <w:t>Connector-supplied evidence status and control booleans are untrusted claims; the production evaluator resolves and derives them from authoritative systems.</w:t>
      </w:r>
    </w:p>
    <w:p>
      <w:pPr>
        <w:pStyle w:val="ListBullet"/>
      </w:pPr>
      <w:r>
        <w:t>Resolved evidence and derived controls are bound to the exact request and current-state anchor before gate evaluation.</w:t>
      </w:r>
    </w:p>
    <w:p>
      <w:pPr>
        <w:pStyle w:val="ListBullet"/>
      </w:pPr>
      <w:r>
        <w:t>The connector cannot activate, revise, or write the profile or declaration.</w:t>
      </w:r>
    </w:p>
    <w:p>
      <w:pPr>
        <w:pStyle w:val="ListBullet"/>
      </w:pPr>
      <w:r>
        <w:t>The evaluator does not expose its internal gate trace to the operator.</w:t>
      </w:r>
    </w:p>
    <w:p>
      <w:pPr>
        <w:pStyle w:val="ListBullet"/>
      </w:pPr>
      <w:r>
        <w:t>The executor cannot consume a refusal, hold, manual-review result, or expired permit.</w:t>
      </w:r>
    </w:p>
    <w:p>
      <w:pPr>
        <w:pStyle w:val="ListBullet"/>
      </w:pPr>
      <w:r>
        <w:t>The architect store is post-event and cannot feed a score back into action selection.</w:t>
      </w:r>
    </w:p>
    <w:p>
      <w:pPr>
        <w:pStyle w:val="ListBullet"/>
      </w:pPr>
      <w:r>
        <w:t>The observer sees normalized event messages only and has no mutating scope.</w:t>
      </w:r>
    </w:p>
    <w:p>
      <w:pPr>
        <w:pStyle w:val="ListBullet"/>
      </w:pPr>
      <w:r>
        <w:t>A registry projection cannot expand beyond hashes, status, revocation, and receipt roots.</w:t>
      </w:r>
    </w:p>
    <w:p>
      <w:pPr>
        <w:pStyle w:val="Heading1"/>
      </w:pPr>
      <w:r>
        <w:t>4. Roles and visibility</w:t>
      </w:r>
    </w:p>
    <w:tbl>
      <w:tblPr>
        <w:tblStyle w:val="TableGrid"/>
        <w:tblW w:type="dxa" w:w="9360"/>
        <w:jc w:val="center"/>
        <w:tblLayout w:type="fixed"/>
        <w:tblLook w:firstColumn="1" w:firstRow="1" w:lastColumn="0" w:lastRow="0" w:noHBand="0" w:noVBand="1" w:val="04A0"/>
        <w:tblInd w:w="120" w:type="dxa"/>
      </w:tblPr>
      <w:tblGrid>
        <w:gridCol w:w="1250"/>
        <w:gridCol w:w="1750"/>
        <w:gridCol w:w="3150"/>
        <w:gridCol w:w="3210"/>
      </w:tblGrid>
      <w:tr>
        <w:trPr>
          <w:tblHeader w:val="true"/>
          <w:cantSplit/>
        </w:trPr>
        <w:tc>
          <w:tcPr>
            <w:tcW w:type="dxa" w:w="1250"/>
            <w:shd w:fill="F2F4F7"/>
            <w:vAlign w:val="center"/>
            <w:tcMar>
              <w:top w:w="80" w:type="dxa"/>
              <w:start w:w="120" w:type="dxa"/>
              <w:bottom w:w="80" w:type="dxa"/>
              <w:end w:w="120" w:type="dxa"/>
            </w:tcMar>
          </w:tcPr>
          <w:p>
            <w:pPr>
              <w:keepNext/>
              <w:spacing w:after="0" w:before="0"/>
            </w:pPr>
            <w:r/>
            <w:r>
              <w:rPr>
                <w:rFonts w:ascii="Calibri" w:hAnsi="Calibri"/>
                <w:b/>
                <w:color w:val="17365D"/>
                <w:sz w:val="16"/>
              </w:rPr>
              <w:t>Role</w:t>
            </w:r>
          </w:p>
        </w:tc>
        <w:tc>
          <w:tcPr>
            <w:tcW w:type="dxa" w:w="1750"/>
            <w:shd w:fill="F2F4F7"/>
            <w:vAlign w:val="center"/>
            <w:tcMar>
              <w:top w:w="80" w:type="dxa"/>
              <w:start w:w="120" w:type="dxa"/>
              <w:bottom w:w="80" w:type="dxa"/>
              <w:end w:w="120" w:type="dxa"/>
            </w:tcMar>
          </w:tcPr>
          <w:p>
            <w:pPr>
              <w:keepNext/>
              <w:spacing w:after="0" w:before="0"/>
            </w:pPr>
            <w:r/>
            <w:r>
              <w:rPr>
                <w:rFonts w:ascii="Calibri" w:hAnsi="Calibri"/>
                <w:b/>
                <w:color w:val="17365D"/>
                <w:sz w:val="16"/>
              </w:rPr>
              <w:t>OAuth scope</w:t>
            </w:r>
          </w:p>
        </w:tc>
        <w:tc>
          <w:tcPr>
            <w:tcW w:type="dxa" w:w="3150"/>
            <w:shd w:fill="F2F4F7"/>
            <w:vAlign w:val="center"/>
            <w:tcMar>
              <w:top w:w="80" w:type="dxa"/>
              <w:start w:w="120" w:type="dxa"/>
              <w:bottom w:w="80" w:type="dxa"/>
              <w:end w:w="120" w:type="dxa"/>
            </w:tcMar>
          </w:tcPr>
          <w:p>
            <w:pPr>
              <w:keepNext/>
              <w:spacing w:after="0" w:before="0"/>
            </w:pPr>
            <w:r/>
            <w:r>
              <w:rPr>
                <w:rFonts w:ascii="Calibri" w:hAnsi="Calibri"/>
                <w:b/>
                <w:color w:val="17365D"/>
                <w:sz w:val="16"/>
              </w:rPr>
              <w:t>May do</w:t>
            </w:r>
          </w:p>
        </w:tc>
        <w:tc>
          <w:tcPr>
            <w:tcW w:type="dxa" w:w="3210"/>
            <w:shd w:fill="F2F4F7"/>
            <w:vAlign w:val="center"/>
            <w:tcMar>
              <w:top w:w="80" w:type="dxa"/>
              <w:start w:w="120" w:type="dxa"/>
              <w:bottom w:w="80" w:type="dxa"/>
              <w:end w:w="120" w:type="dxa"/>
            </w:tcMar>
          </w:tcPr>
          <w:p>
            <w:pPr>
              <w:keepNext/>
              <w:spacing w:after="0" w:before="0"/>
            </w:pPr>
            <w:r/>
            <w:r>
              <w:rPr>
                <w:rFonts w:ascii="Calibri" w:hAnsi="Calibri"/>
                <w:b/>
                <w:color w:val="17365D"/>
                <w:sz w:val="16"/>
              </w:rPr>
              <w:t>Must not do</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Governance</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nc25.governance</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Activate declarations; issue and revoke grants; rotate and revoke permit signing keys</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Submit operator intent; consume permit; override a live refusal</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Operator</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nc25.operator</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Submit bound intent and evidence; receive minimal result</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Read gate internals; write profile, declaration, or architect trace</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Executor</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nc25.executor</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Consume one valid permit against the same binding and state</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Execute without permit; reuse permit; change action or target</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Architect</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Read post-event decisions, permits, chain head, and registry projection</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Feed trace data into action selection or alter the live gate</w:t>
            </w:r>
          </w:p>
        </w:tc>
      </w:tr>
      <w:tr>
        <w:trPr>
          <w:cantSplit/>
        </w:trPr>
        <w:tc>
          <w:tcPr>
            <w:tcW w:type="dxa" w:w="1250"/>
            <w:vAlign w:val="center"/>
            <w:tcMar>
              <w:top w:w="80" w:type="dxa"/>
              <w:start w:w="120" w:type="dxa"/>
              <w:bottom w:w="80" w:type="dxa"/>
              <w:end w:w="120" w:type="dxa"/>
            </w:tcMar>
          </w:tcPr>
          <w:p>
            <w:pPr>
              <w:spacing w:after="0" w:before="0"/>
            </w:pPr>
            <w:r/>
            <w:r>
              <w:rPr>
                <w:rFonts w:ascii="Calibri" w:hAnsi="Calibri"/>
                <w:b w:val="0"/>
                <w:color w:val="000000"/>
                <w:sz w:val="16"/>
              </w:rPr>
              <w:t>Observer</w:t>
            </w:r>
          </w:p>
        </w:tc>
        <w:tc>
          <w:tcPr>
            <w:tcW w:type="dxa" w:w="1750"/>
            <w:vAlign w:val="center"/>
            <w:tcMar>
              <w:top w:w="80" w:type="dxa"/>
              <w:start w:w="120" w:type="dxa"/>
              <w:bottom w:w="80" w:type="dxa"/>
              <w:end w:w="120" w:type="dxa"/>
            </w:tcMar>
          </w:tcPr>
          <w:p>
            <w:pPr>
              <w:spacing w:after="0" w:before="0"/>
            </w:pPr>
            <w:r/>
            <w:r>
              <w:rPr>
                <w:rFonts w:ascii="Calibri" w:hAnsi="Calibri"/>
                <w:b w:val="0"/>
                <w:color w:val="000000"/>
                <w:sz w:val="16"/>
              </w:rPr>
              <w:t>No authority principal</w:t>
            </w:r>
          </w:p>
        </w:tc>
        <w:tc>
          <w:tcPr>
            <w:tcW w:type="dxa" w:w="3150"/>
            <w:vAlign w:val="center"/>
            <w:tcMar>
              <w:top w:w="80" w:type="dxa"/>
              <w:start w:w="120" w:type="dxa"/>
              <w:bottom w:w="80" w:type="dxa"/>
              <w:end w:w="120" w:type="dxa"/>
            </w:tcMar>
          </w:tcPr>
          <w:p>
            <w:pPr>
              <w:spacing w:after="0" w:before="0"/>
            </w:pPr>
            <w:r/>
            <w:r>
              <w:rPr>
                <w:rFonts w:ascii="Calibri" w:hAnsi="Calibri"/>
                <w:b w:val="0"/>
                <w:color w:val="000000"/>
                <w:sz w:val="16"/>
              </w:rPr>
              <w:t>Read normalized channel, message code, event time, and subject reference</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Activate, evaluate, consume, or access architect evidence</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EEF4FA"/>
            <w:tcMar>
              <w:top w:w="140" w:type="dxa"/>
              <w:start w:w="180" w:type="dxa"/>
              <w:bottom w:w="140" w:type="dxa"/>
              <w:end w:w="180" w:type="dxa"/>
            </w:tcMar>
          </w:tcPr>
          <w:p>
            <w:pPr>
              <w:spacing w:before="60" w:after="60"/>
            </w:pPr>
            <w:r/>
            <w:r>
              <w:rPr>
                <w:rFonts w:ascii="Calibri" w:hAnsi="Calibri"/>
                <w:b/>
                <w:color w:val="17365D"/>
                <w:sz w:val="20"/>
              </w:rPr>
              <w:t xml:space="preserve">SEPARATION  </w:t>
            </w:r>
            <w:r>
              <w:rPr>
                <w:rFonts w:ascii="Calibri" w:hAnsi="Calibri"/>
                <w:sz w:val="20"/>
              </w:rPr>
              <w:t>mTLS authenticates the connection; scoped workload identity authorizes the role. The four authority scopes are non-interchangeable.</w:t>
            </w:r>
          </w:p>
        </w:tc>
      </w:tr>
    </w:tbl>
    <w:p>
      <w:pPr>
        <w:spacing w:after="0"/>
      </w:pPr>
    </w:p>
    <w:p>
      <w:pPr>
        <w:pStyle w:val="Heading1"/>
      </w:pPr>
      <w:r>
        <w:t>5. Contract objects</w:t>
      </w:r>
    </w:p>
    <w:p>
      <w:pPr>
        <w:pStyle w:val="Heading2"/>
      </w:pPr>
      <w:r>
        <w:t>5.1 Domain profile</w:t>
      </w:r>
    </w:p>
    <w:tbl>
      <w:tblPr>
        <w:tblStyle w:val="TableGrid"/>
        <w:tblW w:type="dxa" w:w="9360"/>
        <w:jc w:val="center"/>
        <w:tblLayout w:type="fixed"/>
        <w:tblLook w:firstColumn="1" w:firstRow="1" w:lastColumn="0" w:lastRow="0" w:noHBand="0" w:noVBand="1" w:val="04A0"/>
        <w:tblInd w:w="120" w:type="dxa"/>
      </w:tblPr>
      <w:tblGrid>
        <w:gridCol w:w="1900"/>
        <w:gridCol w:w="4250"/>
        <w:gridCol w:w="3210"/>
      </w:tblGrid>
      <w:tr>
        <w:trPr>
          <w:tblHeader w:val="true"/>
          <w:cantSplit/>
        </w:trPr>
        <w:tc>
          <w:tcPr>
            <w:tcW w:type="dxa" w:w="1900"/>
            <w:shd w:fill="F2F4F7"/>
            <w:vAlign w:val="center"/>
            <w:tcMar>
              <w:top w:w="80" w:type="dxa"/>
              <w:start w:w="120" w:type="dxa"/>
              <w:bottom w:w="80" w:type="dxa"/>
              <w:end w:w="120" w:type="dxa"/>
            </w:tcMar>
          </w:tcPr>
          <w:p>
            <w:pPr>
              <w:keepNext/>
              <w:spacing w:after="0" w:before="0"/>
            </w:pPr>
            <w:r/>
            <w:r>
              <w:rPr>
                <w:rFonts w:ascii="Calibri" w:hAnsi="Calibri"/>
                <w:b/>
                <w:color w:val="17365D"/>
                <w:sz w:val="16"/>
              </w:rPr>
              <w:t>Field group</w:t>
            </w:r>
          </w:p>
        </w:tc>
        <w:tc>
          <w:tcPr>
            <w:tcW w:type="dxa" w:w="4250"/>
            <w:shd w:fill="F2F4F7"/>
            <w:vAlign w:val="center"/>
            <w:tcMar>
              <w:top w:w="80" w:type="dxa"/>
              <w:start w:w="120" w:type="dxa"/>
              <w:bottom w:w="80" w:type="dxa"/>
              <w:end w:w="120" w:type="dxa"/>
            </w:tcMar>
          </w:tcPr>
          <w:p>
            <w:pPr>
              <w:keepNext/>
              <w:spacing w:after="0" w:before="0"/>
            </w:pPr>
            <w:r/>
            <w:r>
              <w:rPr>
                <w:rFonts w:ascii="Calibri" w:hAnsi="Calibri"/>
                <w:b/>
                <w:color w:val="17365D"/>
                <w:sz w:val="16"/>
              </w:rPr>
              <w:t>Required content</w:t>
            </w:r>
          </w:p>
        </w:tc>
        <w:tc>
          <w:tcPr>
            <w:tcW w:type="dxa" w:w="3210"/>
            <w:shd w:fill="F2F4F7"/>
            <w:vAlign w:val="center"/>
            <w:tcMar>
              <w:top w:w="80" w:type="dxa"/>
              <w:start w:w="120" w:type="dxa"/>
              <w:bottom w:w="80" w:type="dxa"/>
              <w:end w:w="120" w:type="dxa"/>
            </w:tcMar>
          </w:tcPr>
          <w:p>
            <w:pPr>
              <w:keepNext/>
              <w:spacing w:after="0" w:before="0"/>
            </w:pPr>
            <w:r/>
            <w:r>
              <w:rPr>
                <w:rFonts w:ascii="Calibri" w:hAnsi="Calibri"/>
                <w:b/>
                <w:color w:val="17365D"/>
                <w:sz w:val="16"/>
              </w:rPr>
              <w:t>Why it is load-bearing</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Core anchor</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File, version, DOI, SHA-256</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Prevents silent rebinding to another source</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Action alphabet</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Action ID, description, effect class, structural cost, resources</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Closes the candidate type</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Effect classes</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Effect ID and external-mutation flag</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Separates action from effect</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Resource catalog</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Unit, claim rule, reservation requirement</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Makes domain capacity explicit</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Controls</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Prerequisites, hard blocks, review flags, safe fallback</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Separates gate logic from workflow routing</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Evidence requirements</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Action coverage and evidence types</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Prevents unsupported mapping</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Mapping witness</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Method, evidence, full action/effect coverage, hash</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Blocks transfer-by-similarity</w:t>
            </w:r>
          </w:p>
        </w:tc>
      </w:tr>
      <w:tr>
        <w:trPr>
          <w:cantSplit/>
        </w:trPr>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Roles and failure posture</w:t>
            </w:r>
          </w:p>
        </w:tc>
        <w:tc>
          <w:tcPr>
            <w:tcW w:type="dxa" w:w="4250"/>
            <w:vAlign w:val="center"/>
            <w:tcMar>
              <w:top w:w="80" w:type="dxa"/>
              <w:start w:w="120" w:type="dxa"/>
              <w:bottom w:w="80" w:type="dxa"/>
              <w:end w:w="120" w:type="dxa"/>
            </w:tcMar>
          </w:tcPr>
          <w:p>
            <w:pPr>
              <w:spacing w:after="0" w:before="0"/>
            </w:pPr>
            <w:r/>
            <w:r>
              <w:rPr>
                <w:rFonts w:ascii="Calibri" w:hAnsi="Calibri"/>
                <w:b w:val="0"/>
                <w:color w:val="000000"/>
                <w:sz w:val="16"/>
              </w:rPr>
              <w:t>Scopes, forbidden operator fields, non-executable outcomes</w:t>
            </w:r>
          </w:p>
        </w:tc>
        <w:tc>
          <w:tcPr>
            <w:tcW w:type="dxa" w:w="3210"/>
            <w:vAlign w:val="center"/>
            <w:tcMar>
              <w:top w:w="80" w:type="dxa"/>
              <w:start w:w="120" w:type="dxa"/>
              <w:bottom w:w="80" w:type="dxa"/>
              <w:end w:w="120" w:type="dxa"/>
            </w:tcMar>
          </w:tcPr>
          <w:p>
            <w:pPr>
              <w:spacing w:after="0" w:before="0"/>
            </w:pPr>
            <w:r/>
            <w:r>
              <w:rPr>
                <w:rFonts w:ascii="Calibri" w:hAnsi="Calibri"/>
                <w:b w:val="0"/>
                <w:color w:val="000000"/>
                <w:sz w:val="16"/>
              </w:rPr>
              <w:t>Preserves interface separation</w:t>
            </w:r>
          </w:p>
        </w:tc>
      </w:tr>
    </w:tbl>
    <w:p>
      <w:pPr>
        <w:spacing w:after="0"/>
      </w:pPr>
    </w:p>
    <w:p>
      <w:pPr>
        <w:pStyle w:val="Heading2"/>
      </w:pPr>
      <w:r>
        <w:t>5.2 Connection declaration</w:t>
      </w:r>
    </w:p>
    <w:p>
      <w:pPr>
        <w:pStyle w:val="ListBullet"/>
      </w:pPr>
      <w:r>
        <w:t>binds one profile identifier, version, and canonical hash;</w:t>
      </w:r>
    </w:p>
    <w:p>
      <w:pPr>
        <w:pStyle w:val="ListBullet"/>
      </w:pPr>
      <w:r>
        <w:t>identifies one connector; runtime workload identity and permitted environments require external identity and transport enforcement;</w:t>
      </w:r>
    </w:p>
    <w:p>
      <w:pPr>
        <w:pStyle w:val="ListBullet"/>
      </w:pPr>
      <w:r>
        <w:t>narrows actions, effects, targets, explicit action-target bindings, and scope values;</w:t>
      </w:r>
    </w:p>
    <w:p>
      <w:pPr>
        <w:pStyle w:val="ListBullet"/>
      </w:pPr>
      <w:r>
        <w:t>declares a non-negative structural capacity independently from domain resource limits; capacity provenance is outside this schema;</w:t>
      </w:r>
    </w:p>
    <w:p>
      <w:pPr>
        <w:pStyle w:val="ListBullet"/>
      </w:pPr>
      <w:r>
        <w:t>declares resource limits per intent and per time window;</w:t>
      </w:r>
    </w:p>
    <w:p>
      <w:pPr>
        <w:pStyle w:val="ListBullet"/>
      </w:pPr>
      <w:r>
        <w:t>names approval and authority issuers, revision authorities, a no-live-override constraint, and off-limits systems; other ownership and service-separation facts require external governance;</w:t>
      </w:r>
    </w:p>
    <w:p>
      <w:pPr>
        <w:pStyle w:val="ListBullet"/>
      </w:pPr>
      <w:r>
        <w:t>binds the mapping witness; declaration-level approval-evidence references are outside this schema.</w:t>
      </w:r>
    </w:p>
    <w:p>
      <w:pPr>
        <w:pStyle w:val="Heading2"/>
      </w:pPr>
      <w:r>
        <w:t>5.3 Runtime objects</w:t>
      </w:r>
    </w:p>
    <w:tbl>
      <w:tblPr>
        <w:tblStyle w:val="TableGrid"/>
        <w:tblW w:type="dxa" w:w="9360"/>
        <w:jc w:val="center"/>
        <w:tblLayout w:type="fixed"/>
        <w:tblLook w:firstColumn="1" w:firstRow="1" w:lastColumn="0" w:lastRow="0" w:noHBand="0" w:noVBand="1" w:val="04A0"/>
        <w:tblInd w:w="120" w:type="dxa"/>
      </w:tblPr>
      <w:tblGrid>
        <w:gridCol w:w="1700"/>
        <w:gridCol w:w="5770"/>
        <w:gridCol w:w="1890"/>
      </w:tblGrid>
      <w:tr>
        <w:trPr>
          <w:tblHeader w:val="true"/>
          <w:cantSplit/>
        </w:trPr>
        <w:tc>
          <w:tcPr>
            <w:tcW w:type="dxa" w:w="1700"/>
            <w:shd w:fill="F2F4F7"/>
            <w:vAlign w:val="center"/>
            <w:tcMar>
              <w:top w:w="80" w:type="dxa"/>
              <w:start w:w="120" w:type="dxa"/>
              <w:bottom w:w="80" w:type="dxa"/>
              <w:end w:w="120" w:type="dxa"/>
            </w:tcMar>
          </w:tcPr>
          <w:p>
            <w:pPr>
              <w:keepNext/>
              <w:spacing w:after="0" w:before="0"/>
            </w:pPr>
            <w:r/>
            <w:r>
              <w:rPr>
                <w:rFonts w:ascii="Calibri" w:hAnsi="Calibri"/>
                <w:b/>
                <w:color w:val="17365D"/>
                <w:sz w:val="16"/>
              </w:rPr>
              <w:t>Object</w:t>
            </w:r>
          </w:p>
        </w:tc>
        <w:tc>
          <w:tcPr>
            <w:tcW w:type="dxa" w:w="5770"/>
            <w:shd w:fill="F2F4F7"/>
            <w:vAlign w:val="center"/>
            <w:tcMar>
              <w:top w:w="80" w:type="dxa"/>
              <w:start w:w="120" w:type="dxa"/>
              <w:bottom w:w="80" w:type="dxa"/>
              <w:end w:w="120" w:type="dxa"/>
            </w:tcMar>
          </w:tcPr>
          <w:p>
            <w:pPr>
              <w:keepNext/>
              <w:spacing w:after="0" w:before="0"/>
            </w:pPr>
            <w:r/>
            <w:r>
              <w:rPr>
                <w:rFonts w:ascii="Calibri" w:hAnsi="Calibri"/>
                <w:b/>
                <w:color w:val="17365D"/>
                <w:sz w:val="16"/>
              </w:rPr>
              <w:t>Binding</w:t>
            </w:r>
          </w:p>
        </w:tc>
        <w:tc>
          <w:tcPr>
            <w:tcW w:type="dxa" w:w="1890"/>
            <w:shd w:fill="F2F4F7"/>
            <w:vAlign w:val="center"/>
            <w:tcMar>
              <w:top w:w="80" w:type="dxa"/>
              <w:start w:w="120" w:type="dxa"/>
              <w:bottom w:w="80" w:type="dxa"/>
              <w:end w:w="120" w:type="dxa"/>
            </w:tcMar>
          </w:tcPr>
          <w:p>
            <w:pPr>
              <w:keepNext/>
              <w:spacing w:after="0" w:before="0"/>
            </w:pPr>
            <w:r/>
            <w:r>
              <w:rPr>
                <w:rFonts w:ascii="Calibri" w:hAnsi="Calibri"/>
                <w:b/>
                <w:color w:val="17365D"/>
                <w:sz w:val="16"/>
              </w:rPr>
              <w:t>Executable?</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Authority grant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Profile + declaration hashes, subject, connector, actions, targets, time</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No</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Intent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Grant, profile + declaration hashes, action, target, scope, state, resource claims</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No</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Evidence bundle</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Intent ID, typed references, content hashes, evaluator-resolved status</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No</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Operator result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Intent and request hashes; normalized disposition</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Only ALLOW carries a permit hash</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Execution permit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Exact request, state, grant, action, effect, target, reservation, expiry</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Yes, once</w:t>
            </w:r>
          </w:p>
        </w:tc>
      </w:tr>
      <w:tr>
        <w:trPr>
          <w:cantSplit/>
        </w:trPr>
        <w:tc>
          <w:tcPr>
            <w:tcW w:type="dxa" w:w="1700"/>
            <w:vAlign w:val="center"/>
            <w:tcMar>
              <w:top w:w="80" w:type="dxa"/>
              <w:start w:w="120" w:type="dxa"/>
              <w:bottom w:w="80" w:type="dxa"/>
              <w:end w:w="120" w:type="dxa"/>
            </w:tcMar>
          </w:tcPr>
          <w:p>
            <w:pPr>
              <w:spacing w:after="0" w:before="0"/>
            </w:pPr>
            <w:r/>
            <w:r>
              <w:rPr>
                <w:rFonts w:ascii="Calibri" w:hAnsi="Calibri"/>
                <w:b w:val="0"/>
                <w:color w:val="000000"/>
                <w:sz w:val="16"/>
              </w:rPr>
              <w:t>Execution receipt</w:t>
            </w:r>
          </w:p>
        </w:tc>
        <w:tc>
          <w:tcPr>
            <w:tcW w:type="dxa" w:w="5770"/>
            <w:vAlign w:val="center"/>
            <w:tcMar>
              <w:top w:w="80" w:type="dxa"/>
              <w:start w:w="120" w:type="dxa"/>
              <w:bottom w:w="80" w:type="dxa"/>
              <w:end w:w="120" w:type="dxa"/>
            </w:tcMar>
          </w:tcPr>
          <w:p>
            <w:pPr>
              <w:spacing w:after="0" w:before="0"/>
            </w:pPr>
            <w:r/>
            <w:r>
              <w:rPr>
                <w:rFonts w:ascii="Calibri" w:hAnsi="Calibri"/>
                <w:b w:val="0"/>
                <w:color w:val="000000"/>
                <w:sz w:val="16"/>
              </w:rPr>
              <w:t>Permit, outcome, debits, local event hash, receipt hash</w:t>
            </w:r>
          </w:p>
        </w:tc>
        <w:tc>
          <w:tcPr>
            <w:tcW w:type="dxa" w:w="1890"/>
            <w:vAlign w:val="center"/>
            <w:tcMar>
              <w:top w:w="80" w:type="dxa"/>
              <w:start w:w="120" w:type="dxa"/>
              <w:bottom w:w="80" w:type="dxa"/>
              <w:end w:w="120" w:type="dxa"/>
            </w:tcMar>
          </w:tcPr>
          <w:p>
            <w:pPr>
              <w:spacing w:after="0" w:before="0"/>
            </w:pPr>
            <w:r/>
            <w:r>
              <w:rPr>
                <w:rFonts w:ascii="Calibri" w:hAnsi="Calibri"/>
                <w:b w:val="0"/>
                <w:color w:val="000000"/>
                <w:sz w:val="16"/>
              </w:rPr>
              <w:t>Post-event evidence</w:t>
            </w:r>
          </w:p>
        </w:tc>
      </w:tr>
    </w:tbl>
    <w:p>
      <w:pPr>
        <w:spacing w:after="0"/>
      </w:pPr>
    </w:p>
    <w:p>
      <w:pPr>
        <w:pStyle w:val="Heading2"/>
      </w:pPr>
      <w:r>
        <w:t>5.4 Canonical hash rule</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bytes = UTF8(JSON(value, sort_keys=true, separators=(',', ':'), ensure_ascii=false))</w:t>
            </w:r>
          </w:p>
          <w:p>
            <w:pPr>
              <w:spacing w:before="0" w:after="0"/>
            </w:pPr>
            <w:r>
              <w:rPr>
                <w:rFonts w:ascii="Consolas" w:hAnsi="Consolas"/>
                <w:color w:val="263238"/>
                <w:sz w:val="17"/>
              </w:rPr>
              <w:t>object_hash = UPPERCASE_HEX(SHA256(bytes))</w:t>
            </w:r>
          </w:p>
          <w:p>
            <w:pPr>
              <w:spacing w:before="0" w:after="0"/>
            </w:pPr>
            <w:r>
              <w:rPr>
                <w:rFonts w:ascii="Consolas" w:hAnsi="Consolas"/>
                <w:color w:val="263238"/>
                <w:sz w:val="17"/>
              </w:rPr>
              <w:t>witness_hash = SHA256(canonical witness object with witness_hash omitted)</w:t>
            </w:r>
          </w:p>
        </w:tc>
      </w:tr>
    </w:tbl>
    <w:p>
      <w:pPr>
        <w:spacing w:after="0"/>
      </w:pPr>
    </w:p>
    <w:p>
      <w:r>
        <w:t>A changed canonical byte sequence is a changed object. A material change must therefore produce a new version, new hash, and new approval record.</w:t>
      </w:r>
    </w:p>
    <w:p>
      <w:pPr>
        <w:pStyle w:val="Heading1"/>
      </w:pPr>
      <w:r>
        <w:t>6. Runtime state machine</w:t>
      </w:r>
    </w:p>
    <w:p>
      <w:pPr>
        <w:pStyle w:val="Heading2"/>
      </w:pPr>
      <w:r>
        <w:t>6.1 Declaration lifecycle</w:t>
      </w:r>
    </w:p>
    <w:tbl>
      <w:tblPr>
        <w:tblStyle w:val="TableGrid"/>
        <w:tblW w:type="dxa" w:w="9360"/>
        <w:jc w:val="center"/>
        <w:tblLayout w:type="fixed"/>
        <w:tblLook w:firstColumn="1" w:firstRow="1" w:lastColumn="0" w:lastRow="0" w:noHBand="0" w:noVBand="1" w:val="04A0"/>
        <w:tblInd w:w="120" w:type="dxa"/>
      </w:tblPr>
      <w:tblGrid>
        <w:gridCol w:w="1200"/>
        <w:gridCol w:w="4710"/>
        <w:gridCol w:w="3450"/>
      </w:tblGrid>
      <w:tr>
        <w:trPr>
          <w:tblHeader w:val="true"/>
          <w:cantSplit/>
        </w:trPr>
        <w:tc>
          <w:tcPr>
            <w:tcW w:type="dxa" w:w="1200"/>
            <w:shd w:fill="F2F4F7"/>
            <w:vAlign w:val="center"/>
            <w:tcMar>
              <w:top w:w="80" w:type="dxa"/>
              <w:start w:w="120" w:type="dxa"/>
              <w:bottom w:w="80" w:type="dxa"/>
              <w:end w:w="120" w:type="dxa"/>
            </w:tcMar>
          </w:tcPr>
          <w:p>
            <w:pPr>
              <w:keepNext/>
              <w:spacing w:after="0" w:before="0"/>
            </w:pPr>
            <w:r/>
            <w:r>
              <w:rPr>
                <w:rFonts w:ascii="Calibri" w:hAnsi="Calibri"/>
                <w:b/>
                <w:color w:val="17365D"/>
                <w:sz w:val="16"/>
              </w:rPr>
              <w:t>State</w:t>
            </w:r>
          </w:p>
        </w:tc>
        <w:tc>
          <w:tcPr>
            <w:tcW w:type="dxa" w:w="4710"/>
            <w:shd w:fill="F2F4F7"/>
            <w:vAlign w:val="center"/>
            <w:tcMar>
              <w:top w:w="80" w:type="dxa"/>
              <w:start w:w="120" w:type="dxa"/>
              <w:bottom w:w="80" w:type="dxa"/>
              <w:end w:w="120" w:type="dxa"/>
            </w:tcMar>
          </w:tcPr>
          <w:p>
            <w:pPr>
              <w:keepNext/>
              <w:spacing w:after="0" w:before="0"/>
            </w:pPr>
            <w:r/>
            <w:r>
              <w:rPr>
                <w:rFonts w:ascii="Calibri" w:hAnsi="Calibri"/>
                <w:b/>
                <w:color w:val="17365D"/>
                <w:sz w:val="16"/>
              </w:rPr>
              <w:t>Entry condition</w:t>
            </w:r>
          </w:p>
        </w:tc>
        <w:tc>
          <w:tcPr>
            <w:tcW w:type="dxa" w:w="3450"/>
            <w:shd w:fill="F2F4F7"/>
            <w:vAlign w:val="center"/>
            <w:tcMar>
              <w:top w:w="80" w:type="dxa"/>
              <w:start w:w="120" w:type="dxa"/>
              <w:bottom w:w="80" w:type="dxa"/>
              <w:end w:w="120" w:type="dxa"/>
            </w:tcMar>
          </w:tcPr>
          <w:p>
            <w:pPr>
              <w:keepNext/>
              <w:spacing w:after="0" w:before="0"/>
            </w:pPr>
            <w:r/>
            <w:r>
              <w:rPr>
                <w:rFonts w:ascii="Calibri" w:hAnsi="Calibri"/>
                <w:b/>
                <w:color w:val="17365D"/>
                <w:sz w:val="16"/>
              </w:rPr>
              <w:t>Permitted transition</w:t>
            </w:r>
          </w:p>
        </w:tc>
      </w:tr>
      <w:tr>
        <w:trPr>
          <w:cantSplit/>
        </w:trPr>
        <w:tc>
          <w:tcPr>
            <w:tcW w:type="dxa" w:w="1200"/>
            <w:vAlign w:val="center"/>
            <w:tcMar>
              <w:top w:w="80" w:type="dxa"/>
              <w:start w:w="120" w:type="dxa"/>
              <w:bottom w:w="80" w:type="dxa"/>
              <w:end w:w="120" w:type="dxa"/>
            </w:tcMar>
          </w:tcPr>
          <w:p>
            <w:pPr>
              <w:spacing w:after="0" w:before="0"/>
            </w:pPr>
            <w:r/>
            <w:r>
              <w:rPr>
                <w:rFonts w:ascii="Calibri" w:hAnsi="Calibri"/>
                <w:b w:val="0"/>
                <w:color w:val="000000"/>
                <w:sz w:val="16"/>
              </w:rPr>
              <w:t>DRAFT</w:t>
            </w:r>
          </w:p>
        </w:tc>
        <w:tc>
          <w:tcPr>
            <w:tcW w:type="dxa" w:w="4710"/>
            <w:vAlign w:val="center"/>
            <w:tcMar>
              <w:top w:w="80" w:type="dxa"/>
              <w:start w:w="120" w:type="dxa"/>
              <w:bottom w:w="80" w:type="dxa"/>
              <w:end w:w="120" w:type="dxa"/>
            </w:tcMar>
          </w:tcPr>
          <w:p>
            <w:pPr>
              <w:spacing w:after="0" w:before="0"/>
            </w:pPr>
            <w:r/>
            <w:r>
              <w:rPr>
                <w:rFonts w:ascii="Calibri" w:hAnsi="Calibri"/>
                <w:b w:val="0"/>
                <w:color w:val="000000"/>
                <w:sz w:val="16"/>
              </w:rPr>
              <w:t>Profile and declaration validate but are not activated</w:t>
            </w:r>
          </w:p>
        </w:tc>
        <w:tc>
          <w:tcPr>
            <w:tcW w:type="dxa" w:w="3450"/>
            <w:vAlign w:val="center"/>
            <w:tcMar>
              <w:top w:w="80" w:type="dxa"/>
              <w:start w:w="120" w:type="dxa"/>
              <w:bottom w:w="80" w:type="dxa"/>
              <w:end w:w="120" w:type="dxa"/>
            </w:tcMar>
          </w:tcPr>
          <w:p>
            <w:pPr>
              <w:spacing w:after="0" w:before="0"/>
            </w:pPr>
            <w:r/>
            <w:r>
              <w:rPr>
                <w:rFonts w:ascii="Calibri" w:hAnsi="Calibri"/>
                <w:b w:val="0"/>
                <w:color w:val="000000"/>
                <w:sz w:val="16"/>
              </w:rPr>
              <w:t>ACTIVE after governance approval of exact hashes</w:t>
            </w:r>
          </w:p>
        </w:tc>
      </w:tr>
      <w:tr>
        <w:trPr>
          <w:cantSplit/>
        </w:trPr>
        <w:tc>
          <w:tcPr>
            <w:tcW w:type="dxa" w:w="1200"/>
            <w:vAlign w:val="center"/>
            <w:tcMar>
              <w:top w:w="80" w:type="dxa"/>
              <w:start w:w="120" w:type="dxa"/>
              <w:bottom w:w="80" w:type="dxa"/>
              <w:end w:w="120" w:type="dxa"/>
            </w:tcMar>
          </w:tcPr>
          <w:p>
            <w:pPr>
              <w:spacing w:after="0" w:before="0"/>
            </w:pPr>
            <w:r/>
            <w:r>
              <w:rPr>
                <w:rFonts w:ascii="Calibri" w:hAnsi="Calibri"/>
                <w:b w:val="0"/>
                <w:color w:val="000000"/>
                <w:sz w:val="16"/>
              </w:rPr>
              <w:t>ACTIVE</w:t>
            </w:r>
          </w:p>
        </w:tc>
        <w:tc>
          <w:tcPr>
            <w:tcW w:type="dxa" w:w="4710"/>
            <w:vAlign w:val="center"/>
            <w:tcMar>
              <w:top w:w="80" w:type="dxa"/>
              <w:start w:w="120" w:type="dxa"/>
              <w:bottom w:w="80" w:type="dxa"/>
              <w:end w:w="120" w:type="dxa"/>
            </w:tcMar>
          </w:tcPr>
          <w:p>
            <w:pPr>
              <w:spacing w:after="0" w:before="0"/>
            </w:pPr>
            <w:r/>
            <w:r>
              <w:rPr>
                <w:rFonts w:ascii="Calibri" w:hAnsi="Calibri"/>
                <w:b w:val="0"/>
                <w:color w:val="000000"/>
                <w:sz w:val="16"/>
              </w:rPr>
              <w:t>Reference status is ACTIVE, current time is valid, and the chain is intact</w:t>
            </w:r>
          </w:p>
        </w:tc>
        <w:tc>
          <w:tcPr>
            <w:tcW w:type="dxa" w:w="3450"/>
            <w:vAlign w:val="center"/>
            <w:tcMar>
              <w:top w:w="80" w:type="dxa"/>
              <w:start w:w="120" w:type="dxa"/>
              <w:bottom w:w="80" w:type="dxa"/>
              <w:end w:w="120" w:type="dxa"/>
            </w:tcMar>
          </w:tcPr>
          <w:p>
            <w:pPr>
              <w:spacing w:after="0" w:before="0"/>
            </w:pPr>
            <w:r/>
            <w:r>
              <w:rPr>
                <w:rFonts w:ascii="Calibri" w:hAnsi="Calibri"/>
                <w:b w:val="0"/>
                <w:color w:val="000000"/>
                <w:sz w:val="16"/>
              </w:rPr>
              <w:t>No additional reference-engine lifecycle command</w:t>
            </w:r>
          </w:p>
        </w:tc>
      </w:tr>
      <w:tr>
        <w:trPr>
          <w:cantSplit/>
        </w:trPr>
        <w:tc>
          <w:tcPr>
            <w:tcW w:type="dxa" w:w="1200"/>
            <w:vAlign w:val="center"/>
            <w:tcMar>
              <w:top w:w="80" w:type="dxa"/>
              <w:start w:w="120" w:type="dxa"/>
              <w:bottom w:w="80" w:type="dxa"/>
              <w:end w:w="120" w:type="dxa"/>
            </w:tcMar>
          </w:tcPr>
          <w:p>
            <w:pPr>
              <w:spacing w:after="0" w:before="0"/>
            </w:pPr>
            <w:r/>
            <w:r>
              <w:rPr>
                <w:rFonts w:ascii="Calibri" w:hAnsi="Calibri"/>
                <w:b w:val="0"/>
                <w:color w:val="000000"/>
                <w:sz w:val="16"/>
              </w:rPr>
              <w:t>OUTSIDE VALIDITY (guard)</w:t>
            </w:r>
          </w:p>
        </w:tc>
        <w:tc>
          <w:tcPr>
            <w:tcW w:type="dxa" w:w="4710"/>
            <w:vAlign w:val="center"/>
            <w:tcMar>
              <w:top w:w="80" w:type="dxa"/>
              <w:start w:w="120" w:type="dxa"/>
              <w:bottom w:w="80" w:type="dxa"/>
              <w:end w:w="120" w:type="dxa"/>
            </w:tcMar>
          </w:tcPr>
          <w:p>
            <w:pPr>
              <w:spacing w:after="0" w:before="0"/>
            </w:pPr>
            <w:r/>
            <w:r>
              <w:rPr>
                <w:rFonts w:ascii="Calibri" w:hAnsi="Calibri"/>
                <w:b w:val="0"/>
                <w:color w:val="000000"/>
                <w:sz w:val="16"/>
              </w:rPr>
              <w:t>Current time is before effective_from or at/after expires_at</w:t>
            </w:r>
          </w:p>
        </w:tc>
        <w:tc>
          <w:tcPr>
            <w:tcW w:type="dxa" w:w="3450"/>
            <w:vAlign w:val="center"/>
            <w:tcMar>
              <w:top w:w="80" w:type="dxa"/>
              <w:start w:w="120" w:type="dxa"/>
              <w:bottom w:w="80" w:type="dxa"/>
              <w:end w:w="120" w:type="dxa"/>
            </w:tcMar>
          </w:tcPr>
          <w:p>
            <w:pPr>
              <w:spacing w:after="0" w:before="0"/>
            </w:pPr>
            <w:r/>
            <w:r>
              <w:rPr>
                <w:rFonts w:ascii="Calibri" w:hAnsi="Calibri"/>
                <w:b w:val="0"/>
                <w:color w:val="000000"/>
                <w:sz w:val="16"/>
              </w:rPr>
              <w:t>Execution is blocked; use a new approved version or a production governance transition</w:t>
            </w:r>
          </w:p>
        </w:tc>
      </w:tr>
    </w:tbl>
    <w:p>
      <w:pPr>
        <w:spacing w:after="0"/>
      </w:pPr>
    </w:p>
    <w:p>
      <w:r>
        <w:t>The reference engine and registry expose only DRAFT and ACTIVE plus validity blocking. Suspension, connector-wide revocation, and expiry transitions require an external governance adapter; they are not states of this registry interface.</w:t>
      </w:r>
    </w:p>
    <w:p>
      <w:pPr>
        <w:pStyle w:val="Heading2"/>
      </w:pPr>
      <w:r>
        <w:t>6.2 Evaluation order</w:t>
      </w:r>
    </w:p>
    <w:p>
      <w:pPr>
        <w:pStyle w:val="ListNumber"/>
        <w:numPr>
          <w:ilvl w:val="0"/>
          <w:numId w:val="10"/>
        </w:numPr>
      </w:pPr>
      <w:r>
        <w:t>Verify profile seal, declaration seal, and local ledger chain.</w:t>
      </w:r>
    </w:p>
    <w:p>
      <w:pPr>
        <w:pStyle w:val="ListNumber"/>
        <w:numPr>
          <w:ilvl w:val="0"/>
          <w:numId w:val="10"/>
        </w:numPr>
      </w:pPr>
      <w:r>
        <w:t>Verify active validity, strict message shape, and forbidden operator inputs.</w:t>
      </w:r>
    </w:p>
    <w:p>
      <w:pPr>
        <w:pStyle w:val="ListNumber"/>
        <w:numPr>
          <w:ilvl w:val="0"/>
          <w:numId w:val="10"/>
        </w:numPr>
      </w:pPr>
      <w:r>
        <w:t>Resolve idempotency from the canonical connector-submitted request and reject a changed request under the same key.</w:t>
      </w:r>
    </w:p>
    <w:p>
      <w:pPr>
        <w:pStyle w:val="ListNumber"/>
        <w:numPr>
          <w:ilvl w:val="0"/>
          <w:numId w:val="10"/>
        </w:numPr>
      </w:pPr>
      <w:r>
        <w:t>Verify declaration binding, connector, grant, subject, time, explicit action-target binding, scope, and revocation.</w:t>
      </w:r>
    </w:p>
    <w:p>
      <w:pPr>
        <w:pStyle w:val="ListNumber"/>
        <w:numPr>
          <w:ilvl w:val="0"/>
          <w:numId w:val="10"/>
        </w:numPr>
      </w:pPr>
      <w:r>
        <w:t>Resolve authoritative evidence, verify provenance and hashes, and independently derive control results.</w:t>
      </w:r>
    </w:p>
    <w:p>
      <w:pPr>
        <w:pStyle w:val="ListNumber"/>
        <w:numPr>
          <w:ilvl w:val="0"/>
          <w:numId w:val="10"/>
        </w:numPr>
      </w:pPr>
      <w:r>
        <w:t>Compute the current structural-capacity input after active reservations without emitting a verdict.</w:t>
      </w:r>
    </w:p>
    <w:p>
      <w:pPr>
        <w:pStyle w:val="ListNumber"/>
        <w:numPr>
          <w:ilvl w:val="0"/>
          <w:numId w:val="10"/>
        </w:numPr>
      </w:pPr>
      <w:r>
        <w:t>Compute the domain-resource and window input without emitting a verdict.</w:t>
      </w:r>
    </w:p>
    <w:p>
      <w:pPr>
        <w:pStyle w:val="ListNumber"/>
        <w:numPr>
          <w:ilvl w:val="0"/>
          <w:numId w:val="10"/>
        </w:numPr>
      </w:pPr>
      <w:r>
        <w:t>Engage the binary conjunction: the structural branch decides capacity and the effect branch decides resource admissibility.</w:t>
      </w:r>
    </w:p>
    <w:p>
      <w:pPr>
        <w:pStyle w:val="ListNumber"/>
        <w:numPr>
          <w:ilvl w:val="0"/>
          <w:numId w:val="10"/>
        </w:numPr>
      </w:pPr>
      <w:r>
        <w:t>Issue a short-lived reservation and permit only for one-and-one.</w:t>
      </w:r>
    </w:p>
    <w:p>
      <w:r>
        <w:t>The SDK resolves exact submitted-request idempotency first, verifies binding, authority, action-target, and scope authorization, and only then calls the injected evidence and control resolvers. Connector claims are ignored on each wired surface, resolver output is validated and bound into the result and permit request hash, and resolver failure is closed. Without the resolvers, evaluate_intent gates on the declared intent flags and remains the explicit internal post-resolution boundary — a documented reference boundary that production closes by wiring both resolvers.</w:t>
      </w:r>
    </w:p>
    <w:p>
      <w:pPr>
        <w:pStyle w:val="Heading2"/>
      </w:pPr>
      <w:r>
        <w:t>6.3 Gate semantics</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structural_gate ∈ {0,1}</w:t>
            </w:r>
          </w:p>
          <w:p>
            <w:pPr>
              <w:spacing w:before="0" w:after="0"/>
            </w:pPr>
            <w:r>
              <w:rPr>
                <w:rFonts w:ascii="Consolas" w:hAnsi="Consolas"/>
                <w:color w:val="263238"/>
                <w:sz w:val="17"/>
              </w:rPr>
              <w:t>effect_gate     ∈ {0,1}</w:t>
            </w:r>
          </w:p>
          <w:p>
            <w:pPr>
              <w:spacing w:before="0" w:after="0"/>
            </w:pPr>
            <w:r>
              <w:rPr>
                <w:rFonts w:ascii="Consolas" w:hAnsi="Consolas"/>
                <w:color w:val="263238"/>
                <w:sz w:val="17"/>
              </w:rPr>
              <w:t>gate_bit = structural_gate AND effect_gate  # effect_gate checks domain-resource admissibility; it does not execute or simulate the external effect</w:t>
            </w:r>
          </w:p>
          <w:p>
            <w:pPr>
              <w:spacing w:before="0" w:after="0"/>
            </w:pPr>
            <w:r>
              <w:rPr>
                <w:rFonts w:ascii="Consolas" w:hAnsi="Consolas"/>
                <w:color w:val="263238"/>
                <w:sz w:val="17"/>
              </w:rPr>
            </w:r>
          </w:p>
          <w:p>
            <w:pPr>
              <w:spacing w:before="0" w:after="0"/>
            </w:pPr>
            <w:r>
              <w:rPr>
                <w:rFonts w:ascii="Consolas" w:hAnsi="Consolas"/>
                <w:color w:val="263238"/>
                <w:sz w:val="17"/>
              </w:rPr>
              <w:t>gate_bit = 1  ⇒  ALLOW + reservation + single-use permit</w:t>
            </w:r>
          </w:p>
          <w:p>
            <w:pPr>
              <w:spacing w:before="0" w:after="0"/>
            </w:pPr>
            <w:r>
              <w:rPr>
                <w:rFonts w:ascii="Consolas" w:hAnsi="Consolas"/>
                <w:color w:val="263238"/>
                <w:sz w:val="17"/>
              </w:rPr>
              <w:t>gate_bit = 0  ⇒  REFUSAL; no permit; no execution path</w:t>
            </w:r>
          </w:p>
        </w:tc>
      </w:tr>
    </w:tbl>
    <w:p>
      <w:pPr>
        <w:spacing w:after="0"/>
      </w:pPr>
    </w:p>
    <w:tbl>
      <w:tblPr>
        <w:tblStyle w:val="TableGrid"/>
        <w:tblW w:type="dxa" w:w="9360"/>
        <w:jc w:val="center"/>
        <w:tblLayout w:type="fixed"/>
        <w:tblLook w:firstColumn="1" w:firstRow="1" w:lastColumn="0" w:lastRow="0" w:noHBand="0" w:noVBand="1" w:val="04A0"/>
        <w:tblInd w:w="120" w:type="dxa"/>
      </w:tblPr>
      <w:tblGrid>
        <w:gridCol w:w="1650"/>
        <w:gridCol w:w="1450"/>
        <w:gridCol w:w="1350"/>
        <w:gridCol w:w="4910"/>
      </w:tblGrid>
      <w:tr>
        <w:trPr>
          <w:tblHeader w:val="true"/>
          <w:cantSplit/>
        </w:trPr>
        <w:tc>
          <w:tcPr>
            <w:tcW w:type="dxa" w:w="1650"/>
            <w:shd w:fill="F2F4F7"/>
            <w:vAlign w:val="center"/>
            <w:tcMar>
              <w:top w:w="80" w:type="dxa"/>
              <w:start w:w="120" w:type="dxa"/>
              <w:bottom w:w="80" w:type="dxa"/>
              <w:end w:w="120" w:type="dxa"/>
            </w:tcMar>
          </w:tcPr>
          <w:p>
            <w:pPr>
              <w:keepNext/>
              <w:spacing w:after="0" w:before="0"/>
            </w:pPr>
            <w:r/>
            <w:r>
              <w:rPr>
                <w:rFonts w:ascii="Calibri" w:hAnsi="Calibri"/>
                <w:b/>
                <w:color w:val="17365D"/>
                <w:sz w:val="16"/>
              </w:rPr>
              <w:t>Disposition</w:t>
            </w:r>
          </w:p>
        </w:tc>
        <w:tc>
          <w:tcPr>
            <w:tcW w:type="dxa" w:w="1450"/>
            <w:shd w:fill="F2F4F7"/>
            <w:vAlign w:val="center"/>
            <w:tcMar>
              <w:top w:w="80" w:type="dxa"/>
              <w:start w:w="120" w:type="dxa"/>
              <w:bottom w:w="80" w:type="dxa"/>
              <w:end w:w="120" w:type="dxa"/>
            </w:tcMar>
          </w:tcPr>
          <w:p>
            <w:pPr>
              <w:keepNext/>
              <w:spacing w:after="0" w:before="0"/>
            </w:pPr>
            <w:r/>
            <w:r>
              <w:rPr>
                <w:rFonts w:ascii="Calibri" w:hAnsi="Calibri"/>
                <w:b/>
                <w:color w:val="17365D"/>
                <w:sz w:val="16"/>
              </w:rPr>
              <w:t>Channel</w:t>
            </w:r>
          </w:p>
        </w:tc>
        <w:tc>
          <w:tcPr>
            <w:tcW w:type="dxa" w:w="1350"/>
            <w:shd w:fill="F2F4F7"/>
            <w:vAlign w:val="center"/>
            <w:tcMar>
              <w:top w:w="80" w:type="dxa"/>
              <w:start w:w="120" w:type="dxa"/>
              <w:bottom w:w="80" w:type="dxa"/>
              <w:end w:w="120" w:type="dxa"/>
            </w:tcMar>
          </w:tcPr>
          <w:p>
            <w:pPr>
              <w:keepNext/>
              <w:spacing w:after="0" w:before="0"/>
            </w:pPr>
            <w:r/>
            <w:r>
              <w:rPr>
                <w:rFonts w:ascii="Calibri" w:hAnsi="Calibri"/>
                <w:b/>
                <w:color w:val="17365D"/>
                <w:sz w:val="16"/>
              </w:rPr>
              <w:t>Permit</w:t>
            </w:r>
          </w:p>
        </w:tc>
        <w:tc>
          <w:tcPr>
            <w:tcW w:type="dxa" w:w="4910"/>
            <w:shd w:fill="F2F4F7"/>
            <w:vAlign w:val="center"/>
            <w:tcMar>
              <w:top w:w="80" w:type="dxa"/>
              <w:start w:w="120" w:type="dxa"/>
              <w:bottom w:w="80" w:type="dxa"/>
              <w:end w:w="120" w:type="dxa"/>
            </w:tcMar>
          </w:tcPr>
          <w:p>
            <w:pPr>
              <w:keepNext/>
              <w:spacing w:after="0" w:before="0"/>
            </w:pPr>
            <w:r/>
            <w:r>
              <w:rPr>
                <w:rFonts w:ascii="Calibri" w:hAnsi="Calibri"/>
                <w:b/>
                <w:color w:val="17365D"/>
                <w:sz w:val="16"/>
              </w:rPr>
              <w:t>Executor behavior</w:t>
            </w:r>
          </w:p>
        </w:tc>
      </w:tr>
      <w:tr>
        <w:trPr>
          <w:cantSplit/>
        </w:trPr>
        <w:tc>
          <w:tcPr>
            <w:tcW w:type="dxa" w:w="1650"/>
            <w:vAlign w:val="center"/>
            <w:tcMar>
              <w:top w:w="80" w:type="dxa"/>
              <w:start w:w="120" w:type="dxa"/>
              <w:bottom w:w="80" w:type="dxa"/>
              <w:end w:w="120" w:type="dxa"/>
            </w:tcMar>
          </w:tcPr>
          <w:p>
            <w:pPr>
              <w:spacing w:after="0" w:before="0"/>
            </w:pPr>
            <w:r/>
            <w:r>
              <w:rPr>
                <w:rFonts w:ascii="Calibri" w:hAnsi="Calibri"/>
                <w:b w:val="0"/>
                <w:color w:val="000000"/>
                <w:sz w:val="16"/>
              </w:rPr>
              <w:t>ALLOW</w:t>
            </w:r>
          </w:p>
        </w:tc>
        <w:tc>
          <w:tcPr>
            <w:tcW w:type="dxa" w:w="1450"/>
            <w:vAlign w:val="center"/>
            <w:tcMar>
              <w:top w:w="80" w:type="dxa"/>
              <w:start w:w="120" w:type="dxa"/>
              <w:bottom w:w="80" w:type="dxa"/>
              <w:end w:w="120" w:type="dxa"/>
            </w:tcMar>
          </w:tcPr>
          <w:p>
            <w:pPr>
              <w:spacing w:after="0" w:before="0"/>
            </w:pPr>
            <w:r/>
            <w:r>
              <w:rPr>
                <w:rFonts w:ascii="Calibri" w:hAnsi="Calibri"/>
                <w:b w:val="0"/>
                <w:color w:val="000000"/>
                <w:sz w:val="16"/>
              </w:rPr>
              <w:t>OUTPUT</w:t>
            </w:r>
          </w:p>
        </w:tc>
        <w:tc>
          <w:tcPr>
            <w:tcW w:type="dxa" w:w="1350"/>
            <w:vAlign w:val="center"/>
            <w:tcMar>
              <w:top w:w="80" w:type="dxa"/>
              <w:start w:w="120" w:type="dxa"/>
              <w:bottom w:w="80" w:type="dxa"/>
              <w:end w:w="120" w:type="dxa"/>
            </w:tcMar>
          </w:tcPr>
          <w:p>
            <w:pPr>
              <w:spacing w:after="0" w:before="0"/>
            </w:pPr>
            <w:r/>
            <w:r>
              <w:rPr>
                <w:rFonts w:ascii="Calibri" w:hAnsi="Calibri"/>
                <w:b w:val="0"/>
                <w:color w:val="000000"/>
                <w:sz w:val="16"/>
              </w:rPr>
              <w:t>Required</w:t>
            </w:r>
          </w:p>
        </w:tc>
        <w:tc>
          <w:tcPr>
            <w:tcW w:type="dxa" w:w="4910"/>
            <w:vAlign w:val="center"/>
            <w:tcMar>
              <w:top w:w="80" w:type="dxa"/>
              <w:start w:w="120" w:type="dxa"/>
              <w:bottom w:w="80" w:type="dxa"/>
              <w:end w:w="120" w:type="dxa"/>
            </w:tcMar>
          </w:tcPr>
          <w:p>
            <w:pPr>
              <w:spacing w:after="0" w:before="0"/>
            </w:pPr>
            <w:r/>
            <w:r>
              <w:rPr>
                <w:rFonts w:ascii="Calibri" w:hAnsi="Calibri"/>
                <w:b w:val="0"/>
                <w:color w:val="000000"/>
                <w:sz w:val="16"/>
              </w:rPr>
              <w:t>May consume once before expiry against same state</w:t>
            </w:r>
          </w:p>
        </w:tc>
      </w:tr>
      <w:tr>
        <w:trPr>
          <w:cantSplit/>
        </w:trPr>
        <w:tc>
          <w:tcPr>
            <w:tcW w:type="dxa" w:w="1650"/>
            <w:vAlign w:val="center"/>
            <w:tcMar>
              <w:top w:w="80" w:type="dxa"/>
              <w:start w:w="120" w:type="dxa"/>
              <w:bottom w:w="80" w:type="dxa"/>
              <w:end w:w="120" w:type="dxa"/>
            </w:tcMar>
          </w:tcPr>
          <w:p>
            <w:pPr>
              <w:spacing w:after="0" w:before="0"/>
            </w:pPr>
            <w:r/>
            <w:r>
              <w:rPr>
                <w:rFonts w:ascii="Calibri" w:hAnsi="Calibri"/>
                <w:b w:val="0"/>
                <w:color w:val="000000"/>
                <w:sz w:val="16"/>
              </w:rPr>
              <w:t>REFUSAL</w:t>
            </w:r>
          </w:p>
        </w:tc>
        <w:tc>
          <w:tcPr>
            <w:tcW w:type="dxa" w:w="1450"/>
            <w:vAlign w:val="center"/>
            <w:tcMar>
              <w:top w:w="80" w:type="dxa"/>
              <w:start w:w="120" w:type="dxa"/>
              <w:bottom w:w="80" w:type="dxa"/>
              <w:end w:w="120" w:type="dxa"/>
            </w:tcMar>
          </w:tcPr>
          <w:p>
            <w:pPr>
              <w:spacing w:after="0" w:before="0"/>
            </w:pPr>
            <w:r/>
            <w:r>
              <w:rPr>
                <w:rFonts w:ascii="Calibri" w:hAnsi="Calibri"/>
                <w:b w:val="0"/>
                <w:color w:val="000000"/>
                <w:sz w:val="16"/>
              </w:rPr>
              <w:t>REFUSAL</w:t>
            </w:r>
          </w:p>
        </w:tc>
        <w:tc>
          <w:tcPr>
            <w:tcW w:type="dxa" w:w="1350"/>
            <w:vAlign w:val="center"/>
            <w:tcMar>
              <w:top w:w="80" w:type="dxa"/>
              <w:start w:w="120" w:type="dxa"/>
              <w:bottom w:w="80" w:type="dxa"/>
              <w:end w:w="120" w:type="dxa"/>
            </w:tcMar>
          </w:tcPr>
          <w:p>
            <w:pPr>
              <w:spacing w:after="0" w:before="0"/>
            </w:pPr>
            <w:r/>
            <w:r>
              <w:rPr>
                <w:rFonts w:ascii="Calibri" w:hAnsi="Calibri"/>
                <w:b w:val="0"/>
                <w:color w:val="000000"/>
                <w:sz w:val="16"/>
              </w:rPr>
              <w:t>None</w:t>
            </w:r>
          </w:p>
        </w:tc>
        <w:tc>
          <w:tcPr>
            <w:tcW w:type="dxa" w:w="4910"/>
            <w:vAlign w:val="center"/>
            <w:tcMar>
              <w:top w:w="80" w:type="dxa"/>
              <w:start w:w="120" w:type="dxa"/>
              <w:bottom w:w="80" w:type="dxa"/>
              <w:end w:w="120" w:type="dxa"/>
            </w:tcMar>
          </w:tcPr>
          <w:p>
            <w:pPr>
              <w:spacing w:after="0" w:before="0"/>
            </w:pPr>
            <w:r/>
            <w:r>
              <w:rPr>
                <w:rFonts w:ascii="Calibri" w:hAnsi="Calibri"/>
                <w:b w:val="0"/>
                <w:color w:val="000000"/>
                <w:sz w:val="16"/>
              </w:rPr>
              <w:t>Must not execute</w:t>
            </w:r>
          </w:p>
        </w:tc>
      </w:tr>
      <w:tr>
        <w:trPr>
          <w:cantSplit/>
        </w:trPr>
        <w:tc>
          <w:tcPr>
            <w:tcW w:type="dxa" w:w="1650"/>
            <w:vAlign w:val="center"/>
            <w:tcMar>
              <w:top w:w="80" w:type="dxa"/>
              <w:start w:w="120" w:type="dxa"/>
              <w:bottom w:w="80" w:type="dxa"/>
              <w:end w:w="120" w:type="dxa"/>
            </w:tcMar>
          </w:tcPr>
          <w:p>
            <w:pPr>
              <w:spacing w:after="0" w:before="0"/>
            </w:pPr>
            <w:r/>
            <w:r>
              <w:rPr>
                <w:rFonts w:ascii="Calibri" w:hAnsi="Calibri"/>
                <w:b w:val="0"/>
                <w:color w:val="000000"/>
                <w:sz w:val="16"/>
              </w:rPr>
              <w:t>MANUAL_REVIEW</w:t>
            </w:r>
          </w:p>
        </w:tc>
        <w:tc>
          <w:tcPr>
            <w:tcW w:type="dxa" w:w="1450"/>
            <w:vAlign w:val="center"/>
            <w:tcMar>
              <w:top w:w="80" w:type="dxa"/>
              <w:start w:w="120" w:type="dxa"/>
              <w:bottom w:w="80" w:type="dxa"/>
              <w:end w:w="120" w:type="dxa"/>
            </w:tcMar>
          </w:tcPr>
          <w:p>
            <w:pPr>
              <w:spacing w:after="0" w:before="0"/>
            </w:pPr>
            <w:r/>
            <w:r>
              <w:rPr>
                <w:rFonts w:ascii="Calibri" w:hAnsi="Calibri"/>
                <w:b w:val="0"/>
                <w:color w:val="000000"/>
                <w:sz w:val="16"/>
              </w:rPr>
              <w:t>REFUSAL</w:t>
            </w:r>
          </w:p>
        </w:tc>
        <w:tc>
          <w:tcPr>
            <w:tcW w:type="dxa" w:w="1350"/>
            <w:vAlign w:val="center"/>
            <w:tcMar>
              <w:top w:w="80" w:type="dxa"/>
              <w:start w:w="120" w:type="dxa"/>
              <w:bottom w:w="80" w:type="dxa"/>
              <w:end w:w="120" w:type="dxa"/>
            </w:tcMar>
          </w:tcPr>
          <w:p>
            <w:pPr>
              <w:spacing w:after="0" w:before="0"/>
            </w:pPr>
            <w:r/>
            <w:r>
              <w:rPr>
                <w:rFonts w:ascii="Calibri" w:hAnsi="Calibri"/>
                <w:b w:val="0"/>
                <w:color w:val="000000"/>
                <w:sz w:val="16"/>
              </w:rPr>
              <w:t>None</w:t>
            </w:r>
          </w:p>
        </w:tc>
        <w:tc>
          <w:tcPr>
            <w:tcW w:type="dxa" w:w="4910"/>
            <w:vAlign w:val="center"/>
            <w:tcMar>
              <w:top w:w="80" w:type="dxa"/>
              <w:start w:w="120" w:type="dxa"/>
              <w:bottom w:w="80" w:type="dxa"/>
              <w:end w:w="120" w:type="dxa"/>
            </w:tcMar>
          </w:tcPr>
          <w:p>
            <w:pPr>
              <w:spacing w:after="0" w:before="0"/>
            </w:pPr>
            <w:r/>
            <w:r>
              <w:rPr>
                <w:rFonts w:ascii="Calibri" w:hAnsi="Calibri"/>
                <w:b w:val="0"/>
                <w:color w:val="000000"/>
                <w:sz w:val="16"/>
              </w:rPr>
              <w:t>Route outside automated execution</w:t>
            </w:r>
          </w:p>
        </w:tc>
      </w:tr>
    </w:tbl>
    <w:p>
      <w:pPr>
        <w:spacing w:after="0"/>
      </w:pPr>
    </w:p>
    <w:p>
      <w:r>
        <w:t>The disposition alphabet is exactly these three values, and every one is producible by the reference engine. Integrity failures and availability faults halt as transport-level errors (HTTP 503 or 400); they are never surfaced as operator results, so there is no declared disposition the executable reference cannot emit.</w:t>
      </w:r>
    </w:p>
    <w:p>
      <w:pPr>
        <w:pStyle w:val="Heading2"/>
      </w:pPr>
      <w:r>
        <w:t>6.4 Minimal operator projection</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w:t>
            </w:r>
          </w:p>
          <w:p>
            <w:pPr>
              <w:spacing w:before="0" w:after="0"/>
            </w:pPr>
            <w:r>
              <w:rPr>
                <w:rFonts w:ascii="Consolas" w:hAnsi="Consolas"/>
                <w:color w:val="263238"/>
                <w:sz w:val="17"/>
              </w:rPr>
              <w:t xml:space="preserve">  "intent_id": "...",</w:t>
            </w:r>
          </w:p>
          <w:p>
            <w:pPr>
              <w:spacing w:before="0" w:after="0"/>
            </w:pPr>
            <w:r>
              <w:rPr>
                <w:rFonts w:ascii="Consolas" w:hAnsi="Consolas"/>
                <w:color w:val="263238"/>
                <w:sz w:val="17"/>
              </w:rPr>
              <w:t xml:space="preserve">  "request_hash": "...",</w:t>
            </w:r>
          </w:p>
          <w:p>
            <w:pPr>
              <w:spacing w:before="0" w:after="0"/>
            </w:pPr>
            <w:r>
              <w:rPr>
                <w:rFonts w:ascii="Consolas" w:hAnsi="Consolas"/>
                <w:color w:val="263238"/>
                <w:sz w:val="17"/>
              </w:rPr>
              <w:t xml:space="preserve">  "disposition": "ALLOW | REFUSAL | MANUAL_REVIEW",</w:t>
            </w:r>
          </w:p>
          <w:p>
            <w:pPr>
              <w:spacing w:before="0" w:after="0"/>
            </w:pPr>
            <w:r>
              <w:rPr>
                <w:rFonts w:ascii="Consolas" w:hAnsi="Consolas"/>
                <w:color w:val="263238"/>
                <w:sz w:val="17"/>
              </w:rPr>
              <w:t xml:space="preserve">  "channel": "OUTPUT | REFUSAL",</w:t>
            </w:r>
          </w:p>
          <w:p>
            <w:pPr>
              <w:spacing w:before="0" w:after="0"/>
            </w:pPr>
            <w:r>
              <w:rPr>
                <w:rFonts w:ascii="Consolas" w:hAnsi="Consolas"/>
                <w:color w:val="263238"/>
                <w:sz w:val="17"/>
              </w:rPr>
              <w:t xml:space="preserve">  "message_code": "EXECUTION_AUTHORIZED | EXECUTION_DENIED | HUMAN_REVIEW_REQUIRED",</w:t>
            </w:r>
          </w:p>
          <w:p>
            <w:pPr>
              <w:spacing w:before="0" w:after="0"/>
            </w:pPr>
            <w:r>
              <w:rPr>
                <w:rFonts w:ascii="Consolas" w:hAnsi="Consolas"/>
                <w:color w:val="263238"/>
                <w:sz w:val="17"/>
              </w:rPr>
              <w:t xml:space="preserve">  "permit_hash": "... | null",</w:t>
            </w:r>
          </w:p>
          <w:p>
            <w:pPr>
              <w:spacing w:before="0" w:after="0"/>
            </w:pPr>
            <w:r>
              <w:rPr>
                <w:rFonts w:ascii="Consolas" w:hAnsi="Consolas"/>
                <w:color w:val="263238"/>
                <w:sz w:val="17"/>
              </w:rPr>
              <w:t xml:space="preserve">  "expires_at": "... | null"</w:t>
            </w:r>
          </w:p>
          <w:p>
            <w:pPr>
              <w:spacing w:before="0" w:after="0"/>
            </w:pPr>
            <w:r>
              <w:rPr>
                <w:rFonts w:ascii="Consolas" w:hAnsi="Consolas"/>
                <w:color w:val="263238"/>
                <w:sz w:val="17"/>
              </w:rPr>
              <w:t>}</w:t>
            </w:r>
          </w:p>
        </w:tc>
      </w:tr>
    </w:tbl>
    <w:p>
      <w:pPr>
        <w:spacing w:after="0"/>
      </w:pPr>
    </w:p>
    <w:p>
      <w:r>
        <w:t>The operator message code is fixed by disposition: ALLOW maps to EXECUTION_AUTHORIZED, REFUSAL to EXECUTION_DENIED, and MANUAL_REVIEW to HUMAN_REVIEW_REQUIRED. It never identifies the failed gate, threshold, margin, or limit. Detailed reason codes remain architect-only.</w:t>
      </w:r>
    </w:p>
    <w:p>
      <w:r>
        <w:t>The disposition itself is an unavoidable one-bit decision channel. A production adapter MUST rate-limit distinct probes per connector and alert on systematic boundary-seeking sequences.</w:t>
      </w:r>
    </w:p>
    <w:p>
      <w:pPr>
        <w:pStyle w:val="Heading1"/>
      </w:pPr>
      <w:r>
        <w:t>7. Integrity, reservation, and revision</w:t>
      </w:r>
    </w:p>
    <w:p>
      <w:pPr>
        <w:pStyle w:val="Heading2"/>
      </w:pPr>
      <w:r>
        <w:t>7.1 Reservation and commit</w:t>
      </w:r>
    </w:p>
    <w:p>
      <w:pPr>
        <w:pStyle w:val="ListBullet"/>
      </w:pPr>
      <w:r>
        <w:t>An ALLOW always reserves the structural cost, and reserves each domain resource claim whose resource declares reservation_required.</w:t>
      </w:r>
    </w:p>
    <w:p>
      <w:pPr>
        <w:pStyle w:val="ListBullet"/>
      </w:pPr>
      <w:r>
        <w:t>The configured permit TTL is sealed into the permit, cannot exceed 900 seconds, and expires_at is capped by the authority-grant and declaration expiries.</w:t>
      </w:r>
    </w:p>
    <w:p>
      <w:pPr>
        <w:pStyle w:val="ListBullet"/>
      </w:pPr>
      <w:r>
        <w:t>Trusted-time causality permits at most five seconds of forward skew for intent receipt, evidence collection, revocation, and execution commit; execution may not precede permit issuance by more than five seconds.</w:t>
      </w:r>
    </w:p>
    <w:p>
      <w:pPr>
        <w:pStyle w:val="ListBullet"/>
      </w:pPr>
      <w:r>
        <w:t>A resource declared with reservation_required false holds nothing while a permit is outstanding; only committed amounts count against its window limit.</w:t>
      </w:r>
    </w:p>
    <w:p>
      <w:pPr>
        <w:pStyle w:val="ListBullet"/>
      </w:pPr>
      <w:r>
        <w:t>Active reservations count against later evaluations and prevent over-issue.</w:t>
      </w:r>
    </w:p>
    <w:p>
      <w:pPr>
        <w:pStyle w:val="ListBullet"/>
      </w:pPr>
      <w:r>
        <w:t>Immediately before COMMITTED, the engine recomputes committed usage for every claimed resource against the trusted current window. When unreserved permits race, the first admissible commit wins and a later permit is invalidated with RESOURCE_WINDOW_LIMIT.</w:t>
      </w:r>
    </w:p>
    <w:p>
      <w:pPr>
        <w:pStyle w:val="ListBullet"/>
      </w:pPr>
      <w:r>
        <w:t>The committed window is closed at its lower bound: a debit timestamped exactly at now minus window_seconds still counts and ages out only after that boundary.</w:t>
      </w:r>
    </w:p>
    <w:p>
      <w:pPr>
        <w:pStyle w:val="ListBullet"/>
      </w:pPr>
      <w:r>
        <w:t>COMMITTED records the declared debits and consumes the permit.</w:t>
      </w:r>
    </w:p>
    <w:p>
      <w:pPr>
        <w:pStyle w:val="ListBullet"/>
      </w:pPr>
      <w:r>
        <w:t>FAILED or ABORTED consumes the permit but releases the reservation without debit.</w:t>
      </w:r>
    </w:p>
    <w:p>
      <w:pPr>
        <w:pStyle w:val="ListBullet"/>
      </w:pPr>
      <w:r>
        <w:t>The executor must present the same connector, profile hash, declaration hash, and state anchor.</w:t>
      </w:r>
    </w:p>
    <w:p>
      <w:pPr>
        <w:pStyle w:val="ListBullet"/>
      </w:pPr>
      <w:r>
        <w:t>An expired, changed, revoked, or tampered permit blocks a new commit. After a successful commit, an exact canonical retry returns the stored receipt without another event or debit, including after permit, grant, or declaration expiry or revocation; a changed retry conflicts. This read-only replay cannot authorize new work.</w:t>
      </w:r>
    </w:p>
    <w:p>
      <w:pPr>
        <w:pStyle w:val="Heading2"/>
      </w:pPr>
      <w:r>
        <w:t>7.2 Idempotency</w:t>
      </w:r>
    </w:p>
    <w:p>
      <w:r>
        <w:t>The idempotency key binds a canonical hash of the connector-submitted intent and evidence bundle before external resolution. An exact evaluation replay therefore returns an active permit or the original non-executable result without calling the resolver again; the separately computed result request hash binds the authoritative resolved bundle used by the gate. Replay of a consumed, expired, revoked, or otherwise invalidated permit fails closed and never reissues ALLOW. A different submitted request under the same key is a conflict and produces no second decision or permit. Executor replay is separate: an exact canonical retry after a successful commit returns the stored receipt without a second event or debit, including after permit, grant, or declaration expiry or revocation, while a changed retry conflicts. This read-only replay cannot authorize new work. In the HTTP adapter, the Idempotency-Key header must exactly equal intent.idempotency_key; a mismatch is rejected before evaluation.</w:t>
      </w:r>
    </w:p>
    <w:p>
      <w:pPr>
        <w:pStyle w:val="Heading2"/>
      </w:pPr>
      <w:r>
        <w:t>7.3 Revocation</w:t>
      </w:r>
    </w:p>
    <w:p>
      <w:r>
        <w:t>A grant revocation recorded before commit invalidates every outstanding permit and releases its reservation. A later grant cannot revive an old permit. Revocation evidence is appended to the local chain. A caller-supplied revoked_at may be at most five seconds ahead of the trusted processing clock.</w:t>
      </w:r>
    </w:p>
    <w:p>
      <w:pPr>
        <w:pStyle w:val="Heading2"/>
      </w:pPr>
      <w:r>
        <w:t>7.4 Append-only local evidence</w:t>
      </w:r>
    </w:p>
    <w:p>
      <w:pPr>
        <w:pStyle w:val="ListBullet"/>
      </w:pPr>
      <w:r>
        <w:t>Every event carries an index, UTC time, event type, role, subject reference, payload, previous-event hash, event hash, and signature.</w:t>
      </w:r>
    </w:p>
    <w:p>
      <w:pPr>
        <w:pStyle w:val="ListBullet"/>
      </w:pPr>
      <w:r>
        <w:t>A profile, declaration, permit, signature, or chain mismatch halts execution.</w:t>
      </w:r>
    </w:p>
    <w:p>
      <w:pPr>
        <w:pStyle w:val="ListBullet"/>
      </w:pPr>
      <w:r>
        <w:t>Raw secrets and reusable credentials are forbidden even in the local reference ledger.</w:t>
      </w:r>
    </w:p>
    <w:p>
      <w:pPr>
        <w:pStyle w:val="ListBullet"/>
      </w:pPr>
      <w:r>
        <w:t>Production storage must provide transactional append-only or WORM behavior and independent restore evidence.</w:t>
      </w:r>
    </w:p>
    <w:p>
      <w:pPr>
        <w:pStyle w:val="Heading2"/>
      </w:pPr>
      <w:r>
        <w:t>7.5 Material revision</w:t>
      </w:r>
    </w:p>
    <w:tbl>
      <w:tblPr>
        <w:tblStyle w:val="TableGrid"/>
        <w:tblW w:type="dxa" w:w="9360"/>
        <w:jc w:val="center"/>
        <w:tblLayout w:type="fixed"/>
        <w:tblLook w:firstColumn="1" w:firstRow="1" w:lastColumn="0" w:lastRow="0" w:noHBand="0" w:noVBand="1" w:val="04A0"/>
        <w:tblInd w:w="120" w:type="dxa"/>
      </w:tblPr>
      <w:tblGrid>
        <w:gridCol w:w="3300"/>
        <w:gridCol w:w="6060"/>
      </w:tblGrid>
      <w:tr>
        <w:trPr>
          <w:tblHeader w:val="true"/>
          <w:cantSplit/>
        </w:trPr>
        <w:tc>
          <w:tcPr>
            <w:tcW w:type="dxa" w:w="3300"/>
            <w:shd w:fill="F2F4F7"/>
            <w:vAlign w:val="center"/>
            <w:tcMar>
              <w:top w:w="80" w:type="dxa"/>
              <w:start w:w="120" w:type="dxa"/>
              <w:bottom w:w="80" w:type="dxa"/>
              <w:end w:w="120" w:type="dxa"/>
            </w:tcMar>
          </w:tcPr>
          <w:p>
            <w:pPr>
              <w:keepNext/>
              <w:spacing w:after="0" w:before="0"/>
            </w:pPr>
            <w:r/>
            <w:r>
              <w:rPr>
                <w:rFonts w:ascii="Calibri" w:hAnsi="Calibri"/>
                <w:b/>
                <w:color w:val="17365D"/>
                <w:sz w:val="17"/>
              </w:rPr>
              <w:t>Changed item</w:t>
            </w:r>
          </w:p>
        </w:tc>
        <w:tc>
          <w:tcPr>
            <w:tcW w:type="dxa" w:w="6060"/>
            <w:shd w:fill="F2F4F7"/>
            <w:vAlign w:val="center"/>
            <w:tcMar>
              <w:top w:w="80" w:type="dxa"/>
              <w:start w:w="120" w:type="dxa"/>
              <w:bottom w:w="80" w:type="dxa"/>
              <w:end w:w="120" w:type="dxa"/>
            </w:tcMar>
          </w:tcPr>
          <w:p>
            <w:pPr>
              <w:keepNext/>
              <w:spacing w:after="0" w:before="0"/>
            </w:pPr>
            <w:r/>
            <w:r>
              <w:rPr>
                <w:rFonts w:ascii="Calibri" w:hAnsi="Calibri"/>
                <w:b/>
                <w:color w:val="17365D"/>
                <w:sz w:val="17"/>
              </w:rPr>
              <w:t>Required response</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Action, effect, or resource mapping</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New profile version, witness hash, profile hash, and approval</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Control flag or evidence requirement</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New profile version and affected declarations</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Connector, target, scope, limit, approval authority, or off-limits set</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New declaration version and approval; external service and lineage records require separate governance</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Grant scope or validity</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New grant; old permit remains bound to old grant</w:t>
            </w:r>
          </w:p>
        </w:tc>
      </w:tr>
      <w:tr>
        <w:trPr>
          <w:cantSplit/>
        </w:trPr>
        <w:tc>
          <w:tcPr>
            <w:tcW w:type="dxa" w:w="3300"/>
            <w:vAlign w:val="center"/>
            <w:tcMar>
              <w:top w:w="80" w:type="dxa"/>
              <w:start w:w="120" w:type="dxa"/>
              <w:bottom w:w="80" w:type="dxa"/>
              <w:end w:w="120" w:type="dxa"/>
            </w:tcMar>
          </w:tcPr>
          <w:p>
            <w:pPr>
              <w:spacing w:after="0" w:before="0"/>
            </w:pPr>
            <w:r/>
            <w:r>
              <w:rPr>
                <w:rFonts w:ascii="Calibri" w:hAnsi="Calibri"/>
                <w:b w:val="0"/>
                <w:color w:val="000000"/>
                <w:sz w:val="17"/>
              </w:rPr>
              <w:t>Runtime observation only</w:t>
            </w:r>
          </w:p>
        </w:tc>
        <w:tc>
          <w:tcPr>
            <w:tcW w:type="dxa" w:w="6060"/>
            <w:vAlign w:val="center"/>
            <w:tcMar>
              <w:top w:w="80" w:type="dxa"/>
              <w:start w:w="120" w:type="dxa"/>
              <w:bottom w:w="80" w:type="dxa"/>
              <w:end w:w="120" w:type="dxa"/>
            </w:tcMar>
          </w:tcPr>
          <w:p>
            <w:pPr>
              <w:spacing w:after="0" w:before="0"/>
            </w:pPr>
            <w:r/>
            <w:r>
              <w:rPr>
                <w:rFonts w:ascii="Calibri" w:hAnsi="Calibri"/>
                <w:b w:val="0"/>
                <w:color w:val="000000"/>
                <w:sz w:val="17"/>
              </w:rPr>
              <w:t>Append evidence; do not rewrite the live gate</w:t>
            </w:r>
          </w:p>
        </w:tc>
      </w:tr>
    </w:tbl>
    <w:p>
      <w:pPr>
        <w:spacing w:after="0"/>
      </w:pPr>
    </w:p>
    <w:p>
      <w:pPr>
        <w:pStyle w:val="Heading1"/>
      </w:pPr>
      <w:r>
        <w:t>8. Registry projection</w:t>
      </w:r>
    </w:p>
    <w:p>
      <w:r>
        <w:t>The universal protocol does not require one central evidence ledger. Each connection retains its full evidence locally. An optional shared registry provides discoverability and revocation without becoming a source of operator signals or sensitive evidence.</w:t>
      </w:r>
    </w:p>
    <w:tbl>
      <w:tblPr>
        <w:tblStyle w:val="TableGrid"/>
        <w:tblW w:type="dxa" w:w="9360"/>
        <w:jc w:val="center"/>
        <w:tblLayout w:type="fixed"/>
        <w:tblLook w:firstColumn="1" w:firstRow="1" w:lastColumn="0" w:lastRow="0" w:noHBand="0" w:noVBand="1" w:val="04A0"/>
        <w:tblInd w:w="120" w:type="dxa"/>
      </w:tblPr>
      <w:tblGrid>
        <w:gridCol w:w="4680"/>
        <w:gridCol w:w="4680"/>
      </w:tblGrid>
      <w:tr>
        <w:trPr>
          <w:tblHeader w:val="true"/>
          <w:cantSplit/>
        </w:trPr>
        <w:tc>
          <w:tcPr>
            <w:tcW w:type="dxa" w:w="4680"/>
            <w:shd w:fill="F2F4F7"/>
            <w:vAlign w:val="center"/>
            <w:tcMar>
              <w:top w:w="80" w:type="dxa"/>
              <w:start w:w="120" w:type="dxa"/>
              <w:bottom w:w="80" w:type="dxa"/>
              <w:end w:w="120" w:type="dxa"/>
            </w:tcMar>
          </w:tcPr>
          <w:p>
            <w:pPr>
              <w:keepNext/>
              <w:spacing w:after="0" w:before="0"/>
            </w:pPr>
            <w:r/>
            <w:r>
              <w:rPr>
                <w:rFonts w:ascii="Calibri" w:hAnsi="Calibri"/>
                <w:b/>
                <w:color w:val="17365D"/>
                <w:sz w:val="17"/>
              </w:rPr>
              <w:t>Local evidence store</w:t>
            </w:r>
          </w:p>
        </w:tc>
        <w:tc>
          <w:tcPr>
            <w:tcW w:type="dxa" w:w="4680"/>
            <w:shd w:fill="F2F4F7"/>
            <w:vAlign w:val="center"/>
            <w:tcMar>
              <w:top w:w="80" w:type="dxa"/>
              <w:start w:w="120" w:type="dxa"/>
              <w:bottom w:w="80" w:type="dxa"/>
              <w:end w:w="120" w:type="dxa"/>
            </w:tcMar>
          </w:tcPr>
          <w:p>
            <w:pPr>
              <w:keepNext/>
              <w:spacing w:after="0" w:before="0"/>
            </w:pPr>
            <w:r/>
            <w:r>
              <w:rPr>
                <w:rFonts w:ascii="Calibri" w:hAnsi="Calibri"/>
                <w:b/>
                <w:color w:val="17365D"/>
                <w:sz w:val="17"/>
              </w:rPr>
              <w:t>Shared registry</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Profile and declaration approved bytes</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Profile and declaration identifiers, versions, and hashes</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Authority, intent, evidence references, permit, decision trace</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Connector identifier and core anchor</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Reservations, execution requests, receipts, chain events</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Status, activation time, revocation flag</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Architect-only gate sub-verdicts and reason codes</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Local ledger head hash and latest receipt root</w:t>
            </w:r>
          </w:p>
        </w:tc>
      </w:tr>
      <w:tr>
        <w:trPr>
          <w:cantSplit/>
        </w:trPr>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Access-controlled operational evidence</w:t>
            </w:r>
          </w:p>
        </w:tc>
        <w:tc>
          <w:tcPr>
            <w:tcW w:type="dxa" w:w="4680"/>
            <w:vAlign w:val="center"/>
            <w:tcMar>
              <w:top w:w="80" w:type="dxa"/>
              <w:start w:w="120" w:type="dxa"/>
              <w:bottom w:w="80" w:type="dxa"/>
              <w:end w:w="120" w:type="dxa"/>
            </w:tcMar>
          </w:tcPr>
          <w:p>
            <w:pPr>
              <w:spacing w:after="0" w:before="0"/>
            </w:pPr>
            <w:r/>
            <w:r>
              <w:rPr>
                <w:rFonts w:ascii="Calibri" w:hAnsi="Calibri"/>
                <w:b w:val="0"/>
                <w:color w:val="000000"/>
                <w:sz w:val="17"/>
              </w:rPr>
              <w:t>No raw intent, evidence, personal data, credentials, or gate internals</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EEF4FA"/>
            <w:tcMar>
              <w:top w:w="140" w:type="dxa"/>
              <w:start w:w="180" w:type="dxa"/>
              <w:bottom w:w="140" w:type="dxa"/>
              <w:end w:w="180" w:type="dxa"/>
            </w:tcMar>
          </w:tcPr>
          <w:p>
            <w:pPr>
              <w:spacing w:before="60" w:after="60"/>
            </w:pPr>
            <w:r/>
            <w:r>
              <w:rPr>
                <w:rFonts w:ascii="Calibri" w:hAnsi="Calibri"/>
                <w:b/>
                <w:color w:val="17365D"/>
                <w:sz w:val="20"/>
              </w:rPr>
              <w:t xml:space="preserve">MINIMIZATION  </w:t>
            </w:r>
            <w:r>
              <w:rPr>
                <w:rFonts w:ascii="Calibri" w:hAnsi="Calibri"/>
                <w:sz w:val="20"/>
              </w:rPr>
              <w:t>A registry expansion that introduces raw intent, raw evidence, gate geometry, sub-verdicts, reason vectors, personal data, reusable credentials, or control-plane configuration is a contract failure.</w:t>
            </w:r>
          </w:p>
        </w:tc>
      </w:tr>
    </w:tbl>
    <w:p>
      <w:pPr>
        <w:spacing w:after="0"/>
      </w:pPr>
    </w:p>
    <w:p>
      <w:r>
        <w:t>In the reference projection, status is the declaration lifecycle state. revoked is a connector-level alert that one or more grant revocations exist; it is not a connector shutdown bit or an authorization source. Exact grant validity remains local and is rechecked at evaluation and commit.</w:t>
      </w:r>
    </w:p>
    <w:p>
      <w:pPr>
        <w:pStyle w:val="Heading1"/>
      </w:pPr>
      <w:r>
        <w:t>9. Reference profiles</w:t>
      </w:r>
    </w:p>
    <w:p>
      <w:pPr>
        <w:pStyle w:val="Heading2"/>
      </w:pPr>
      <w:r>
        <w:t>9.1 Banking questionnaire mapping</w:t>
      </w:r>
    </w:p>
    <w:p>
      <w:r>
        <w:t>The banking profile is the first concrete use of the universal contract. It expresses a blank bank onboarding questionnaire as typed profile and declaration fields. The synthetic values demonstrate behavior only; a bank must replace them with exact enterprise identifiers, thresholds, owners, and immutable evidence.</w:t>
      </w:r>
    </w:p>
    <w:tbl>
      <w:tblPr>
        <w:tblStyle w:val="TableGrid"/>
        <w:tblW w:type="dxa" w:w="9360"/>
        <w:jc w:val="center"/>
        <w:tblLayout w:type="fixed"/>
        <w:tblLook w:firstColumn="1" w:firstRow="1" w:lastColumn="0" w:lastRow="0" w:noHBand="0" w:noVBand="1" w:val="04A0"/>
        <w:tblInd w:w="120" w:type="dxa"/>
      </w:tblPr>
      <w:tblGrid>
        <w:gridCol w:w="2500"/>
        <w:gridCol w:w="3550"/>
        <w:gridCol w:w="3310"/>
      </w:tblGrid>
      <w:tr>
        <w:trPr>
          <w:tblHeader w:val="true"/>
          <w:cantSplit/>
        </w:trPr>
        <w:tc>
          <w:tcPr>
            <w:tcW w:type="dxa" w:w="2500"/>
            <w:shd w:fill="F2F4F7"/>
            <w:vAlign w:val="center"/>
            <w:tcMar>
              <w:top w:w="80" w:type="dxa"/>
              <w:start w:w="120" w:type="dxa"/>
              <w:bottom w:w="80" w:type="dxa"/>
              <w:end w:w="120" w:type="dxa"/>
            </w:tcMar>
          </w:tcPr>
          <w:p>
            <w:pPr>
              <w:keepNext/>
              <w:spacing w:after="0" w:before="0"/>
            </w:pPr>
            <w:r/>
            <w:r>
              <w:rPr>
                <w:rFonts w:ascii="Calibri" w:hAnsi="Calibri"/>
                <w:b/>
                <w:color w:val="17365D"/>
                <w:sz w:val="15"/>
              </w:rPr>
              <w:t>Questionnaire section</w:t>
            </w:r>
          </w:p>
        </w:tc>
        <w:tc>
          <w:tcPr>
            <w:tcW w:type="dxa" w:w="3550"/>
            <w:shd w:fill="F2F4F7"/>
            <w:vAlign w:val="center"/>
            <w:tcMar>
              <w:top w:w="80" w:type="dxa"/>
              <w:start w:w="120" w:type="dxa"/>
              <w:bottom w:w="80" w:type="dxa"/>
              <w:end w:w="120" w:type="dxa"/>
            </w:tcMar>
          </w:tcPr>
          <w:p>
            <w:pPr>
              <w:keepNext/>
              <w:spacing w:after="0" w:before="0"/>
            </w:pPr>
            <w:r/>
            <w:r>
              <w:rPr>
                <w:rFonts w:ascii="Calibri" w:hAnsi="Calibri"/>
                <w:b/>
                <w:color w:val="17365D"/>
                <w:sz w:val="15"/>
              </w:rPr>
              <w:t>Universal destination</w:t>
            </w:r>
          </w:p>
        </w:tc>
        <w:tc>
          <w:tcPr>
            <w:tcW w:type="dxa" w:w="3310"/>
            <w:shd w:fill="F2F4F7"/>
            <w:vAlign w:val="center"/>
            <w:tcMar>
              <w:top w:w="80" w:type="dxa"/>
              <w:start w:w="120" w:type="dxa"/>
              <w:bottom w:w="80" w:type="dxa"/>
              <w:end w:w="120" w:type="dxa"/>
            </w:tcMar>
          </w:tcPr>
          <w:p>
            <w:pPr>
              <w:keepNext/>
              <w:spacing w:after="0" w:before="0"/>
            </w:pPr>
            <w:r/>
            <w:r>
              <w:rPr>
                <w:rFonts w:ascii="Calibri" w:hAnsi="Calibri"/>
                <w:b/>
                <w:color w:val="17365D"/>
                <w:sz w:val="15"/>
              </w:rPr>
              <w:t>Execution consequence</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1. Business Scope and Boundaries</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declaration.instance_scope.scope_constraints; declaration.instance_scope.action_ids; declaration.instance_scope.effect_class_ids; declaration.instance_scope.target_system_ids</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Defines which intents can be typed for this instance. An undeclared scope value is non-executable.</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2. Authorized Activities and Limits</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profile.action_alphabet; profile.effect_classes; profile.resource_catalog; declaration.resource_limits</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Creates the action, effect, and domain resource boundaries. Financial limits remain domain controls and are not the structural budget.</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3. Access and System Boundaries</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declaration.connector; declaration.interfaces; declaration.instance_scope.target_system_ids</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Separates governance, acting connector, executor, observer projection, architect store, downstream targets, and off-limits systems.</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4. Decision Rules and Logic</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profile.controls.required_prerequisite_ids; profile.controls.hard_block_flag_ids; profile.controls.manual_review_flag_ids; profile.failure_posture</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Separates binary gate logic from non-executable workflow routing.</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5. Audit, Evidence, and Compliance</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profile.evidence_requirements; profile.mapping_witness.evidence_refs; profile.registry_policy</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Defines immutable local evidence and a minimal hash-only shared projection.</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6. Ownership and Change Control</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declaration.governance; profile.change_control</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A material edit creates a new declaration or profile hash. No owner may flip a refusal inside the live version.</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7. Exception and Failure Handling</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profile.failure_posture</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The profile mirrors protocol-fixed routing: missing required data is REFUSAL and ambiguity is MANUAL_REVIEW. Integrity failures remain hard errors; downstream and rule-conflict handling require explicit runtime branches rather than decorative configuration.</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5"/>
              </w:rPr>
              <w:t>8. Supporting Documents</w:t>
            </w:r>
          </w:p>
        </w:tc>
        <w:tc>
          <w:tcPr>
            <w:tcW w:type="dxa" w:w="3550"/>
            <w:vAlign w:val="center"/>
            <w:tcMar>
              <w:top w:w="80" w:type="dxa"/>
              <w:start w:w="120" w:type="dxa"/>
              <w:bottom w:w="80" w:type="dxa"/>
              <w:end w:w="120" w:type="dxa"/>
            </w:tcMar>
          </w:tcPr>
          <w:p>
            <w:pPr>
              <w:spacing w:after="0" w:before="0"/>
            </w:pPr>
            <w:r/>
            <w:r>
              <w:rPr>
                <w:rFonts w:ascii="Calibri" w:hAnsi="Calibri"/>
                <w:b w:val="0"/>
                <w:color w:val="000000"/>
                <w:sz w:val="15"/>
              </w:rPr>
              <w:t>profile.mapping_witness.evidence_refs</w:t>
            </w:r>
          </w:p>
        </w:tc>
        <w:tc>
          <w:tcPr>
            <w:tcW w:type="dxa" w:w="3310"/>
            <w:vAlign w:val="center"/>
            <w:tcMar>
              <w:top w:w="80" w:type="dxa"/>
              <w:start w:w="120" w:type="dxa"/>
              <w:bottom w:w="80" w:type="dxa"/>
              <w:end w:w="120" w:type="dxa"/>
            </w:tcMar>
          </w:tcPr>
          <w:p>
            <w:pPr>
              <w:spacing w:after="0" w:before="0"/>
            </w:pPr>
            <w:r/>
            <w:r>
              <w:rPr>
                <w:rFonts w:ascii="Calibri" w:hAnsi="Calibri"/>
                <w:b w:val="0"/>
                <w:color w:val="000000"/>
                <w:sz w:val="15"/>
              </w:rPr>
              <w:t>Stores immutable references and hashes without placing raw documents or secrets in the runtime ledger or shared registry.</w:t>
            </w:r>
          </w:p>
        </w:tc>
      </w:tr>
    </w:tbl>
    <w:p>
      <w:pPr>
        <w:spacing w:after="0"/>
      </w:pPr>
    </w:p>
    <w:p>
      <w:pPr>
        <w:pStyle w:val="Heading2"/>
      </w:pPr>
      <w:r>
        <w:t>9.2 Reference banking actions</w:t>
      </w:r>
    </w:p>
    <w:tbl>
      <w:tblPr>
        <w:tblStyle w:val="TableGrid"/>
        <w:tblW w:type="dxa" w:w="9360"/>
        <w:jc w:val="center"/>
        <w:tblLayout w:type="fixed"/>
        <w:tblLook w:firstColumn="1" w:firstRow="1" w:lastColumn="0" w:lastRow="0" w:noHBand="0" w:noVBand="1" w:val="04A0"/>
        <w:tblInd w:w="120" w:type="dxa"/>
      </w:tblPr>
      <w:tblGrid>
        <w:gridCol w:w="2600"/>
        <w:gridCol w:w="2700"/>
        <w:gridCol w:w="1600"/>
        <w:gridCol w:w="2460"/>
      </w:tblGrid>
      <w:tr>
        <w:trPr>
          <w:tblHeader w:val="true"/>
          <w:cantSplit/>
        </w:trPr>
        <w:tc>
          <w:tcPr>
            <w:tcW w:type="dxa" w:w="2600"/>
            <w:shd w:fill="F2F4F7"/>
            <w:vAlign w:val="center"/>
            <w:tcMar>
              <w:top w:w="80" w:type="dxa"/>
              <w:start w:w="120" w:type="dxa"/>
              <w:bottom w:w="80" w:type="dxa"/>
              <w:end w:w="120" w:type="dxa"/>
            </w:tcMar>
          </w:tcPr>
          <w:p>
            <w:pPr>
              <w:keepNext/>
              <w:spacing w:after="0" w:before="0"/>
            </w:pPr>
            <w:r/>
            <w:r>
              <w:rPr>
                <w:rFonts w:ascii="Calibri" w:hAnsi="Calibri"/>
                <w:b/>
                <w:color w:val="17365D"/>
                <w:sz w:val="17"/>
              </w:rPr>
              <w:t>Action</w:t>
            </w:r>
          </w:p>
        </w:tc>
        <w:tc>
          <w:tcPr>
            <w:tcW w:type="dxa" w:w="2700"/>
            <w:shd w:fill="F2F4F7"/>
            <w:vAlign w:val="center"/>
            <w:tcMar>
              <w:top w:w="80" w:type="dxa"/>
              <w:start w:w="120" w:type="dxa"/>
              <w:bottom w:w="80" w:type="dxa"/>
              <w:end w:w="120" w:type="dxa"/>
            </w:tcMar>
          </w:tcPr>
          <w:p>
            <w:pPr>
              <w:keepNext/>
              <w:spacing w:after="0" w:before="0"/>
            </w:pPr>
            <w:r/>
            <w:r>
              <w:rPr>
                <w:rFonts w:ascii="Calibri" w:hAnsi="Calibri"/>
                <w:b/>
                <w:color w:val="17365D"/>
                <w:sz w:val="17"/>
              </w:rPr>
              <w:t>Effect</w:t>
            </w:r>
          </w:p>
        </w:tc>
        <w:tc>
          <w:tcPr>
            <w:tcW w:type="dxa" w:w="1600"/>
            <w:shd w:fill="F2F4F7"/>
            <w:vAlign w:val="center"/>
            <w:tcMar>
              <w:top w:w="80" w:type="dxa"/>
              <w:start w:w="120" w:type="dxa"/>
              <w:bottom w:w="80" w:type="dxa"/>
              <w:end w:w="120" w:type="dxa"/>
            </w:tcMar>
          </w:tcPr>
          <w:p>
            <w:pPr>
              <w:keepNext/>
              <w:spacing w:after="0" w:before="0"/>
            </w:pPr>
            <w:r/>
            <w:r>
              <w:rPr>
                <w:rFonts w:ascii="Calibri" w:hAnsi="Calibri"/>
                <w:b/>
                <w:color w:val="17365D"/>
                <w:sz w:val="17"/>
              </w:rPr>
              <w:t>Structural cost</w:t>
            </w:r>
          </w:p>
        </w:tc>
        <w:tc>
          <w:tcPr>
            <w:tcW w:type="dxa" w:w="2460"/>
            <w:shd w:fill="F2F4F7"/>
            <w:vAlign w:val="center"/>
            <w:tcMar>
              <w:top w:w="80" w:type="dxa"/>
              <w:start w:w="120" w:type="dxa"/>
              <w:bottom w:w="80" w:type="dxa"/>
              <w:end w:w="120" w:type="dxa"/>
            </w:tcMar>
          </w:tcPr>
          <w:p>
            <w:pPr>
              <w:keepNext/>
              <w:spacing w:after="0" w:before="0"/>
            </w:pPr>
            <w:r/>
            <w:r>
              <w:rPr>
                <w:rFonts w:ascii="Calibri" w:hAnsi="Calibri"/>
                <w:b/>
                <w:color w:val="17365D"/>
                <w:sz w:val="17"/>
              </w:rPr>
              <w:t>Domain resource</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BANK_PAYMENT_POST</w:t>
            </w:r>
          </w:p>
        </w:tc>
        <w:tc>
          <w:tcPr>
            <w:tcW w:type="dxa" w:w="2700"/>
            <w:vAlign w:val="center"/>
            <w:tcMar>
              <w:top w:w="80" w:type="dxa"/>
              <w:start w:w="120" w:type="dxa"/>
              <w:bottom w:w="80" w:type="dxa"/>
              <w:end w:w="120" w:type="dxa"/>
            </w:tcMar>
          </w:tcPr>
          <w:p>
            <w:pPr>
              <w:spacing w:after="0" w:before="0"/>
            </w:pPr>
            <w:r/>
            <w:r>
              <w:rPr>
                <w:rFonts w:ascii="Calibri" w:hAnsi="Calibri"/>
                <w:b w:val="0"/>
                <w:color w:val="000000"/>
                <w:sz w:val="17"/>
              </w:rPr>
              <w:t>BANK_LEDGER_MUTATION</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100</w:t>
            </w:r>
          </w:p>
        </w:tc>
        <w:tc>
          <w:tcPr>
            <w:tcW w:type="dxa" w:w="2460"/>
            <w:vAlign w:val="center"/>
            <w:tcMar>
              <w:top w:w="80" w:type="dxa"/>
              <w:start w:w="120" w:type="dxa"/>
              <w:bottom w:w="80" w:type="dxa"/>
              <w:end w:w="120" w:type="dxa"/>
            </w:tcMar>
          </w:tcPr>
          <w:p>
            <w:pPr>
              <w:spacing w:after="0" w:before="0"/>
            </w:pPr>
            <w:r/>
            <w:r>
              <w:rPr>
                <w:rFonts w:ascii="Calibri" w:hAnsi="Calibri"/>
                <w:b w:val="0"/>
                <w:color w:val="000000"/>
                <w:sz w:val="17"/>
              </w:rPr>
              <w:t>money_minor_units</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BANK_PAYMENT_STATUS_READ</w:t>
            </w:r>
          </w:p>
        </w:tc>
        <w:tc>
          <w:tcPr>
            <w:tcW w:type="dxa" w:w="2700"/>
            <w:vAlign w:val="center"/>
            <w:tcMar>
              <w:top w:w="80" w:type="dxa"/>
              <w:start w:w="120" w:type="dxa"/>
              <w:bottom w:w="80" w:type="dxa"/>
              <w:end w:w="120" w:type="dxa"/>
            </w:tcMar>
          </w:tcPr>
          <w:p>
            <w:pPr>
              <w:spacing w:after="0" w:before="0"/>
            </w:pPr>
            <w:r/>
            <w:r>
              <w:rPr>
                <w:rFonts w:ascii="Calibri" w:hAnsi="Calibri"/>
                <w:b w:val="0"/>
                <w:color w:val="000000"/>
                <w:sz w:val="17"/>
              </w:rPr>
              <w:t>BANK_READ_ONLY_QUERY</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10</w:t>
            </w:r>
          </w:p>
        </w:tc>
        <w:tc>
          <w:tcPr>
            <w:tcW w:type="dxa" w:w="2460"/>
            <w:vAlign w:val="center"/>
            <w:tcMar>
              <w:top w:w="80" w:type="dxa"/>
              <w:start w:w="120" w:type="dxa"/>
              <w:bottom w:w="80" w:type="dxa"/>
              <w:end w:w="120" w:type="dxa"/>
            </w:tcMar>
          </w:tcPr>
          <w:p>
            <w:pPr>
              <w:spacing w:after="0" w:before="0"/>
            </w:pPr>
            <w:r/>
            <w:r>
              <w:rPr>
                <w:rFonts w:ascii="Calibri" w:hAnsi="Calibri"/>
                <w:b w:val="0"/>
                <w:color w:val="000000"/>
                <w:sz w:val="17"/>
              </w:rPr>
              <w:t>query_units</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NO_EFFECT_FALLBACK</w:t>
            </w:r>
          </w:p>
        </w:tc>
        <w:tc>
          <w:tcPr>
            <w:tcW w:type="dxa" w:w="2700"/>
            <w:vAlign w:val="center"/>
            <w:tcMar>
              <w:top w:w="80" w:type="dxa"/>
              <w:start w:w="120" w:type="dxa"/>
              <w:bottom w:w="80" w:type="dxa"/>
              <w:end w:w="120" w:type="dxa"/>
            </w:tcMar>
          </w:tcPr>
          <w:p>
            <w:pPr>
              <w:spacing w:after="0" w:before="0"/>
            </w:pPr>
            <w:r/>
            <w:r>
              <w:rPr>
                <w:rFonts w:ascii="Calibri" w:hAnsi="Calibri"/>
                <w:b w:val="0"/>
                <w:color w:val="000000"/>
                <w:sz w:val="17"/>
              </w:rPr>
              <w:t>NO_EFFECT</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0</w:t>
            </w:r>
          </w:p>
        </w:tc>
        <w:tc>
          <w:tcPr>
            <w:tcW w:type="dxa" w:w="2460"/>
            <w:vAlign w:val="center"/>
            <w:tcMar>
              <w:top w:w="80" w:type="dxa"/>
              <w:start w:w="120" w:type="dxa"/>
              <w:bottom w:w="80" w:type="dxa"/>
              <w:end w:w="120" w:type="dxa"/>
            </w:tcMar>
          </w:tcPr>
          <w:p>
            <w:pPr>
              <w:spacing w:after="0" w:before="0"/>
            </w:pPr>
            <w:r/>
            <w:r>
              <w:rPr>
                <w:rFonts w:ascii="Calibri" w:hAnsi="Calibri"/>
                <w:b w:val="0"/>
                <w:color w:val="000000"/>
                <w:sz w:val="17"/>
              </w:rPr>
              <w:t>None</w:t>
            </w:r>
          </w:p>
        </w:tc>
      </w:tr>
    </w:tbl>
    <w:p>
      <w:pPr>
        <w:spacing w:after="0"/>
      </w:pPr>
    </w:p>
    <w:tbl>
      <w:tblPr>
        <w:tblW w:type="dxa" w:w="9360"/>
        <w:jc w:val="center"/>
        <w:tblLayout w:type="fixed"/>
        <w:tblLook w:firstColumn="1" w:firstRow="1" w:lastColumn="0" w:lastRow="0" w:noHBand="0" w:noVBand="1" w:val="04A0"/>
        <w:tblInd w:w="180" w:type="dxa"/>
      </w:tblPr>
      <w:tblGrid>
        <w:gridCol w:w="9360"/>
      </w:tblGrid>
      <w:tr>
        <w:tc>
          <w:tcPr>
            <w:tcW w:type="dxa" w:w="9360"/>
            <w:shd w:fill="FFF2CC"/>
            <w:tcMar>
              <w:top w:w="140" w:type="dxa"/>
              <w:start w:w="180" w:type="dxa"/>
              <w:bottom w:w="140" w:type="dxa"/>
              <w:end w:w="180" w:type="dxa"/>
            </w:tcMar>
          </w:tcPr>
          <w:p>
            <w:pPr>
              <w:spacing w:before="60" w:after="60"/>
            </w:pPr>
            <w:r/>
            <w:r>
              <w:rPr>
                <w:rFonts w:ascii="Calibri" w:hAnsi="Calibri"/>
                <w:b/>
                <w:color w:val="7F6000"/>
                <w:sz w:val="20"/>
              </w:rPr>
              <w:t xml:space="preserve">BANK LIMITS  </w:t>
            </w:r>
            <w:r>
              <w:rPr>
                <w:rFonts w:ascii="Calibri" w:hAnsi="Calibri"/>
                <w:sz w:val="20"/>
              </w:rPr>
              <w:t>Per-payment and aggregate currency limits are banking resource controls. They are not the NC2.5 structural selector budget.</w:t>
            </w:r>
          </w:p>
        </w:tc>
      </w:tr>
    </w:tbl>
    <w:p>
      <w:pPr>
        <w:spacing w:after="0"/>
      </w:pPr>
    </w:p>
    <w:p>
      <w:pPr>
        <w:pStyle w:val="Heading2"/>
      </w:pPr>
      <w:r>
        <w:t>9.3 Synthetic banking allowed path</w:t>
      </w:r>
    </w:p>
    <w:p>
      <w:pPr>
        <w:pStyle w:val="ListNumber"/>
        <w:numPr>
          <w:ilvl w:val="0"/>
          <w:numId w:val="11"/>
        </w:numPr>
      </w:pPr>
      <w:r>
        <w:t>Activate the banking profile and synthetic connection declaration.</w:t>
      </w:r>
    </w:p>
    <w:p>
      <w:pPr>
        <w:pStyle w:val="ListNumber"/>
        <w:numPr>
          <w:ilvl w:val="0"/>
          <w:numId w:val="11"/>
        </w:numPr>
      </w:pPr>
      <w:r>
        <w:t>Issue the synthetic workload grant for the declared actions and targets.</w:t>
      </w:r>
    </w:p>
    <w:p>
      <w:pPr>
        <w:pStyle w:val="ListNumber"/>
        <w:numPr>
          <w:ilvl w:val="0"/>
          <w:numId w:val="11"/>
        </w:numPr>
      </w:pPr>
      <w:r>
        <w:t>Submit BANK_PAYMENT_POST with 12,500 GBP minor units, exact scope, current-state hash, and three evaluator-resolved valid evidence items.</w:t>
      </w:r>
    </w:p>
    <w:p>
      <w:pPr>
        <w:pStyle w:val="ListNumber"/>
        <w:numPr>
          <w:ilvl w:val="0"/>
          <w:numId w:val="11"/>
        </w:numPr>
      </w:pPr>
      <w:r>
        <w:t>Verify structural capacity and the domain resource window.</w:t>
      </w:r>
    </w:p>
    <w:p>
      <w:pPr>
        <w:pStyle w:val="ListNumber"/>
        <w:numPr>
          <w:ilvl w:val="0"/>
          <w:numId w:val="11"/>
        </w:numPr>
      </w:pPr>
      <w:r>
        <w:t>Receive ALLOW with a permit hash and expiry; no gate internals are returned.</w:t>
      </w:r>
    </w:p>
    <w:p>
      <w:pPr>
        <w:pStyle w:val="ListNumber"/>
        <w:numPr>
          <w:ilvl w:val="0"/>
          <w:numId w:val="11"/>
        </w:numPr>
      </w:pPr>
      <w:r>
        <w:t>Consume the permit once with the same binding and state anchor.</w:t>
      </w:r>
    </w:p>
    <w:p>
      <w:pPr>
        <w:pStyle w:val="ListNumber"/>
        <w:numPr>
          <w:ilvl w:val="0"/>
          <w:numId w:val="11"/>
        </w:numPr>
      </w:pPr>
      <w:r>
        <w:t>Record a structural debit of 100, a domain debit of 12,500, and a signed receipt.</w:t>
      </w:r>
    </w:p>
    <w:p>
      <w:pPr>
        <w:pStyle w:val="Heading2"/>
      </w:pPr>
      <w:r>
        <w:t>9.4 Document-release reference profile</w:t>
      </w:r>
    </w:p>
    <w:p>
      <w:r>
        <w:t>The second complete profile maps an approved document release to the same protocol mechanics without importing banking actions or limits. It demonstrates evaluate-to-commit reuse for another declared domain; it is not a proof of arbitrary domain admission.</w:t>
      </w:r>
    </w:p>
    <w:tbl>
      <w:tblPr>
        <w:tblStyle w:val="TableGrid"/>
        <w:tblW w:type="dxa" w:w="9360"/>
        <w:jc w:val="center"/>
        <w:tblLayout w:type="fixed"/>
        <w:tblLook w:firstColumn="1" w:firstRow="1" w:lastColumn="0" w:lastRow="0" w:noHBand="0" w:noVBand="1" w:val="04A0"/>
        <w:tblInd w:w="120" w:type="dxa"/>
      </w:tblPr>
      <w:tblGrid>
        <w:gridCol w:w="2600"/>
        <w:gridCol w:w="3000"/>
        <w:gridCol w:w="1600"/>
        <w:gridCol w:w="2160"/>
      </w:tblGrid>
      <w:tr>
        <w:trPr>
          <w:tblHeader w:val="true"/>
          <w:cantSplit/>
        </w:trPr>
        <w:tc>
          <w:tcPr>
            <w:tcW w:type="dxa" w:w="2600"/>
            <w:shd w:fill="F2F4F7"/>
            <w:vAlign w:val="center"/>
            <w:tcMar>
              <w:top w:w="80" w:type="dxa"/>
              <w:start w:w="120" w:type="dxa"/>
              <w:bottom w:w="80" w:type="dxa"/>
              <w:end w:w="120" w:type="dxa"/>
            </w:tcMar>
          </w:tcPr>
          <w:p>
            <w:pPr>
              <w:keepNext/>
              <w:spacing w:after="0" w:before="0"/>
            </w:pPr>
            <w:r/>
            <w:r>
              <w:rPr>
                <w:rFonts w:ascii="Calibri" w:hAnsi="Calibri"/>
                <w:b/>
                <w:color w:val="17365D"/>
                <w:sz w:val="17"/>
              </w:rPr>
              <w:t>Action</w:t>
            </w:r>
          </w:p>
        </w:tc>
        <w:tc>
          <w:tcPr>
            <w:tcW w:type="dxa" w:w="3000"/>
            <w:shd w:fill="F2F4F7"/>
            <w:vAlign w:val="center"/>
            <w:tcMar>
              <w:top w:w="80" w:type="dxa"/>
              <w:start w:w="120" w:type="dxa"/>
              <w:bottom w:w="80" w:type="dxa"/>
              <w:end w:w="120" w:type="dxa"/>
            </w:tcMar>
          </w:tcPr>
          <w:p>
            <w:pPr>
              <w:keepNext/>
              <w:spacing w:after="0" w:before="0"/>
            </w:pPr>
            <w:r/>
            <w:r>
              <w:rPr>
                <w:rFonts w:ascii="Calibri" w:hAnsi="Calibri"/>
                <w:b/>
                <w:color w:val="17365D"/>
                <w:sz w:val="17"/>
              </w:rPr>
              <w:t>Effect</w:t>
            </w:r>
          </w:p>
        </w:tc>
        <w:tc>
          <w:tcPr>
            <w:tcW w:type="dxa" w:w="1600"/>
            <w:shd w:fill="F2F4F7"/>
            <w:vAlign w:val="center"/>
            <w:tcMar>
              <w:top w:w="80" w:type="dxa"/>
              <w:start w:w="120" w:type="dxa"/>
              <w:bottom w:w="80" w:type="dxa"/>
              <w:end w:w="120" w:type="dxa"/>
            </w:tcMar>
          </w:tcPr>
          <w:p>
            <w:pPr>
              <w:keepNext/>
              <w:spacing w:after="0" w:before="0"/>
            </w:pPr>
            <w:r/>
            <w:r>
              <w:rPr>
                <w:rFonts w:ascii="Calibri" w:hAnsi="Calibri"/>
                <w:b/>
                <w:color w:val="17365D"/>
                <w:sz w:val="17"/>
              </w:rPr>
              <w:t>Structural cost</w:t>
            </w:r>
          </w:p>
        </w:tc>
        <w:tc>
          <w:tcPr>
            <w:tcW w:type="dxa" w:w="2160"/>
            <w:shd w:fill="F2F4F7"/>
            <w:vAlign w:val="center"/>
            <w:tcMar>
              <w:top w:w="80" w:type="dxa"/>
              <w:start w:w="120" w:type="dxa"/>
              <w:bottom w:w="80" w:type="dxa"/>
              <w:end w:w="120" w:type="dxa"/>
            </w:tcMar>
          </w:tcPr>
          <w:p>
            <w:pPr>
              <w:keepNext/>
              <w:spacing w:after="0" w:before="0"/>
            </w:pPr>
            <w:r/>
            <w:r>
              <w:rPr>
                <w:rFonts w:ascii="Calibri" w:hAnsi="Calibri"/>
                <w:b/>
                <w:color w:val="17365D"/>
                <w:sz w:val="17"/>
              </w:rPr>
              <w:t>Domain resource</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DOCUMENT_RELEASE</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7"/>
              </w:rPr>
              <w:t>DOCUMENT_STATE_MUTATION</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40</w:t>
            </w:r>
          </w:p>
        </w:tc>
        <w:tc>
          <w:tcPr>
            <w:tcW w:type="dxa" w:w="2160"/>
            <w:vAlign w:val="center"/>
            <w:tcMar>
              <w:top w:w="80" w:type="dxa"/>
              <w:start w:w="120" w:type="dxa"/>
              <w:bottom w:w="80" w:type="dxa"/>
              <w:end w:w="120" w:type="dxa"/>
            </w:tcMar>
          </w:tcPr>
          <w:p>
            <w:pPr>
              <w:spacing w:after="0" w:before="0"/>
            </w:pPr>
            <w:r/>
            <w:r>
              <w:rPr>
                <w:rFonts w:ascii="Calibri" w:hAnsi="Calibri"/>
                <w:b w:val="0"/>
                <w:color w:val="000000"/>
                <w:sz w:val="17"/>
              </w:rPr>
              <w:t>document_units</w:t>
            </w:r>
          </w:p>
        </w:tc>
      </w:tr>
      <w:tr>
        <w:trPr>
          <w:cantSplit/>
        </w:trPr>
        <w:tc>
          <w:tcPr>
            <w:tcW w:type="dxa" w:w="2600"/>
            <w:vAlign w:val="center"/>
            <w:tcMar>
              <w:top w:w="80" w:type="dxa"/>
              <w:start w:w="120" w:type="dxa"/>
              <w:bottom w:w="80" w:type="dxa"/>
              <w:end w:w="120" w:type="dxa"/>
            </w:tcMar>
          </w:tcPr>
          <w:p>
            <w:pPr>
              <w:spacing w:after="0" w:before="0"/>
            </w:pPr>
            <w:r/>
            <w:r>
              <w:rPr>
                <w:rFonts w:ascii="Calibri" w:hAnsi="Calibri"/>
                <w:b w:val="0"/>
                <w:color w:val="000000"/>
                <w:sz w:val="17"/>
              </w:rPr>
              <w:t>NO_EFFECT_FALLBACK</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7"/>
              </w:rPr>
              <w:t>NO_EFFECT</w:t>
            </w:r>
          </w:p>
        </w:tc>
        <w:tc>
          <w:tcPr>
            <w:tcW w:type="dxa" w:w="1600"/>
            <w:vAlign w:val="center"/>
            <w:tcMar>
              <w:top w:w="80" w:type="dxa"/>
              <w:start w:w="120" w:type="dxa"/>
              <w:bottom w:w="80" w:type="dxa"/>
              <w:end w:w="120" w:type="dxa"/>
            </w:tcMar>
          </w:tcPr>
          <w:p>
            <w:pPr>
              <w:spacing w:after="0" w:before="0"/>
            </w:pPr>
            <w:r/>
            <w:r>
              <w:rPr>
                <w:rFonts w:ascii="Calibri" w:hAnsi="Calibri"/>
                <w:b w:val="0"/>
                <w:color w:val="000000"/>
                <w:sz w:val="17"/>
              </w:rPr>
              <w:t>0</w:t>
            </w:r>
          </w:p>
        </w:tc>
        <w:tc>
          <w:tcPr>
            <w:tcW w:type="dxa" w:w="2160"/>
            <w:vAlign w:val="center"/>
            <w:tcMar>
              <w:top w:w="80" w:type="dxa"/>
              <w:start w:w="120" w:type="dxa"/>
              <w:bottom w:w="80" w:type="dxa"/>
              <w:end w:w="120" w:type="dxa"/>
            </w:tcMar>
          </w:tcPr>
          <w:p>
            <w:pPr>
              <w:spacing w:after="0" w:before="0"/>
            </w:pPr>
            <w:r/>
            <w:r>
              <w:rPr>
                <w:rFonts w:ascii="Calibri" w:hAnsi="Calibri"/>
                <w:b w:val="0"/>
                <w:color w:val="000000"/>
                <w:sz w:val="17"/>
              </w:rPr>
              <w:t>None</w:t>
            </w:r>
          </w:p>
        </w:tc>
      </w:tr>
    </w:tbl>
    <w:p>
      <w:pPr>
        <w:spacing w:after="0"/>
      </w:pPr>
    </w:p>
    <w:p>
      <w:pPr>
        <w:pStyle w:val="Heading2"/>
      </w:pPr>
      <w:r>
        <w:t>9.5 OTCS registry bridge</w:t>
      </w:r>
    </w:p>
    <w:p>
      <w:r>
        <w:t>The OTCS bridge is built inside this ledger. The active NC2.5 profile and declaration define the admissibility atmosphere, and the NC2.5 evaluator alone issues ALLOW, REFUSAL, or MANUAL_REVIEW. OTCS does not supply an admissibility verdict: it supplies typed rights, consent, operating-grant, mark-permission, and expected-head facts, then performs a compare-and-swap append only under a live NC2.5 permit.</w:t>
      </w:r>
    </w:p>
    <w:tbl>
      <w:tblPr>
        <w:tblStyle w:val="TableGrid"/>
        <w:tblW w:type="dxa" w:w="9360"/>
        <w:jc w:val="center"/>
        <w:tblLayout w:type="fixed"/>
        <w:tblLook w:firstColumn="1" w:firstRow="1" w:lastColumn="0" w:lastRow="0" w:noHBand="0" w:noVBand="1" w:val="04A0"/>
        <w:tblInd w:w="120" w:type="dxa"/>
      </w:tblPr>
      <w:tblGrid>
        <w:gridCol w:w="2100"/>
        <w:gridCol w:w="1900"/>
        <w:gridCol w:w="5360"/>
      </w:tblGrid>
      <w:tr>
        <w:trPr>
          <w:tblHeader w:val="true"/>
          <w:cantSplit/>
        </w:trPr>
        <w:tc>
          <w:tcPr>
            <w:tcW w:type="dxa" w:w="2100"/>
            <w:shd w:fill="F2F4F7"/>
            <w:vAlign w:val="center"/>
            <w:tcMar>
              <w:top w:w="80" w:type="dxa"/>
              <w:start w:w="120" w:type="dxa"/>
              <w:bottom w:w="80" w:type="dxa"/>
              <w:end w:w="120" w:type="dxa"/>
            </w:tcMar>
          </w:tcPr>
          <w:p>
            <w:pPr>
              <w:keepNext/>
              <w:spacing w:after="0" w:before="0"/>
            </w:pPr>
            <w:r/>
            <w:r>
              <w:rPr>
                <w:rFonts w:ascii="Calibri" w:hAnsi="Calibri"/>
                <w:b/>
                <w:color w:val="17365D"/>
                <w:sz w:val="16"/>
              </w:rPr>
              <w:t>Boundary</w:t>
            </w:r>
          </w:p>
        </w:tc>
        <w:tc>
          <w:tcPr>
            <w:tcW w:type="dxa" w:w="1900"/>
            <w:shd w:fill="F2F4F7"/>
            <w:vAlign w:val="center"/>
            <w:tcMar>
              <w:top w:w="80" w:type="dxa"/>
              <w:start w:w="120" w:type="dxa"/>
              <w:bottom w:w="80" w:type="dxa"/>
              <w:end w:w="120" w:type="dxa"/>
            </w:tcMar>
          </w:tcPr>
          <w:p>
            <w:pPr>
              <w:keepNext/>
              <w:spacing w:after="0" w:before="0"/>
            </w:pPr>
            <w:r/>
            <w:r>
              <w:rPr>
                <w:rFonts w:ascii="Calibri" w:hAnsi="Calibri"/>
                <w:b/>
                <w:color w:val="17365D"/>
                <w:sz w:val="16"/>
              </w:rPr>
              <w:t>Owner</w:t>
            </w:r>
          </w:p>
        </w:tc>
        <w:tc>
          <w:tcPr>
            <w:tcW w:type="dxa" w:w="5360"/>
            <w:shd w:fill="F2F4F7"/>
            <w:vAlign w:val="center"/>
            <w:tcMar>
              <w:top w:w="80" w:type="dxa"/>
              <w:start w:w="120" w:type="dxa"/>
              <w:bottom w:w="80" w:type="dxa"/>
              <w:end w:w="120" w:type="dxa"/>
            </w:tcMar>
          </w:tcPr>
          <w:p>
            <w:pPr>
              <w:keepNext/>
              <w:spacing w:after="0" w:before="0"/>
            </w:pPr>
            <w:r/>
            <w:r>
              <w:rPr>
                <w:rFonts w:ascii="Calibri" w:hAnsi="Calibri"/>
                <w:b/>
                <w:color w:val="17365D"/>
                <w:sz w:val="16"/>
              </w:rPr>
              <w:t>Invariant</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Admissibility</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 ledger</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Only the active profile/declaration and local evaluator can issue an executable permit</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Domain facts</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OTCS</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RFC 8785 digests and the expected project head are treated as typed, opaque evidence</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External mutation</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OTCS</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One project-scoped idempotent compare-and-swap append under the supplied permit</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Execution receipt</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 ledger</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The exact OTCS receipt digest is sealed into the EXECUTION_RECORDED event</w:t>
            </w:r>
          </w:p>
        </w:tc>
      </w:tr>
      <w:tr>
        <w:trPr>
          <w:cantSplit/>
        </w:trPr>
        <w:tc>
          <w:tcPr>
            <w:tcW w:type="dxa" w:w="2100"/>
            <w:vAlign w:val="center"/>
            <w:tcMar>
              <w:top w:w="80" w:type="dxa"/>
              <w:start w:w="120" w:type="dxa"/>
              <w:bottom w:w="80" w:type="dxa"/>
              <w:end w:w="120" w:type="dxa"/>
            </w:tcMar>
          </w:tcPr>
          <w:p>
            <w:pPr>
              <w:spacing w:after="0" w:before="0"/>
            </w:pPr>
            <w:r/>
            <w:r>
              <w:rPr>
                <w:rFonts w:ascii="Calibri" w:hAnsi="Calibri"/>
                <w:b w:val="0"/>
                <w:color w:val="000000"/>
                <w:sz w:val="16"/>
              </w:rPr>
              <w:t>Crash recovery</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Local SQLite outbox</w:t>
            </w:r>
          </w:p>
        </w:tc>
        <w:tc>
          <w:tcPr>
            <w:tcW w:type="dxa" w:w="5360"/>
            <w:vAlign w:val="center"/>
            <w:tcMar>
              <w:top w:w="80" w:type="dxa"/>
              <w:start w:w="120" w:type="dxa"/>
              <w:bottom w:w="80" w:type="dxa"/>
              <w:end w:w="120" w:type="dxa"/>
            </w:tcMar>
          </w:tcPr>
          <w:p>
            <w:pPr>
              <w:spacing w:after="0" w:before="0"/>
            </w:pPr>
            <w:r/>
            <w:r>
              <w:rPr>
                <w:rFonts w:ascii="Calibri" w:hAnsi="Calibri"/>
                <w:b w:val="0"/>
                <w:color w:val="000000"/>
                <w:sz w:val="16"/>
              </w:rPr>
              <w:t>A dead PREPARED permit stops before OTCS; CALLING or AMBIGUOUS replays only with a live permit, otherwise RECONCILIATION_REQUIRED; committed effects are never re-authorized</w:t>
            </w:r>
          </w:p>
        </w:tc>
      </w:tr>
    </w:tbl>
    <w:p>
      <w:pPr>
        <w:spacing w:after="0"/>
      </w:pPr>
    </w:p>
    <w:p>
      <w:pPr>
        <w:pStyle w:val="ListNumber"/>
        <w:numPr>
          <w:ilvl w:val="0"/>
          <w:numId w:val="12"/>
        </w:numPr>
      </w:pPr>
      <w:r>
        <w:t>Read the current OTCS project head and typed legal receipts.</w:t>
      </w:r>
    </w:p>
    <w:p>
      <w:pPr>
        <w:pStyle w:val="ListNumber"/>
        <w:numPr>
          <w:ilvl w:val="0"/>
          <w:numId w:val="12"/>
        </w:numPr>
      </w:pPr>
      <w:r>
        <w:t>Build an NC2.5 intent and evidence bundle bound to those hashes.</w:t>
      </w:r>
    </w:p>
    <w:p>
      <w:pPr>
        <w:pStyle w:val="ListNumber"/>
        <w:numPr>
          <w:ilvl w:val="0"/>
          <w:numId w:val="12"/>
        </w:numPr>
      </w:pPr>
      <w:r>
        <w:t>Bind the complete append operation into the evidence submitted for local evaluation.</w:t>
      </w:r>
    </w:p>
    <w:p>
      <w:pPr>
        <w:pStyle w:val="ListNumber"/>
        <w:numPr>
          <w:ilvl w:val="0"/>
          <w:numId w:val="12"/>
        </w:numPr>
      </w:pPr>
      <w:r>
        <w:t>Evaluate locally; only on ALLOW persist the permitted request with its original intent/evidence snapshot. Otherwise stop without contacting OTCS.</w:t>
      </w:r>
    </w:p>
    <w:p>
      <w:pPr>
        <w:pStyle w:val="ListNumber"/>
        <w:numPr>
          <w:ilvl w:val="0"/>
          <w:numId w:val="12"/>
        </w:numPr>
      </w:pPr>
      <w:r>
        <w:t>Before execution or recovery, verify that snapshot and operation against the durable engine's authenticated submitted decision and recheck their agreement under the bridge's intent and evidence rules. Recheck every transition snapshot; exclude local admission data from the OTCS request.</w:t>
      </w:r>
    </w:p>
    <w:p>
      <w:pPr>
        <w:pStyle w:val="ListNumber"/>
        <w:numPr>
          <w:ilvl w:val="0"/>
          <w:numId w:val="12"/>
        </w:numPr>
      </w:pPr>
      <w:r>
        <w:t>Immediately before a first OTCS call, revalidate the row's profile/declaration binding and permit; a dead PREPARED permit becomes NOT_EXECUTED without an external call.</w:t>
      </w:r>
    </w:p>
    <w:p>
      <w:pPr>
        <w:pStyle w:val="ListNumber"/>
        <w:numPr>
          <w:ilvl w:val="0"/>
          <w:numId w:val="12"/>
        </w:numPr>
      </w:pPr>
      <w:r>
        <w:t>Ask OTCS to compare-and-swap the expected head. The production port verifies the receipt signature and inclusion proof before returning it.</w:t>
      </w:r>
    </w:p>
    <w:p>
      <w:pPr>
        <w:pStyle w:val="ListNumber"/>
        <w:numPr>
          <w:ilvl w:val="0"/>
          <w:numId w:val="12"/>
        </w:numPr>
      </w:pPr>
      <w:r>
        <w:t>After an ambiguous CALLING state, replay the exact request only with a live permit. For CALLING or AMBIGUOUS with a dead permit, stop in RECONCILIATION_REQUIRED without another OTCS call.</w:t>
      </w:r>
    </w:p>
    <w:p>
      <w:pPr>
        <w:pStyle w:val="ListNumber"/>
        <w:numPr>
          <w:ilvl w:val="0"/>
          <w:numId w:val="12"/>
        </w:numPr>
      </w:pPr>
      <w:r>
        <w:t>Bind the OTCS receipt digest into the local execution event; route a late local-finalization failure to reconciliation instead of inventing a new authorization.</w:t>
      </w:r>
    </w:p>
    <w:tbl>
      <w:tblPr>
        <w:tblW w:type="dxa" w:w="9360"/>
        <w:jc w:val="center"/>
        <w:tblLayout w:type="fixed"/>
        <w:tblLook w:firstColumn="1" w:firstRow="1" w:lastColumn="0" w:lastRow="0" w:noHBand="0" w:noVBand="1" w:val="04A0"/>
        <w:tblInd w:w="180" w:type="dxa"/>
      </w:tblPr>
      <w:tblGrid>
        <w:gridCol w:w="9360"/>
      </w:tblGrid>
      <w:tr>
        <w:tc>
          <w:tcPr>
            <w:tcW w:type="dxa" w:w="9360"/>
            <w:shd w:fill="FFF2CC"/>
            <w:tcMar>
              <w:top w:w="140" w:type="dxa"/>
              <w:start w:w="180" w:type="dxa"/>
              <w:bottom w:w="140" w:type="dxa"/>
              <w:end w:w="180" w:type="dxa"/>
            </w:tcMar>
          </w:tcPr>
          <w:p>
            <w:pPr>
              <w:spacing w:before="60" w:after="60"/>
            </w:pPr>
            <w:r/>
            <w:r>
              <w:rPr>
                <w:rFonts w:ascii="Calibri" w:hAnsi="Calibri"/>
                <w:b/>
                <w:color w:val="7F6000"/>
                <w:sz w:val="20"/>
              </w:rPr>
              <w:t xml:space="preserve">AUTHORITY BOUNDARY  </w:t>
            </w:r>
            <w:r>
              <w:rPr>
                <w:rFonts w:ascii="Calibri" w:hAnsi="Calibri"/>
                <w:sz w:val="20"/>
              </w:rPr>
              <w:t>Legacy outbox rows without an admission snapshot are refused with OTCS_OUTBOX_ADMISSION and require operator reconciliation. The binding trusts the durable engine and its authentication keys; it is not a MAC over all outbox state or a downstream receipt seal. A stale OTCS head is an execution failure against changed state, not a new OTCS admission decision. A retry must obtain a fresh state anchor and pass NC2.5 evaluation again.</w:t>
            </w:r>
          </w:p>
        </w:tc>
      </w:tr>
    </w:tbl>
    <w:p>
      <w:pPr>
        <w:spacing w:after="0"/>
      </w:pPr>
    </w:p>
    <w:p>
      <w:pPr>
        <w:pStyle w:val="Heading1"/>
      </w:pPr>
      <w:r>
        <w:t>10. API contract</w:t>
      </w:r>
    </w:p>
    <w:tbl>
      <w:tblPr>
        <w:tblStyle w:val="TableGrid"/>
        <w:tblW w:type="dxa" w:w="9360"/>
        <w:jc w:val="center"/>
        <w:tblLayout w:type="fixed"/>
        <w:tblLook w:firstColumn="1" w:firstRow="1" w:lastColumn="0" w:lastRow="0" w:noHBand="0" w:noVBand="1" w:val="04A0"/>
        <w:tblInd w:w="120" w:type="dxa"/>
      </w:tblPr>
      <w:tblGrid>
        <w:gridCol w:w="3900"/>
        <w:gridCol w:w="1900"/>
        <w:gridCol w:w="3560"/>
      </w:tblGrid>
      <w:tr>
        <w:trPr>
          <w:tblHeader w:val="true"/>
          <w:cantSplit/>
        </w:trPr>
        <w:tc>
          <w:tcPr>
            <w:tcW w:type="dxa" w:w="3900"/>
            <w:shd w:fill="F2F4F7"/>
            <w:vAlign w:val="center"/>
            <w:tcMar>
              <w:top w:w="80" w:type="dxa"/>
              <w:start w:w="120" w:type="dxa"/>
              <w:bottom w:w="80" w:type="dxa"/>
              <w:end w:w="120" w:type="dxa"/>
            </w:tcMar>
          </w:tcPr>
          <w:p>
            <w:pPr>
              <w:keepNext/>
              <w:spacing w:after="0" w:before="0"/>
            </w:pPr>
            <w:r/>
            <w:r>
              <w:rPr>
                <w:rFonts w:ascii="Calibri" w:hAnsi="Calibri"/>
                <w:b/>
                <w:color w:val="17365D"/>
                <w:sz w:val="16"/>
              </w:rPr>
              <w:t>Method and route</w:t>
            </w:r>
          </w:p>
        </w:tc>
        <w:tc>
          <w:tcPr>
            <w:tcW w:type="dxa" w:w="1900"/>
            <w:shd w:fill="F2F4F7"/>
            <w:vAlign w:val="center"/>
            <w:tcMar>
              <w:top w:w="80" w:type="dxa"/>
              <w:start w:w="120" w:type="dxa"/>
              <w:bottom w:w="80" w:type="dxa"/>
              <w:end w:w="120" w:type="dxa"/>
            </w:tcMar>
          </w:tcPr>
          <w:p>
            <w:pPr>
              <w:keepNext/>
              <w:spacing w:after="0" w:before="0"/>
            </w:pPr>
            <w:r/>
            <w:r>
              <w:rPr>
                <w:rFonts w:ascii="Calibri" w:hAnsi="Calibri"/>
                <w:b/>
                <w:color w:val="17365D"/>
                <w:sz w:val="16"/>
              </w:rPr>
              <w:t>Scope</w:t>
            </w:r>
          </w:p>
        </w:tc>
        <w:tc>
          <w:tcPr>
            <w:tcW w:type="dxa" w:w="3560"/>
            <w:shd w:fill="F2F4F7"/>
            <w:vAlign w:val="center"/>
            <w:tcMar>
              <w:top w:w="80" w:type="dxa"/>
              <w:start w:w="120" w:type="dxa"/>
              <w:bottom w:w="80" w:type="dxa"/>
              <w:end w:w="120" w:type="dxa"/>
            </w:tcMar>
          </w:tcPr>
          <w:p>
            <w:pPr>
              <w:keepNext/>
              <w:spacing w:after="0" w:before="0"/>
            </w:pPr>
            <w:r/>
            <w:r>
              <w:rPr>
                <w:rFonts w:ascii="Calibri" w:hAnsi="Calibri"/>
                <w:b/>
                <w:color w:val="17365D"/>
                <w:sz w:val="16"/>
              </w:rPr>
              <w:t>Purpose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/v1/declarations:activate</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nc25.governance</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Activate exact profile and declaration hashes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/v1/authority-grants</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nc25.governance</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Issue a scoped workload grant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/v1/authority-revocations</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nc25.governance</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Revoke a grant and outstanding permits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/v1/operator/intents:evaluate</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nc25.operator</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Evaluate intent and return minimal result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POST /v1/executor/permits/{permit_hash}:consume</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nc25.executor</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Consume a live permit exactly once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GET /v1/architect/permits/{permit_hash}</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Read post-event permit trace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GET /v1/architect/decisions/{request_hash}</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Read post-event decision trace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GET /v1/architect/ledger/head</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Verify append-only chain head</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GET /v1/registry/connectors/{connector_id}</w:t>
            </w:r>
          </w:p>
        </w:tc>
        <w:tc>
          <w:tcPr>
            <w:tcW w:type="dxa" w:w="1900"/>
            <w:vAlign w:val="center"/>
            <w:tcMar>
              <w:top w:w="80" w:type="dxa"/>
              <w:start w:w="120" w:type="dxa"/>
              <w:bottom w:w="80" w:type="dxa"/>
              <w:end w:w="120" w:type="dxa"/>
            </w:tcMar>
          </w:tcPr>
          <w:p>
            <w:pPr>
              <w:spacing w:after="0" w:before="0"/>
            </w:pPr>
            <w:r/>
            <w:r>
              <w:rPr>
                <w:rFonts w:ascii="Calibri" w:hAnsi="Calibri"/>
                <w:b w:val="0"/>
                <w:color w:val="000000"/>
                <w:sz w:val="16"/>
              </w:rPr>
              <w:t>nc25.architect</w:t>
            </w:r>
          </w:p>
        </w:tc>
        <w:tc>
          <w:tcPr>
            <w:tcW w:type="dxa" w:w="3560"/>
            <w:vAlign w:val="center"/>
            <w:tcMar>
              <w:top w:w="80" w:type="dxa"/>
              <w:start w:w="120" w:type="dxa"/>
              <w:bottom w:w="80" w:type="dxa"/>
              <w:end w:w="120" w:type="dxa"/>
            </w:tcMar>
          </w:tcPr>
          <w:p>
            <w:pPr>
              <w:spacing w:after="0" w:before="0"/>
            </w:pPr>
            <w:r/>
            <w:r>
              <w:rPr>
                <w:rFonts w:ascii="Calibri" w:hAnsi="Calibri"/>
                <w:b w:val="0"/>
                <w:color w:val="000000"/>
                <w:sz w:val="16"/>
              </w:rPr>
              <w:t>Read the exact connector hash-only projection or return 404</w:t>
            </w:r>
          </w:p>
        </w:tc>
      </w:tr>
    </w:tbl>
    <w:p>
      <w:pPr>
        <w:spacing w:after="0"/>
      </w:pPr>
    </w:p>
    <w:p>
      <w:pPr>
        <w:pStyle w:val="ListBullet"/>
      </w:pPr>
      <w:r>
        <w:t>Every route requires mTLS and a workload identity carrying the exact route scope.</w:t>
      </w:r>
    </w:p>
    <w:p>
      <w:pPr>
        <w:pStyle w:val="ListBullet"/>
      </w:pPr>
      <w:r>
        <w:t>Every public SDK operation requires an explicit actor_scope; omission fails closed, no method supplies its required role as a default, and production derives the scope from verified workload identity. Identifier, version, hash and role arguments require native Python str values so caller-defined equality cannot impersonate an actor.</w:t>
      </w:r>
    </w:p>
    <w:p>
      <w:pPr>
        <w:pStyle w:val="ListBullet"/>
      </w:pPr>
      <w:r>
        <w:t>Post-authorization resolver failures produce recorded REFUSAL/EXECUTION_DENIED with the submitted request hash and a consumed idempotency key. The architect decision names AUTHORITATIVE_RESOLUTION_FAILED; an exact retry preserves that refusal.</w:t>
      </w:r>
    </w:p>
    <w:p>
      <w:pPr>
        <w:pStyle w:val="ListBullet"/>
      </w:pPr>
      <w:r>
        <w:t>The runtime intent and evidence schemas are internal evaluator inputs; a production adapter ignores connector-asserted truth values and overwrites them with authoritative evidence resolution and independently derived controls.</w:t>
      </w:r>
    </w:p>
    <w:p>
      <w:pPr>
        <w:pStyle w:val="ListBullet"/>
      </w:pPr>
      <w:r>
        <w:t>Resolved evidence and derived controls are bound to the request and current-state anchor before evaluation.</w:t>
      </w:r>
    </w:p>
    <w:p>
      <w:pPr>
        <w:pStyle w:val="ListBullet"/>
      </w:pPr>
      <w:r>
        <w:t>The operator route requires an Idempotency-Key header exactly equal to intent.idempotency_key; mismatch is rejected before evaluation.</w:t>
      </w:r>
    </w:p>
    <w:p>
      <w:pPr>
        <w:pStyle w:val="ListBullet"/>
      </w:pPr>
      <w:r>
        <w:t>Wire SHA-256 inputs use exactly 64 hexadecimal characters in either case; the engine normalizes comparisons and emits canonical uppercase values.</w:t>
      </w:r>
    </w:p>
    <w:p>
      <w:pPr>
        <w:pStyle w:val="ListBullet"/>
      </w:pPr>
      <w:r>
        <w:t>The executor consume route requires the path permit_hash to equal execution_request.permit_hash. The adapter passes the path value as route_permit_hash to commit_execution; mismatch fails with EXECUTION_PERMIT_MISMATCH before lookup, replay, consumption, or debit.</w:t>
      </w:r>
    </w:p>
    <w:p>
      <w:pPr>
        <w:pStyle w:val="ListBullet"/>
      </w:pPr>
      <w:r>
        <w:t>The registry route passes its connector_id path selector to registry_record. A different or unknown selector fails with CONNECTOR_NOT_FOUND and maps to HTTP 404; the active connector record is never substituted.</w:t>
      </w:r>
    </w:p>
    <w:p>
      <w:pPr>
        <w:pStyle w:val="ListBullet"/>
      </w:pPr>
      <w:r>
        <w:t>If an in-process exception interrupts reference commit, the engine restores its pre-call state before re-raising. With state_path configured, SQLite serializes writers with BEGIN IMMEDIATE, commits permit consumption, debit, receipt, replay state, reservations, and the local event chain atomically for one node, and reloads one verified snapshot under the local lock for every public read.</w:t>
      </w:r>
    </w:p>
    <w:p>
      <w:pPr>
        <w:pStyle w:val="ListBullet"/>
      </w:pPr>
      <w:r>
        <w:t>Signer configuration is external runtime configuration. Reopening a state_path whose event chain contains Ed25519 envelopes requires a verifier-compatible event_signer with the same key_id; SQLite deliberately persists neither signer configuration nor private keys. Omitting the verifier, or supplying one that declares both an algorithm and a key_id and differs from the persisted envelope in either, fails closed with EVENT_SIGNER_REQUIRED. The EventSigner protocol requires only sign and verify, so a signer that does not declare both cannot be compared against the envelope at all; for such a signer the mismatch is not distinguished and reaches the caller as a chain verdict. A signer declaring the same key_id with different key material likewise cannot be told apart from a forged chain and so fails full-chain integrity verification.</w:t>
      </w:r>
    </w:p>
    <w:p>
      <w:pPr>
        <w:pStyle w:val="ListBullet"/>
      </w:pPr>
      <w:r>
        <w:t>External JSON Schema references define profile, declaration, and runtime payloads.</w:t>
      </w:r>
    </w:p>
    <w:p>
      <w:pPr>
        <w:pStyle w:val="ListBullet"/>
      </w:pPr>
      <w:r>
        <w:t>The HTTP adapter wraps the reference engine's primitive declaration and grant hashes into the response objects defined by OpenAPI.</w:t>
      </w:r>
    </w:p>
    <w:p>
      <w:pPr>
        <w:pStyle w:val="ListBullet"/>
      </w:pPr>
      <w:r>
        <w:t>A reference WSGI adapter (sdk/python/nc25_universal_adapter.py) implements every route and validates each POST body against the packaged JSON Schemas with pinned jsonschema before calling the engine. It reads the reference X-Workload-Scope header rather than the body; that header does not authenticate a principal. Production derives role and requester from verified workload identity. It binds the posted activation profile and declaration to the engine's sealed hashes, requires the Idempotency-Key header to equal intent.idempotency_key, binds the path permit hash to the body, and maps engine outcomes to the declared HTTP statuses. The engine's default paths are standard-library only; the optional Ed25519 signers require the pinned cryptography wheel and fail closed without it. Production replaces the scope header with mTLS plus scoped OAuth.</w:t>
      </w:r>
    </w:p>
    <w:p>
      <w:pPr>
        <w:pStyle w:val="ListBullet"/>
      </w:pPr>
      <w:r>
        <w:t>A contract error is distinct from a normalized non-executable business result.</w:t>
      </w:r>
    </w:p>
    <w:p>
      <w:pPr>
        <w:pStyle w:val="ListBullet"/>
      </w:pPr>
      <w:r>
        <w:t>Integrity failure returns no permit and requires an operational halt.</w:t>
      </w:r>
    </w:p>
    <w:p>
      <w:pPr>
        <w:pStyle w:val="Heading1"/>
      </w:pPr>
      <w:r>
        <w:t>11. Failure matrix</w:t>
      </w:r>
    </w:p>
    <w:tbl>
      <w:tblPr>
        <w:tblStyle w:val="TableGrid"/>
        <w:tblW w:type="dxa" w:w="9360"/>
        <w:jc w:val="center"/>
        <w:tblLayout w:type="fixed"/>
        <w:tblLook w:firstColumn="1" w:firstRow="1" w:lastColumn="0" w:lastRow="0" w:noHBand="0" w:noVBand="1" w:val="04A0"/>
        <w:tblInd w:w="120" w:type="dxa"/>
      </w:tblPr>
      <w:tblGrid>
        <w:gridCol w:w="3600"/>
        <w:gridCol w:w="2250"/>
        <w:gridCol w:w="2050"/>
        <w:gridCol w:w="1460"/>
      </w:tblGrid>
      <w:tr>
        <w:trPr>
          <w:tblHeader w:val="true"/>
          <w:cantSplit/>
        </w:trPr>
        <w:tc>
          <w:tcPr>
            <w:tcW w:type="dxa" w:w="3600"/>
            <w:shd w:fill="F2F4F7"/>
            <w:vAlign w:val="center"/>
            <w:tcMar>
              <w:top w:w="80" w:type="dxa"/>
              <w:start w:w="120" w:type="dxa"/>
              <w:bottom w:w="80" w:type="dxa"/>
              <w:end w:w="120" w:type="dxa"/>
            </w:tcMar>
          </w:tcPr>
          <w:p>
            <w:pPr>
              <w:keepNext/>
              <w:spacing w:after="0" w:before="0"/>
            </w:pPr>
            <w:r/>
            <w:r>
              <w:rPr>
                <w:rFonts w:ascii="Calibri" w:hAnsi="Calibri"/>
                <w:b/>
                <w:color w:val="17365D"/>
                <w:sz w:val="15"/>
              </w:rPr>
              <w:t>Condition</w:t>
            </w:r>
          </w:p>
        </w:tc>
        <w:tc>
          <w:tcPr>
            <w:tcW w:type="dxa" w:w="2250"/>
            <w:shd w:fill="F2F4F7"/>
            <w:vAlign w:val="center"/>
            <w:tcMar>
              <w:top w:w="80" w:type="dxa"/>
              <w:start w:w="120" w:type="dxa"/>
              <w:bottom w:w="80" w:type="dxa"/>
              <w:end w:w="120" w:type="dxa"/>
            </w:tcMar>
          </w:tcPr>
          <w:p>
            <w:pPr>
              <w:keepNext/>
              <w:spacing w:after="0" w:before="0"/>
            </w:pPr>
            <w:r/>
            <w:r>
              <w:rPr>
                <w:rFonts w:ascii="Calibri" w:hAnsi="Calibri"/>
                <w:b/>
                <w:color w:val="17365D"/>
                <w:sz w:val="15"/>
              </w:rPr>
              <w:t>Disposition / error</w:t>
            </w:r>
          </w:p>
        </w:tc>
        <w:tc>
          <w:tcPr>
            <w:tcW w:type="dxa" w:w="2050"/>
            <w:shd w:fill="F2F4F7"/>
            <w:vAlign w:val="center"/>
            <w:tcMar>
              <w:top w:w="80" w:type="dxa"/>
              <w:start w:w="120" w:type="dxa"/>
              <w:bottom w:w="80" w:type="dxa"/>
              <w:end w:w="120" w:type="dxa"/>
            </w:tcMar>
          </w:tcPr>
          <w:p>
            <w:pPr>
              <w:keepNext/>
              <w:spacing w:after="0" w:before="0"/>
            </w:pPr>
            <w:r/>
            <w:r>
              <w:rPr>
                <w:rFonts w:ascii="Calibri" w:hAnsi="Calibri"/>
                <w:b/>
                <w:color w:val="17365D"/>
                <w:sz w:val="15"/>
              </w:rPr>
              <w:t>Gate engaged</w:t>
            </w:r>
          </w:p>
        </w:tc>
        <w:tc>
          <w:tcPr>
            <w:tcW w:type="dxa" w:w="1460"/>
            <w:shd w:fill="F2F4F7"/>
            <w:vAlign w:val="center"/>
            <w:tcMar>
              <w:top w:w="80" w:type="dxa"/>
              <w:start w:w="120" w:type="dxa"/>
              <w:bottom w:w="80" w:type="dxa"/>
              <w:end w:w="120" w:type="dxa"/>
            </w:tcMar>
          </w:tcPr>
          <w:p>
            <w:pPr>
              <w:keepNext/>
              <w:spacing w:after="0" w:before="0"/>
            </w:pPr>
            <w:r/>
            <w:r>
              <w:rPr>
                <w:rFonts w:ascii="Calibri" w:hAnsi="Calibri"/>
                <w:b/>
                <w:color w:val="17365D"/>
                <w:sz w:val="15"/>
              </w:rPr>
              <w:t>Permit</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Missing required evidence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Structurally valid evidence with INVALID, REVOKED, or EXPIRED status</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Malformed submitted evidence object, hash, reference, or unknown status</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Contract error / halt</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 decision</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Resolver failure or malformed/future authoritative output</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Ambiguous request</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MANUAL_REVIEW</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Manual-review flag true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MANUAL_REVIEW</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Hard-block flag true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Binding, authority, action-target pairing, or scope mismatch</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Structural capacity unavailable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Yes; structural=0</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Domain resource rule or window unavailable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REFUSAL</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Yes; effect=0</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Idempotency key reused with changed request</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Conflict</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 new evaluation</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Grant revoked before commit</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Commit rejected</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Prior result invalidated</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 usable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State anchor changed</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Commit rejected</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Prior result invalidated</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 usable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Permit expired, tampered, or consumed</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Commit rejected</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 new evaluation</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 usable</w:t>
            </w:r>
          </w:p>
        </w:tc>
      </w:tr>
      <w:tr>
        <w:trPr>
          <w:cantSplit/>
        </w:trPr>
        <w:tc>
          <w:tcPr>
            <w:tcW w:type="dxa" w:w="3600"/>
            <w:vAlign w:val="center"/>
            <w:tcMar>
              <w:top w:w="80" w:type="dxa"/>
              <w:start w:w="120" w:type="dxa"/>
              <w:bottom w:w="80" w:type="dxa"/>
              <w:end w:w="120" w:type="dxa"/>
            </w:tcMar>
          </w:tcPr>
          <w:p>
            <w:pPr>
              <w:spacing w:after="0" w:before="0"/>
            </w:pPr>
            <w:r/>
            <w:r>
              <w:rPr>
                <w:rFonts w:ascii="Calibri" w:hAnsi="Calibri"/>
                <w:b w:val="0"/>
                <w:color w:val="000000"/>
                <w:sz w:val="15"/>
              </w:rPr>
              <w:t>Profile, declaration, or ledger integrity failure</w:t>
            </w:r>
          </w:p>
        </w:tc>
        <w:tc>
          <w:tcPr>
            <w:tcW w:type="dxa" w:w="2250"/>
            <w:vAlign w:val="center"/>
            <w:tcMar>
              <w:top w:w="80" w:type="dxa"/>
              <w:start w:w="120" w:type="dxa"/>
              <w:bottom w:w="80" w:type="dxa"/>
              <w:end w:w="120" w:type="dxa"/>
            </w:tcMar>
          </w:tcPr>
          <w:p>
            <w:pPr>
              <w:spacing w:after="0" w:before="0"/>
            </w:pPr>
            <w:r/>
            <w:r>
              <w:rPr>
                <w:rFonts w:ascii="Calibri" w:hAnsi="Calibri"/>
                <w:b w:val="0"/>
                <w:color w:val="000000"/>
                <w:sz w:val="15"/>
              </w:rPr>
              <w:t>Transport-level halt; no operator result</w:t>
            </w:r>
          </w:p>
        </w:tc>
        <w:tc>
          <w:tcPr>
            <w:tcW w:type="dxa" w:w="2050"/>
            <w:vAlign w:val="center"/>
            <w:tcMar>
              <w:top w:w="80" w:type="dxa"/>
              <w:start w:w="120" w:type="dxa"/>
              <w:bottom w:w="80" w:type="dxa"/>
              <w:end w:w="120" w:type="dxa"/>
            </w:tcMar>
          </w:tcPr>
          <w:p>
            <w:pPr>
              <w:spacing w:after="0" w:before="0"/>
            </w:pPr>
            <w:r/>
            <w:r>
              <w:rPr>
                <w:rFonts w:ascii="Calibri" w:hAnsi="Calibri"/>
                <w:b w:val="0"/>
                <w:color w:val="000000"/>
                <w:sz w:val="15"/>
              </w:rPr>
              <w:t>No</w:t>
            </w:r>
          </w:p>
        </w:tc>
        <w:tc>
          <w:tcPr>
            <w:tcW w:type="dxa" w:w="1460"/>
            <w:vAlign w:val="center"/>
            <w:tcMar>
              <w:top w:w="80" w:type="dxa"/>
              <w:start w:w="120" w:type="dxa"/>
              <w:bottom w:w="80" w:type="dxa"/>
              <w:end w:w="120" w:type="dxa"/>
            </w:tcMar>
          </w:tcPr>
          <w:p>
            <w:pPr>
              <w:spacing w:after="0" w:before="0"/>
            </w:pPr>
            <w:r/>
            <w:r>
              <w:rPr>
                <w:rFonts w:ascii="Calibri" w:hAnsi="Calibri"/>
                <w:b w:val="0"/>
                <w:color w:val="000000"/>
                <w:sz w:val="15"/>
              </w:rPr>
              <w:t>None</w:t>
            </w:r>
          </w:p>
        </w:tc>
      </w:tr>
    </w:tbl>
    <w:p>
      <w:pPr>
        <w:spacing w:after="0"/>
      </w:pPr>
    </w:p>
    <w:p>
      <w:pPr>
        <w:pStyle w:val="Heading1"/>
      </w:pPr>
      <w:r>
        <w:t>12. Production substitutions and security</w:t>
      </w:r>
    </w:p>
    <w:tbl>
      <w:tblPr>
        <w:tblStyle w:val="TableGrid"/>
        <w:tblW w:type="dxa" w:w="9360"/>
        <w:jc w:val="center"/>
        <w:tblLayout w:type="fixed"/>
        <w:tblLook w:firstColumn="1" w:firstRow="1" w:lastColumn="0" w:lastRow="0" w:noHBand="0" w:noVBand="1" w:val="04A0"/>
        <w:tblInd w:w="120" w:type="dxa"/>
      </w:tblPr>
      <w:tblGrid>
        <w:gridCol w:w="2150"/>
        <w:gridCol w:w="4170"/>
        <w:gridCol w:w="3040"/>
      </w:tblGrid>
      <w:tr>
        <w:trPr>
          <w:tblHeader w:val="true"/>
          <w:cantSplit/>
        </w:trPr>
        <w:tc>
          <w:tcPr>
            <w:tcW w:type="dxa" w:w="2150"/>
            <w:shd w:fill="F2F4F7"/>
            <w:vAlign w:val="center"/>
            <w:tcMar>
              <w:top w:w="80" w:type="dxa"/>
              <w:start w:w="120" w:type="dxa"/>
              <w:bottom w:w="80" w:type="dxa"/>
              <w:end w:w="120" w:type="dxa"/>
            </w:tcMar>
          </w:tcPr>
          <w:p>
            <w:pPr>
              <w:keepNext/>
              <w:spacing w:after="0" w:before="0"/>
            </w:pPr>
            <w:r/>
            <w:r>
              <w:rPr>
                <w:rFonts w:ascii="Calibri" w:hAnsi="Calibri"/>
                <w:b/>
                <w:color w:val="17365D"/>
                <w:sz w:val="15"/>
              </w:rPr>
              <w:t>Reference element</w:t>
            </w:r>
          </w:p>
        </w:tc>
        <w:tc>
          <w:tcPr>
            <w:tcW w:type="dxa" w:w="4170"/>
            <w:shd w:fill="F2F4F7"/>
            <w:vAlign w:val="center"/>
            <w:tcMar>
              <w:top w:w="80" w:type="dxa"/>
              <w:start w:w="120" w:type="dxa"/>
              <w:bottom w:w="80" w:type="dxa"/>
              <w:end w:w="120" w:type="dxa"/>
            </w:tcMar>
          </w:tcPr>
          <w:p>
            <w:pPr>
              <w:keepNext/>
              <w:spacing w:after="0" w:before="0"/>
            </w:pPr>
            <w:r/>
            <w:r>
              <w:rPr>
                <w:rFonts w:ascii="Calibri" w:hAnsi="Calibri"/>
                <w:b/>
                <w:color w:val="17365D"/>
                <w:sz w:val="15"/>
              </w:rPr>
              <w:t>Production requirement</w:t>
            </w:r>
          </w:p>
        </w:tc>
        <w:tc>
          <w:tcPr>
            <w:tcW w:type="dxa" w:w="3040"/>
            <w:shd w:fill="F2F4F7"/>
            <w:vAlign w:val="center"/>
            <w:tcMar>
              <w:top w:w="80" w:type="dxa"/>
              <w:start w:w="120" w:type="dxa"/>
              <w:bottom w:w="80" w:type="dxa"/>
              <w:end w:w="120" w:type="dxa"/>
            </w:tcMar>
          </w:tcPr>
          <w:p>
            <w:pPr>
              <w:keepNext/>
              <w:spacing w:after="0" w:before="0"/>
            </w:pPr>
            <w:r/>
            <w:r>
              <w:rPr>
                <w:rFonts w:ascii="Calibri" w:hAnsi="Calibri"/>
                <w:b/>
                <w:color w:val="17365D"/>
                <w:sz w:val="15"/>
              </w:rPr>
              <w:t>Acceptance evidence</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Reference HMAC permit signer and state HMAC</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Asymmetric KMS/HSM key, rotation, revocation, custody</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Key policy and independent verification</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Optional Ed25519 permit/event envelope</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KMS/HSM-backed detached signature with managed key policy</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Tamper, wrong-key, rotation, and independent-verification evidence</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Versioned permit signature envelope (shipped; key_id-routed verification, rotation, revocation)</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Managed key custody source behind the same envelope; key ceremonies and revocation evidence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Wire-contract conformance and independent signature verification</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Connector-supplied evidence claims</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Inject an authoritative evidence resolver; exceptions, malformed output, and intent mismatch fail closed</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Override, malformed-output, and request/state binding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Connector-supplied control booleans</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Inject an authoritative control resolver (shipped injection point); derived results replace the intent flags and bind into the request hash; failures fail closed</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Independent control-derivation and spoofed-control-rejection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In-memory event list</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Transactional append-only or WORM storage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Retention configuration and restore test</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Optional single-node SQLite idempotency</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Managed or replicated unique constraint and replay-safe result store where multi-node availability is required</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Concurrency, restart, and failover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In-memory execution replay</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Store execution request hash and receipt atomically with permit consumption</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Lost-response retry and changed-retry conflict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Required local OTCS SQLite outbox</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Transactional replicated outbox or workflow store preserving exact requests, receipts, and reconciliation state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Crash-before-call, ambiguous-response, and failover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Project-idempotent OTCS append port</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Authenticated expected-head compare-and-swap client with signature and inclusion-proof verification</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Duplicate suppression, stale-head, signature, proof, and replay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Optional SQLite committed_resources history</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Managed windowed aggregate with pruning or compaction, replication where required, and trusted time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Window-boundary, restart, retention, and failover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In-process RLock</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Database or distributed serialization across reservation, debit, and receipt creation</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Concurrent oversubscription and multi-process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Full-chain verification per operation</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Indexed or checkpointed hot-path verification plus independent full-chain audits</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Scale benchmark and historical tamper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Process clock</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Trusted UTC source with drift monitoring</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Clock source, thresholds, and alert evidence</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Process reservation</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Durable reservation coordinated with downstream commit</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Failure-injection and double-spend tests</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Function-call role</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mTLS and enterprise workload identity with scoped OAuth</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Trust chain and access matrix</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Synthetic evidence URI</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Immutable access-controlled evidence reference</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Evidence registry and hash verification</w:t>
            </w:r>
          </w:p>
        </w:tc>
      </w:tr>
      <w:tr>
        <w:trPr>
          <w:cantSplit/>
        </w:trPr>
        <w:tc>
          <w:tcPr>
            <w:tcW w:type="dxa" w:w="2150"/>
            <w:vAlign w:val="center"/>
            <w:tcMar>
              <w:top w:w="80" w:type="dxa"/>
              <w:start w:w="120" w:type="dxa"/>
              <w:bottom w:w="80" w:type="dxa"/>
              <w:end w:w="120" w:type="dxa"/>
            </w:tcMar>
          </w:tcPr>
          <w:p>
            <w:pPr>
              <w:spacing w:after="0" w:before="0"/>
            </w:pPr>
            <w:r/>
            <w:r>
              <w:rPr>
                <w:rFonts w:ascii="Calibri" w:hAnsi="Calibri"/>
                <w:b w:val="0"/>
                <w:color w:val="000000"/>
                <w:sz w:val="15"/>
              </w:rPr>
              <w:t>In-process commit</w:t>
            </w:r>
          </w:p>
        </w:tc>
        <w:tc>
          <w:tcPr>
            <w:tcW w:type="dxa" w:w="4170"/>
            <w:vAlign w:val="center"/>
            <w:tcMar>
              <w:top w:w="80" w:type="dxa"/>
              <w:start w:w="120" w:type="dxa"/>
              <w:bottom w:w="80" w:type="dxa"/>
              <w:end w:w="120" w:type="dxa"/>
            </w:tcMar>
          </w:tcPr>
          <w:p>
            <w:pPr>
              <w:spacing w:after="0" w:before="0"/>
            </w:pPr>
            <w:r/>
            <w:r>
              <w:rPr>
                <w:rFonts w:ascii="Calibri" w:hAnsi="Calibri"/>
                <w:b w:val="0"/>
                <w:color w:val="000000"/>
                <w:sz w:val="15"/>
              </w:rPr>
              <w:t>Atomic or compensatable downstream transaction boundary</w:t>
            </w:r>
          </w:p>
        </w:tc>
        <w:tc>
          <w:tcPr>
            <w:tcW w:type="dxa" w:w="3040"/>
            <w:vAlign w:val="center"/>
            <w:tcMar>
              <w:top w:w="80" w:type="dxa"/>
              <w:start w:w="120" w:type="dxa"/>
              <w:bottom w:w="80" w:type="dxa"/>
              <w:end w:w="120" w:type="dxa"/>
            </w:tcMar>
          </w:tcPr>
          <w:p>
            <w:pPr>
              <w:spacing w:after="0" w:before="0"/>
            </w:pPr>
            <w:r/>
            <w:r>
              <w:rPr>
                <w:rFonts w:ascii="Calibri" w:hAnsi="Calibri"/>
                <w:b w:val="0"/>
                <w:color w:val="000000"/>
                <w:sz w:val="15"/>
              </w:rPr>
              <w:t>Commit/rollback design and reconciliation test</w:t>
            </w:r>
          </w:p>
        </w:tc>
      </w:tr>
    </w:tbl>
    <w:p>
      <w:pPr>
        <w:spacing w:after="0"/>
      </w:pPr>
    </w:p>
    <w:p>
      <w:pPr>
        <w:pStyle w:val="Heading2"/>
      </w:pPr>
      <w:r>
        <w:t>12.1 Security invariants</w:t>
      </w:r>
    </w:p>
    <w:p>
      <w:pPr>
        <w:pStyle w:val="ListBullet"/>
      </w:pPr>
      <w:r>
        <w:t>Connector-supplied evidence status and prerequisite, hard-block, or manual-review booleans are never authority in production: the engine ships an evidence resolver and a control resolver whose derived results replace the connector claims as gate inputs, and production MUST wire both to authoritative systems. Without the resolvers the reference engine gates on the declared intent flags — a documented reference boundary, not a production posture.</w:t>
      </w:r>
    </w:p>
    <w:p>
      <w:pPr>
        <w:pStyle w:val="ListBullet"/>
      </w:pPr>
      <w:r>
        <w:t>The production evaluator resolves authoritative evidence and derives controls before the reference gate boundary.</w:t>
      </w:r>
    </w:p>
    <w:p>
      <w:pPr>
        <w:pStyle w:val="ListBullet"/>
      </w:pPr>
      <w:r>
        <w:t>No raw secret, token, password, private key, or reusable credential enters an intent, event, receipt, or registry record.</w:t>
      </w:r>
    </w:p>
    <w:p>
      <w:pPr>
        <w:pStyle w:val="ListBullet"/>
      </w:pPr>
      <w:r>
        <w:t>The connector has no write path to profile, declaration, gate, or architect store.</w:t>
      </w:r>
    </w:p>
    <w:p>
      <w:pPr>
        <w:pStyle w:val="ListBullet"/>
      </w:pPr>
      <w:r>
        <w:t>Operator and observer surfaces never expose gate internals.</w:t>
      </w:r>
    </w:p>
    <w:p>
      <w:pPr>
        <w:pStyle w:val="ListBullet"/>
      </w:pPr>
      <w:r>
        <w:t>Revocation and expiry are checked again at commit, not only at evaluation.</w:t>
      </w:r>
    </w:p>
    <w:p>
      <w:pPr>
        <w:pStyle w:val="ListBullet"/>
      </w:pPr>
      <w:r>
        <w:t>A local integrity failure blocks every later operation until investigated.</w:t>
      </w:r>
    </w:p>
    <w:p>
      <w:pPr>
        <w:pStyle w:val="ListBullet"/>
      </w:pPr>
      <w:r>
        <w:t>Logs and evidence use enterprise data-classification, retention, and access controls.</w:t>
      </w:r>
    </w:p>
    <w:p>
      <w:pPr>
        <w:pStyle w:val="Heading2"/>
      </w:pPr>
      <w:r>
        <w:t>12.2 Contract validation and bounded failure policy</w:t>
      </w:r>
    </w:p>
    <w:p>
      <w:r>
        <w:t>failure_posture is a required profile mirror of protocol-fixed outcomes: missing_required_data is REFUSAL and ambiguity is MANUAL_REVIEW. Neither the profile nor the declaration can select an alternative disposition.</w:t>
      </w:r>
    </w:p>
    <w:p>
      <w:pPr>
        <w:pStyle w:val="ListBullet"/>
      </w:pPr>
      <w:r>
        <w:t>Both posture values are required, non-executable, and fixed: missing_required_data is REFUSAL and ambiguity is MANUAL_REVIEW.</w:t>
      </w:r>
    </w:p>
    <w:p>
      <w:pPr>
        <w:pStyle w:val="ListBullet"/>
      </w:pPr>
      <w:r>
        <w:t>Integrity failures remain raised hard errors because a compromised seal or ledger cannot safely author a new disposition.</w:t>
      </w:r>
    </w:p>
    <w:p>
      <w:pPr>
        <w:pStyle w:val="ListBullet"/>
      </w:pPr>
      <w:r>
        <w:t>This reference has no downstream caller or independent rule-conflict detector, so integrity_failure, downstream_unavailable, and rule_conflict are not decorative configuration fields.</w:t>
      </w:r>
    </w:p>
    <w:p>
      <w:pPr>
        <w:pStyle w:val="ListBullet"/>
      </w:pPr>
      <w:r>
        <w:t>A production extension adds a reviewed runtime branch and a new schema version before adding another configurable failure condition.</w:t>
      </w:r>
    </w:p>
    <w:p>
      <w:pPr>
        <w:pStyle w:val="ListBullet"/>
      </w:pPr>
      <w:r>
        <w:t>Every inbound profile, declaration, and runtime message has a normative JSON Schema, exercised by the shipped conformance suite. The reference adapter validates each POST body before the engine and refuses with SCHEMA_VALIDATION_UNAVAILABLE if jsonschema or the packaged schemas are absent or invalid. The engine enforces its semantic contract; integrators must enforce the same schema boundary on any other ingress path.</w:t>
      </w:r>
    </w:p>
    <w:p>
      <w:pPr>
        <w:pStyle w:val="ListBullet"/>
      </w:pPr>
      <w:r>
        <w:t>The conformance suite activates date-time format checking and carries negative probes for malformed formats and overlong strings.</w:t>
      </w:r>
    </w:p>
    <w:p>
      <w:pPr>
        <w:pStyle w:val="Heading1"/>
      </w:pPr>
      <w:r>
        <w:t>13. Acceptance</w:t>
      </w:r>
    </w:p>
    <w:p>
      <w:pPr>
        <w:pStyle w:val="Heading2"/>
      </w:pPr>
      <w:r>
        <w:t>13.1 Reference package checks</w:t>
      </w:r>
    </w:p>
    <w:tbl>
      <w:tblPr>
        <w:tblStyle w:val="TableGrid"/>
        <w:tblW w:type="dxa" w:w="9360"/>
        <w:jc w:val="center"/>
        <w:tblLayout w:type="fixed"/>
        <w:tblLook w:firstColumn="1" w:firstRow="1" w:lastColumn="0" w:lastRow="0" w:noHBand="0" w:noVBand="1" w:val="04A0"/>
        <w:tblInd w:w="120" w:type="dxa"/>
      </w:tblPr>
      <w:tblGrid>
        <w:gridCol w:w="2500"/>
        <w:gridCol w:w="4510"/>
        <w:gridCol w:w="2350"/>
      </w:tblGrid>
      <w:tr>
        <w:trPr>
          <w:tblHeader w:val="true"/>
          <w:cantSplit/>
        </w:trPr>
        <w:tc>
          <w:tcPr>
            <w:tcW w:type="dxa" w:w="2500"/>
            <w:shd w:fill="F2F4F7"/>
            <w:vAlign w:val="center"/>
            <w:tcMar>
              <w:top w:w="80" w:type="dxa"/>
              <w:start w:w="120" w:type="dxa"/>
              <w:bottom w:w="80" w:type="dxa"/>
              <w:end w:w="120" w:type="dxa"/>
            </w:tcMar>
          </w:tcPr>
          <w:p>
            <w:pPr>
              <w:keepNext/>
              <w:spacing w:after="0" w:before="0"/>
            </w:pPr>
            <w:r/>
            <w:r>
              <w:rPr>
                <w:rFonts w:ascii="Calibri" w:hAnsi="Calibri"/>
                <w:b/>
                <w:color w:val="17365D"/>
                <w:sz w:val="17"/>
              </w:rPr>
              <w:t>Check set</w:t>
            </w:r>
          </w:p>
        </w:tc>
        <w:tc>
          <w:tcPr>
            <w:tcW w:type="dxa" w:w="4510"/>
            <w:shd w:fill="F2F4F7"/>
            <w:vAlign w:val="center"/>
            <w:tcMar>
              <w:top w:w="80" w:type="dxa"/>
              <w:start w:w="120" w:type="dxa"/>
              <w:bottom w:w="80" w:type="dxa"/>
              <w:end w:w="120" w:type="dxa"/>
            </w:tcMar>
          </w:tcPr>
          <w:p>
            <w:pPr>
              <w:keepNext/>
              <w:spacing w:after="0" w:before="0"/>
            </w:pPr>
            <w:r/>
            <w:r>
              <w:rPr>
                <w:rFonts w:ascii="Calibri" w:hAnsi="Calibri"/>
                <w:b/>
                <w:color w:val="17365D"/>
                <w:sz w:val="17"/>
              </w:rPr>
              <w:t>Coverage</w:t>
            </w:r>
          </w:p>
        </w:tc>
        <w:tc>
          <w:tcPr>
            <w:tcW w:type="dxa" w:w="2350"/>
            <w:shd w:fill="F2F4F7"/>
            <w:vAlign w:val="center"/>
            <w:tcMar>
              <w:top w:w="80" w:type="dxa"/>
              <w:start w:w="120" w:type="dxa"/>
              <w:bottom w:w="80" w:type="dxa"/>
              <w:end w:w="120" w:type="dxa"/>
            </w:tcMar>
          </w:tcPr>
          <w:p>
            <w:pPr>
              <w:keepNext/>
              <w:spacing w:after="0" w:before="0"/>
            </w:pPr>
            <w:r/>
            <w:r>
              <w:rPr>
                <w:rFonts w:ascii="Calibri" w:hAnsi="Calibri"/>
                <w:b/>
                <w:color w:val="17365D"/>
                <w:sz w:val="17"/>
              </w:rPr>
              <w:t>Expected result</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Functional behavior</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36 positive and negative state-machine tests, each run against all three shipped profiles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All pass on all three profiles</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Semantic contradictions</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15 profile, declaration, role, and input tests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All rejected as designed</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Deliberate-break sensitivity</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51 named safety facts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Each mutation produces its own expected refusal or error</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Contract conformance</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55 checks covering shipped artefacts, active format and length bounds, live outputs, wire references, route table, per-route security, and engine operations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All validate and resolve; reported NOT_RUN, never as a pass, when the optional libraries are absent</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Contract regressions</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99 focused tests derived from the executable suite</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Each pins one contract fact: a defect the engine once had, or a refusal code that no other check witnessed</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OTCS bridge</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71 tests over the permit-gated append seam, including every declared refusal code of its own vocabulary</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Each refusal answers with its own code, and the declared vocabulary equals the measured one</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Failure-surface ratchet</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Layered closed-world vocabularies, both emission-point counts with the dynamic gap enumerated, runtime-observed witnesses, and architect decisions</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No unclassified emission path, no silent runtime sink, no unacknowledged baseline delta</w:t>
            </w:r>
          </w:p>
        </w:tc>
      </w:tr>
      <w:tr>
        <w:trPr>
          <w:cantSplit/>
        </w:trPr>
        <w:tc>
          <w:tcPr>
            <w:tcW w:type="dxa" w:w="2500"/>
            <w:vAlign w:val="center"/>
            <w:tcMar>
              <w:top w:w="80" w:type="dxa"/>
              <w:start w:w="120" w:type="dxa"/>
              <w:bottom w:w="80" w:type="dxa"/>
              <w:end w:w="120" w:type="dxa"/>
            </w:tcMar>
          </w:tcPr>
          <w:p>
            <w:pPr>
              <w:spacing w:after="0" w:before="0"/>
            </w:pPr>
            <w:r/>
            <w:r>
              <w:rPr>
                <w:rFonts w:ascii="Calibri" w:hAnsi="Calibri"/>
                <w:b w:val="0"/>
                <w:color w:val="000000"/>
                <w:sz w:val="17"/>
              </w:rPr>
              <w:t>Package integrity</w:t>
            </w:r>
          </w:p>
        </w:tc>
        <w:tc>
          <w:tcPr>
            <w:tcW w:type="dxa" w:w="4510"/>
            <w:vAlign w:val="center"/>
            <w:tcMar>
              <w:top w:w="80" w:type="dxa"/>
              <w:start w:w="120" w:type="dxa"/>
              <w:bottom w:w="80" w:type="dxa"/>
              <w:end w:w="120" w:type="dxa"/>
            </w:tcMar>
          </w:tcPr>
          <w:p>
            <w:pPr>
              <w:spacing w:after="0" w:before="0"/>
            </w:pPr>
            <w:r/>
            <w:r>
              <w:rPr>
                <w:rFonts w:ascii="Calibri" w:hAnsi="Calibri"/>
                <w:b w:val="0"/>
                <w:color w:val="000000"/>
                <w:sz w:val="17"/>
              </w:rPr>
              <w:t>Sources, schemas, API routes, hashes, registry, document</w:t>
            </w:r>
          </w:p>
        </w:tc>
        <w:tc>
          <w:tcPr>
            <w:tcW w:type="dxa" w:w="2350"/>
            <w:vAlign w:val="center"/>
            <w:tcMar>
              <w:top w:w="80" w:type="dxa"/>
              <w:start w:w="120" w:type="dxa"/>
              <w:bottom w:w="80" w:type="dxa"/>
              <w:end w:w="120" w:type="dxa"/>
            </w:tcMar>
          </w:tcPr>
          <w:p>
            <w:pPr>
              <w:spacing w:after="0" w:before="0"/>
            </w:pPr>
            <w:r/>
            <w:r>
              <w:rPr>
                <w:rFonts w:ascii="Calibri" w:hAnsi="Calibri"/>
                <w:b w:val="0"/>
                <w:color w:val="000000"/>
                <w:sz w:val="17"/>
              </w:rPr>
              <w:t>All package checks pass</w:t>
            </w:r>
          </w:p>
        </w:tc>
      </w:tr>
    </w:tbl>
    <w:p>
      <w:pPr>
        <w:spacing w:after="0"/>
      </w:pPr>
    </w:p>
    <w:p>
      <w:r>
        <w:t>These checks exercise the named behaviours of the supplied reference package. They do not substitute for independent production review, domain approval, or infrastructure assurance.</w:t>
      </w:r>
    </w:p>
    <w:p>
      <w:pPr>
        <w:pStyle w:val="Heading2"/>
      </w:pPr>
      <w:r>
        <w:t>13.2 Minimum go-live evidence</w:t>
      </w:r>
    </w:p>
    <w:p>
      <w:pPr>
        <w:pStyle w:val="ListBullet"/>
      </w:pPr>
      <w:r>
        <w:t>approved profile bytes, profile hash, and complete mapping witness;</w:t>
      </w:r>
    </w:p>
    <w:p>
      <w:pPr>
        <w:pStyle w:val="ListBullet"/>
      </w:pPr>
      <w:r>
        <w:t>approved declaration bytes, declaration hash, and exact enterprise identifiers;</w:t>
      </w:r>
    </w:p>
    <w:p>
      <w:pPr>
        <w:pStyle w:val="ListBullet"/>
      </w:pPr>
      <w:r>
        <w:t>authoritative evidence resolvers and independently derived control results bound to request and state;</w:t>
      </w:r>
    </w:p>
    <w:p>
      <w:pPr>
        <w:pStyle w:val="ListBullet"/>
      </w:pPr>
      <w:r>
        <w:t>workload identity, mTLS trust chain, and role access matrix;</w:t>
      </w:r>
    </w:p>
    <w:p>
      <w:pPr>
        <w:pStyle w:val="ListBullet"/>
      </w:pPr>
      <w:r>
        <w:t>KMS/HSM custody, rotation, and revocation procedure;</w:t>
      </w:r>
    </w:p>
    <w:p>
      <w:pPr>
        <w:pStyle w:val="ListBullet"/>
      </w:pPr>
      <w:r>
        <w:t>versioned signature envelope with algorithm, key identifier, and signature bytes;</w:t>
      </w:r>
    </w:p>
    <w:p>
      <w:pPr>
        <w:pStyle w:val="ListBullet"/>
      </w:pPr>
      <w:r>
        <w:t>trusted time source and drift monitoring;</w:t>
      </w:r>
    </w:p>
    <w:p>
      <w:pPr>
        <w:pStyle w:val="ListBullet"/>
      </w:pPr>
      <w:r>
        <w:t>multi-node idempotency, cross-system reservation, and downstream atomicity design;</w:t>
      </w:r>
    </w:p>
    <w:p>
      <w:pPr>
        <w:pStyle w:val="ListBullet"/>
      </w:pPr>
      <w:r>
        <w:t>append-only or WORM retention configuration and restore test;</w:t>
      </w:r>
    </w:p>
    <w:p>
      <w:pPr>
        <w:pStyle w:val="ListBullet"/>
      </w:pPr>
      <w:r>
        <w:t>positive connection test plus negative tests for every fail-closed condition;</w:t>
      </w:r>
    </w:p>
    <w:p>
      <w:pPr>
        <w:pStyle w:val="ListBullet"/>
      </w:pPr>
      <w:r>
        <w:t>change process that creates a new version instead of altering a live gate;</w:t>
      </w:r>
    </w:p>
    <w:p>
      <w:pPr>
        <w:pStyle w:val="ListBullet"/>
      </w:pPr>
      <w:r>
        <w:t>independent review of domain mappings, production code, and deployment controls.</w:t>
      </w:r>
    </w:p>
    <w:tbl>
      <w:tblPr>
        <w:tblW w:type="dxa" w:w="9360"/>
        <w:jc w:val="center"/>
        <w:tblLayout w:type="fixed"/>
        <w:tblLook w:firstColumn="1" w:firstRow="1" w:lastColumn="0" w:lastRow="0" w:noHBand="0" w:noVBand="1" w:val="04A0"/>
        <w:tblInd w:w="180" w:type="dxa"/>
      </w:tblPr>
      <w:tblGrid>
        <w:gridCol w:w="9360"/>
      </w:tblGrid>
      <w:tr>
        <w:tc>
          <w:tcPr>
            <w:tcW w:type="dxa" w:w="9360"/>
            <w:shd w:fill="FCE8E6"/>
            <w:tcMar>
              <w:top w:w="140" w:type="dxa"/>
              <w:start w:w="180" w:type="dxa"/>
              <w:bottom w:w="140" w:type="dxa"/>
              <w:end w:w="180" w:type="dxa"/>
            </w:tcMar>
          </w:tcPr>
          <w:p>
            <w:pPr>
              <w:spacing w:before="60" w:after="60"/>
            </w:pPr>
            <w:r/>
            <w:r>
              <w:rPr>
                <w:rFonts w:ascii="Calibri" w:hAnsi="Calibri"/>
                <w:b/>
                <w:color w:val="9C0006"/>
                <w:sz w:val="20"/>
              </w:rPr>
              <w:t xml:space="preserve">GO-LIVE BOUNDARY  </w:t>
            </w:r>
            <w:r>
              <w:rPr>
                <w:rFonts w:ascii="Calibri" w:hAnsi="Calibri"/>
                <w:sz w:val="20"/>
              </w:rPr>
              <w:t>Synthetic fixtures, optional single-node SQLite durability, or a passing local test set must never be promoted as production evidence.</w:t>
            </w:r>
          </w:p>
        </w:tc>
      </w:tr>
    </w:tbl>
    <w:p>
      <w:pPr>
        <w:spacing w:after="0"/>
      </w:pPr>
    </w:p>
    <w:p>
      <w:pPr>
        <w:pStyle w:val="Heading1"/>
      </w:pPr>
      <w:r>
        <w:t>14. Adding a new domain</w:t>
      </w:r>
    </w:p>
    <w:p>
      <w:pPr>
        <w:pStyle w:val="ListNumber"/>
        <w:numPr>
          <w:ilvl w:val="0"/>
          <w:numId w:val="13"/>
        </w:numPr>
      </w:pPr>
      <w:r>
        <w:t>Name the domain and define a closed action alphabet.</w:t>
      </w:r>
    </w:p>
    <w:p>
      <w:pPr>
        <w:pStyle w:val="ListNumber"/>
        <w:numPr>
          <w:ilvl w:val="0"/>
          <w:numId w:val="13"/>
        </w:numPr>
      </w:pPr>
      <w:r>
        <w:t>Define effect classes independently from action names.</w:t>
      </w:r>
    </w:p>
    <w:p>
      <w:pPr>
        <w:pStyle w:val="ListNumber"/>
        <w:numPr>
          <w:ilvl w:val="0"/>
          <w:numId w:val="13"/>
        </w:numPr>
      </w:pPr>
      <w:r>
        <w:t>Declare every resource, unit, claim rule, and reservation requirement.</w:t>
      </w:r>
    </w:p>
    <w:p>
      <w:pPr>
        <w:pStyle w:val="ListNumber"/>
        <w:numPr>
          <w:ilvl w:val="0"/>
          <w:numId w:val="13"/>
        </w:numPr>
      </w:pPr>
      <w:r>
        <w:t>Map every action to exactly one effect class and its required resources.</w:t>
      </w:r>
    </w:p>
    <w:p>
      <w:pPr>
        <w:pStyle w:val="ListNumber"/>
        <w:numPr>
          <w:ilvl w:val="0"/>
          <w:numId w:val="13"/>
        </w:numPr>
      </w:pPr>
      <w:r>
        <w:t>Define prerequisites, hard blocks, review flags, and a zero-effect fallback.</w:t>
      </w:r>
    </w:p>
    <w:p>
      <w:pPr>
        <w:pStyle w:val="ListNumber"/>
        <w:numPr>
          <w:ilvl w:val="0"/>
          <w:numId w:val="13"/>
        </w:numPr>
      </w:pPr>
      <w:r>
        <w:t>Define evidence requirements that cover every action.</w:t>
      </w:r>
    </w:p>
    <w:p>
      <w:pPr>
        <w:pStyle w:val="ListNumber"/>
        <w:numPr>
          <w:ilvl w:val="0"/>
          <w:numId w:val="13"/>
        </w:numPr>
      </w:pPr>
      <w:r>
        <w:t>Create a mapping witness covering every action and effect class.</w:t>
      </w:r>
    </w:p>
    <w:p>
      <w:pPr>
        <w:pStyle w:val="ListNumber"/>
        <w:numPr>
          <w:ilvl w:val="0"/>
          <w:numId w:val="13"/>
        </w:numPr>
      </w:pPr>
      <w:r>
        <w:t>Define role visibility, forbidden operator fields, failure posture, and hash-only registry policy.</w:t>
      </w:r>
    </w:p>
    <w:p>
      <w:pPr>
        <w:pStyle w:val="ListNumber"/>
        <w:numPr>
          <w:ilvl w:val="0"/>
          <w:numId w:val="13"/>
        </w:numPr>
      </w:pPr>
      <w:r>
        <w:t>Seal the profile and create a narrower instance declaration with explicit action-target bindings.</w:t>
      </w:r>
    </w:p>
    <w:p>
      <w:pPr>
        <w:pStyle w:val="ListNumber"/>
        <w:numPr>
          <w:ilvl w:val="0"/>
          <w:numId w:val="13"/>
        </w:numPr>
      </w:pPr>
      <w:r>
        <w:t>Run positive, contradiction, and deliberate-break checks before integration.</w:t>
      </w:r>
    </w:p>
    <w:p>
      <w:pPr>
        <w:pStyle w:val="ListNumber"/>
        <w:numPr>
          <w:ilvl w:val="0"/>
          <w:numId w:val="13"/>
        </w:numPr>
      </w:pPr>
      <w:r>
        <w:t>If the domain cannot be represented without weakening this contract, stop and create a new reviewed schema version instead of force-fitting it.</w:t>
      </w:r>
    </w:p>
    <w:tbl>
      <w:tblPr>
        <w:tblStyle w:val="TableGrid"/>
        <w:tblW w:type="dxa" w:w="9360"/>
        <w:jc w:val="center"/>
        <w:tblLayout w:type="fixed"/>
        <w:tblLook w:firstColumn="1" w:firstRow="1" w:lastColumn="0" w:lastRow="0" w:noHBand="0" w:noVBand="1" w:val="04A0"/>
        <w:tblInd w:w="120" w:type="dxa"/>
      </w:tblPr>
      <w:tblGrid>
        <w:gridCol w:w="4100"/>
        <w:gridCol w:w="5260"/>
      </w:tblGrid>
      <w:tr>
        <w:trPr>
          <w:tblHeader w:val="true"/>
          <w:cantSplit/>
        </w:trPr>
        <w:tc>
          <w:tcPr>
            <w:tcW w:type="dxa" w:w="4100"/>
            <w:shd w:fill="F2F4F7"/>
            <w:vAlign w:val="center"/>
            <w:tcMar>
              <w:top w:w="80" w:type="dxa"/>
              <w:start w:w="120" w:type="dxa"/>
              <w:bottom w:w="80" w:type="dxa"/>
              <w:end w:w="120" w:type="dxa"/>
            </w:tcMar>
          </w:tcPr>
          <w:p>
            <w:pPr>
              <w:keepNext/>
              <w:spacing w:after="0" w:before="0"/>
            </w:pPr>
            <w:r/>
            <w:r>
              <w:rPr>
                <w:rFonts w:ascii="Calibri" w:hAnsi="Calibri"/>
                <w:b/>
                <w:color w:val="17365D"/>
                <w:sz w:val="17"/>
              </w:rPr>
              <w:t>Invalid shortcut</w:t>
            </w:r>
          </w:p>
        </w:tc>
        <w:tc>
          <w:tcPr>
            <w:tcW w:type="dxa" w:w="5260"/>
            <w:shd w:fill="F2F4F7"/>
            <w:vAlign w:val="center"/>
            <w:tcMar>
              <w:top w:w="80" w:type="dxa"/>
              <w:start w:w="120" w:type="dxa"/>
              <w:bottom w:w="80" w:type="dxa"/>
              <w:end w:w="120" w:type="dxa"/>
            </w:tcMar>
          </w:tcPr>
          <w:p>
            <w:pPr>
              <w:keepNext/>
              <w:spacing w:after="0" w:before="0"/>
            </w:pPr>
            <w:r/>
            <w:r>
              <w:rPr>
                <w:rFonts w:ascii="Calibri" w:hAnsi="Calibri"/>
                <w:b/>
                <w:color w:val="17365D"/>
                <w:sz w:val="17"/>
              </w:rPr>
              <w:t>Required repair</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The new API looks like the banking API</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Provide a new domain mapping witness</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The old action name is reused</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Declare its effect class and resources in the new domain</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The adapter already has approvals</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Bind immutable evidence and exact authority to the new declaration</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A manual reviewer can override refusal</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Create a new approved version or proceed outside the automated path</w:t>
            </w:r>
          </w:p>
        </w:tc>
      </w:tr>
      <w:tr>
        <w:trPr>
          <w:cantSplit/>
        </w:trPr>
        <w:tc>
          <w:tcPr>
            <w:tcW w:type="dxa" w:w="4100"/>
            <w:vAlign w:val="center"/>
            <w:tcMar>
              <w:top w:w="80" w:type="dxa"/>
              <w:start w:w="120" w:type="dxa"/>
              <w:bottom w:w="80" w:type="dxa"/>
              <w:end w:w="120" w:type="dxa"/>
            </w:tcMar>
          </w:tcPr>
          <w:p>
            <w:pPr>
              <w:spacing w:after="0" w:before="0"/>
            </w:pPr>
            <w:r/>
            <w:r>
              <w:rPr>
                <w:rFonts w:ascii="Calibri" w:hAnsi="Calibri"/>
                <w:b w:val="0"/>
                <w:color w:val="000000"/>
                <w:sz w:val="17"/>
              </w:rPr>
              <w:t>A central ledger can keep all details</w:t>
            </w:r>
          </w:p>
        </w:tc>
        <w:tc>
          <w:tcPr>
            <w:tcW w:type="dxa" w:w="5260"/>
            <w:vAlign w:val="center"/>
            <w:tcMar>
              <w:top w:w="80" w:type="dxa"/>
              <w:start w:w="120" w:type="dxa"/>
              <w:bottom w:w="80" w:type="dxa"/>
              <w:end w:w="120" w:type="dxa"/>
            </w:tcMar>
          </w:tcPr>
          <w:p>
            <w:pPr>
              <w:spacing w:after="0" w:before="0"/>
            </w:pPr>
            <w:r/>
            <w:r>
              <w:rPr>
                <w:rFonts w:ascii="Calibri" w:hAnsi="Calibri"/>
                <w:b w:val="0"/>
                <w:color w:val="000000"/>
                <w:sz w:val="17"/>
              </w:rPr>
              <w:t>Keep full evidence local and publish only the hash-only projection</w:t>
            </w:r>
          </w:p>
        </w:tc>
      </w:tr>
    </w:tbl>
    <w:p>
      <w:pPr>
        <w:spacing w:after="0"/>
      </w:pPr>
    </w:p>
    <w:p>
      <w:pPr>
        <w:pStyle w:val="Heading2"/>
      </w:pPr>
      <w:r>
        <w:t>14.1 Profile validation command</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python -B -c "import sys; sys.path.insert(0, 'sdk/python'); from nc25_universal_ledger import load_json, validate_profile; validate_profile(load_json(sys.argv[1])); print('PROFILE_VALID')" profiles/banking/bank-profile.json</w:t>
            </w:r>
          </w:p>
        </w:tc>
      </w:tr>
    </w:tbl>
    <w:p>
      <w:pPr>
        <w:spacing w:after="0"/>
      </w:pPr>
    </w:p>
    <w:p>
      <w:pPr>
        <w:pStyle w:val="Heading1"/>
      </w:pPr>
      <w:r>
        <w:t>Appendix A. Complete NC2.5 crosswalk</w:t>
      </w:r>
    </w:p>
    <w:tbl>
      <w:tblPr>
        <w:tblStyle w:val="TableGrid"/>
        <w:tblW w:type="dxa" w:w="9360"/>
        <w:jc w:val="center"/>
        <w:tblLayout w:type="fixed"/>
        <w:tblLook w:firstColumn="1" w:firstRow="1" w:lastColumn="0" w:lastRow="0" w:noHBand="0" w:noVBand="1" w:val="04A0"/>
        <w:tblInd w:w="120" w:type="dxa"/>
      </w:tblPr>
      <w:tblGrid>
        <w:gridCol w:w="1750"/>
        <w:gridCol w:w="1250"/>
        <w:gridCol w:w="3000"/>
        <w:gridCol w:w="3360"/>
      </w:tblGrid>
      <w:tr>
        <w:trPr>
          <w:tblHeader w:val="true"/>
          <w:cantSplit/>
        </w:trPr>
        <w:tc>
          <w:tcPr>
            <w:tcW w:type="dxa" w:w="1750"/>
            <w:shd w:fill="F2F4F7"/>
            <w:vAlign w:val="center"/>
            <w:tcMar>
              <w:top w:w="80" w:type="dxa"/>
              <w:start w:w="120" w:type="dxa"/>
              <w:bottom w:w="80" w:type="dxa"/>
              <w:end w:w="120" w:type="dxa"/>
            </w:tcMar>
          </w:tcPr>
          <w:p>
            <w:pPr>
              <w:keepNext/>
              <w:spacing w:after="0" w:before="0"/>
            </w:pPr>
            <w:r/>
            <w:r>
              <w:rPr>
                <w:rFonts w:ascii="Calibri" w:hAnsi="Calibri"/>
                <w:b/>
                <w:color w:val="17365D"/>
                <w:sz w:val="14"/>
              </w:rPr>
              <w:t>ID</w:t>
            </w:r>
          </w:p>
        </w:tc>
        <w:tc>
          <w:tcPr>
            <w:tcW w:type="dxa" w:w="1250"/>
            <w:shd w:fill="F2F4F7"/>
            <w:vAlign w:val="center"/>
            <w:tcMar>
              <w:top w:w="80" w:type="dxa"/>
              <w:start w:w="120" w:type="dxa"/>
              <w:bottom w:w="80" w:type="dxa"/>
              <w:end w:w="120" w:type="dxa"/>
            </w:tcMar>
          </w:tcPr>
          <w:p>
            <w:pPr>
              <w:keepNext/>
              <w:spacing w:after="0" w:before="0"/>
            </w:pPr>
            <w:r/>
            <w:r>
              <w:rPr>
                <w:rFonts w:ascii="Calibri" w:hAnsi="Calibri"/>
                <w:b/>
                <w:color w:val="17365D"/>
                <w:sz w:val="14"/>
              </w:rPr>
              <w:t>Lines</w:t>
            </w:r>
          </w:p>
        </w:tc>
        <w:tc>
          <w:tcPr>
            <w:tcW w:type="dxa" w:w="3000"/>
            <w:shd w:fill="F2F4F7"/>
            <w:vAlign w:val="center"/>
            <w:tcMar>
              <w:top w:w="80" w:type="dxa"/>
              <w:start w:w="120" w:type="dxa"/>
              <w:bottom w:w="80" w:type="dxa"/>
              <w:end w:w="120" w:type="dxa"/>
            </w:tcMar>
          </w:tcPr>
          <w:p>
            <w:pPr>
              <w:keepNext/>
              <w:spacing w:after="0" w:before="0"/>
            </w:pPr>
            <w:r/>
            <w:r>
              <w:rPr>
                <w:rFonts w:ascii="Calibri" w:hAnsi="Calibri"/>
                <w:b/>
                <w:color w:val="17365D"/>
                <w:sz w:val="14"/>
              </w:rPr>
              <w:t>Universal use</w:t>
            </w:r>
          </w:p>
        </w:tc>
        <w:tc>
          <w:tcPr>
            <w:tcW w:type="dxa" w:w="3360"/>
            <w:shd w:fill="F2F4F7"/>
            <w:vAlign w:val="center"/>
            <w:tcMar>
              <w:top w:w="80" w:type="dxa"/>
              <w:start w:w="120" w:type="dxa"/>
              <w:bottom w:w="80" w:type="dxa"/>
              <w:end w:w="120" w:type="dxa"/>
            </w:tcMar>
          </w:tcPr>
          <w:p>
            <w:pPr>
              <w:keepNext/>
              <w:spacing w:after="0" w:before="0"/>
            </w:pPr>
            <w:r/>
            <w:r>
              <w:rPr>
                <w:rFonts w:ascii="Calibri" w:hAnsi="Calibri"/>
                <w:b/>
                <w:color w:val="17365D"/>
                <w:sz w:val="14"/>
              </w:rPr>
              <w:t>Constraint</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CORE-DECLARATION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313-326</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Complete, sealed, versioned profile and connection declaration.</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Missing required fields make the claim undefined; a material post-activation change creates a new version and hash.</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CORE-NON-ACTIONABILITY</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337-351</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Exclusion-only gate and minimal operator projection.</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Boundary data, margins, sub-verdicts, statistics, and traces cannot be scores, features, objectives, or gradients.</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CORE-EFFECT-SPACE</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389-404, 542-552</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Typed action, effect, and forbidden-effect declarations in every profile.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Action, admissible subset, effect class, and forbidden effect remain distinct types.</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A28-HISTORY</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1174-1184</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History and state anchors on every intent and permit.</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 restored operational state does not erase structural history.</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A29-A33-GATE</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1186-1284</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Authority before evaluation, zero executability for refusal, declared safe fallback.</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An inadmissible candidate is not scored, ranked, optimized, or executed.</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A40-A43-MINIMALITY</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1378-1404</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No blocked-branch learning, minimal operator result, prospective revision.</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Architect detail may be retained post-event but cannot become an operator signal.</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A48-A52-INTERFACE</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1497-1618</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Binary read-only gate and normalized response surface.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Admissibility is an exclusion relation, not a scalar or probability.</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A52-1-A52-2-ABSTENTION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1620-1685</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Non-executable ambiguity, hold, and manual-review paths.</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Architect-only ambiguity measures are not operator-readable.</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A53-A59-REVISION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1687-1837, 5686-6055</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Authorized version change and isolated evidence references.</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No unlimited micro-revision and no post-failure rule rescue.</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A60-A61-BUDGET</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1839-1935</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Committed-action structural capacity channel, separate from domain resource limits.</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The package does not verify the provenance of structural capacity. Domain transaction limits are not the structural selector budget. The reference ledger debits committed actions only; standing pressure, refusals, and failed commits are not accounted, so the core's full structural-pressure accounting remains outside this package.</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A64-A66-SEPARATION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10334-10387</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Read-only profile and gate, validated debit, role-restricted trace.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Architect trace is post-emission only and unavailable to operator or ordinary observer.</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T67-HALT</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7057-7148</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Commit guard with halt authority and append-only local state.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A detector without halt authority does not prevent propagation.</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T69-BIFURCATION</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7374-7468</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Permit/refusal witness without direct gate geometry or reason-code exposure.</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The connector receives only a coarse disposition. Repeated probing of that unavoidable decision bit must be throttled and audited by the production adapter.</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T98-FRAMEWORK-CORE</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12252-12458</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Independent determination and non-accumulating realization layers.</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Single-layer write-back or cross-invocation boundary reconstruction exits the declared class.</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T107-T108-TRANSFER</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12995-13065</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Explicit profile mapping witness for each domain.</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Connection or API similarity does not license viability transfer.</w:t>
            </w:r>
          </w:p>
        </w:tc>
      </w:tr>
      <w:tr>
        <w:trPr>
          <w:cantSplit/>
        </w:trPr>
        <w:tc>
          <w:tcPr>
            <w:tcW w:type="dxa" w:w="1750"/>
            <w:vAlign w:val="center"/>
            <w:tcMar>
              <w:top w:w="80" w:type="dxa"/>
              <w:start w:w="120" w:type="dxa"/>
              <w:bottom w:w="80" w:type="dxa"/>
              <w:end w:w="120" w:type="dxa"/>
            </w:tcMar>
          </w:tcPr>
          <w:p>
            <w:pPr>
              <w:spacing w:after="0" w:before="0"/>
            </w:pPr>
            <w:r/>
            <w:r>
              <w:rPr>
                <w:rFonts w:ascii="Calibri" w:hAnsi="Calibri"/>
                <w:b w:val="0"/>
                <w:color w:val="000000"/>
                <w:sz w:val="14"/>
              </w:rPr>
              <w:t>L47-NON-WEAPONIZABILITY</w:t>
            </w:r>
          </w:p>
        </w:tc>
        <w:tc>
          <w:tcPr>
            <w:tcW w:type="dxa" w:w="1250"/>
            <w:vAlign w:val="center"/>
            <w:tcMar>
              <w:top w:w="80" w:type="dxa"/>
              <w:start w:w="120" w:type="dxa"/>
              <w:bottom w:w="80" w:type="dxa"/>
              <w:end w:w="120" w:type="dxa"/>
            </w:tcMar>
          </w:tcPr>
          <w:p>
            <w:pPr>
              <w:spacing w:after="0" w:before="0"/>
            </w:pPr>
            <w:r/>
            <w:r>
              <w:rPr>
                <w:rFonts w:ascii="Calibri" w:hAnsi="Calibri"/>
                <w:b w:val="0"/>
                <w:color w:val="000000"/>
                <w:sz w:val="14"/>
              </w:rPr>
              <w:t>13317-13341</w:t>
            </w:r>
          </w:p>
        </w:tc>
        <w:tc>
          <w:tcPr>
            <w:tcW w:type="dxa" w:w="3000"/>
            <w:vAlign w:val="center"/>
            <w:tcMar>
              <w:top w:w="80" w:type="dxa"/>
              <w:start w:w="120" w:type="dxa"/>
              <w:bottom w:w="80" w:type="dxa"/>
              <w:end w:w="120" w:type="dxa"/>
            </w:tcMar>
          </w:tcPr>
          <w:p>
            <w:pPr>
              <w:spacing w:after="0" w:before="0"/>
            </w:pPr>
            <w:r/>
            <w:r>
              <w:rPr>
                <w:rFonts w:ascii="Calibri" w:hAnsi="Calibri"/>
                <w:b w:val="0"/>
                <w:color w:val="000000"/>
                <w:sz w:val="14"/>
              </w:rPr>
              <w:t>Hash-only registry, coarse operator codes, forbidden-key scans, and adapter-level anti-probing controls.</w:t>
            </w:r>
          </w:p>
        </w:tc>
        <w:tc>
          <w:tcPr>
            <w:tcW w:type="dxa" w:w="3360"/>
            <w:vAlign w:val="center"/>
            <w:tcMar>
              <w:top w:w="80" w:type="dxa"/>
              <w:start w:w="120" w:type="dxa"/>
              <w:bottom w:w="80" w:type="dxa"/>
              <w:end w:w="120" w:type="dxa"/>
            </w:tcMar>
          </w:tcPr>
          <w:p>
            <w:pPr>
              <w:spacing w:after="0" w:before="0"/>
            </w:pPr>
            <w:r/>
            <w:r>
              <w:rPr>
                <w:rFonts w:ascii="Calibri" w:hAnsi="Calibri"/>
                <w:b w:val="0"/>
                <w:color w:val="000000"/>
                <w:sz w:val="14"/>
              </w:rPr>
              <w:t>Boundary geometry and detailed reasons remain architect evidence only; the unavoidable disposition bit is rate-limited and auditable.</w:t>
            </w:r>
          </w:p>
        </w:tc>
      </w:tr>
    </w:tbl>
    <w:p>
      <w:pPr>
        <w:spacing w:after="0"/>
      </w:pPr>
    </w:p>
    <w:p>
      <w:pPr>
        <w:pStyle w:val="Heading1"/>
      </w:pPr>
      <w:r>
        <w:t>Appendix B. Package files</w:t>
      </w:r>
    </w:p>
    <w:tbl>
      <w:tblPr>
        <w:tblStyle w:val="TableGrid"/>
        <w:tblW w:type="dxa" w:w="9360"/>
        <w:jc w:val="center"/>
        <w:tblLayout w:type="fixed"/>
        <w:tblLook w:firstColumn="1" w:firstRow="1" w:lastColumn="0" w:lastRow="0" w:noHBand="0" w:noVBand="1" w:val="04A0"/>
        <w:tblInd w:w="120" w:type="dxa"/>
      </w:tblPr>
      <w:tblGrid>
        <w:gridCol w:w="3900"/>
        <w:gridCol w:w="5460"/>
      </w:tblGrid>
      <w:tr>
        <w:trPr>
          <w:tblHeader w:val="true"/>
          <w:cantSplit/>
        </w:trPr>
        <w:tc>
          <w:tcPr>
            <w:tcW w:type="dxa" w:w="3900"/>
            <w:shd w:fill="F2F4F7"/>
            <w:vAlign w:val="center"/>
            <w:tcMar>
              <w:top w:w="80" w:type="dxa"/>
              <w:start w:w="120" w:type="dxa"/>
              <w:bottom w:w="80" w:type="dxa"/>
              <w:end w:w="120" w:type="dxa"/>
            </w:tcMar>
          </w:tcPr>
          <w:p>
            <w:pPr>
              <w:keepNext/>
              <w:spacing w:after="0" w:before="0"/>
            </w:pPr>
            <w:r/>
            <w:r>
              <w:rPr>
                <w:rFonts w:ascii="Calibri" w:hAnsi="Calibri"/>
                <w:b/>
                <w:color w:val="17365D"/>
                <w:sz w:val="16"/>
              </w:rPr>
              <w:t>Path</w:t>
            </w:r>
          </w:p>
        </w:tc>
        <w:tc>
          <w:tcPr>
            <w:tcW w:type="dxa" w:w="5460"/>
            <w:shd w:fill="F2F4F7"/>
            <w:vAlign w:val="center"/>
            <w:tcMar>
              <w:top w:w="80" w:type="dxa"/>
              <w:start w:w="120" w:type="dxa"/>
              <w:bottom w:w="80" w:type="dxa"/>
              <w:end w:w="120" w:type="dxa"/>
            </w:tcMar>
          </w:tcPr>
          <w:p>
            <w:pPr>
              <w:keepNext/>
              <w:spacing w:after="0" w:before="0"/>
            </w:pPr>
            <w:r/>
            <w:r>
              <w:rPr>
                <w:rFonts w:ascii="Calibri" w:hAnsi="Calibri"/>
                <w:b/>
                <w:color w:val="17365D"/>
                <w:sz w:val="16"/>
              </w:rPr>
              <w:t>Purpose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README.md</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Reader entry point and claim boundary</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SOURCE-MANIFEST.json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Immutable external-input hashes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PACKAGE-MANIFEST.json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SHA-256 and byte-length coverage of shipped package files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requirements-lock.txt</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Pinned schema, YAML, and DOCX tool dependencies, plus the optional cryptography runtime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LICENSE</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Per-file documentation and code licensing</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core/nc25-core-crosswalk.json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Exact core source anchors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core/schemas/profile.schema.json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Domain profile contract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core/schemas/connection-declaration.schema.json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Instance declaration contract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core/schemas/runtime-contracts.schema.json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Authority, intent, evidence, result, execution, and receipt contracts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core/schemas/registry-record.schema.json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Hash-only shared projection</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protocol/universal-connection.openapi.yaml</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Role-separated API</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sdk/python/nc25_universal_ledger.py</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Reference state machine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sdk/python/nc25_universal_adapter.py</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Reference WSGI HTTP adapter enforcing the wire contract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sdk/python/nc25_otcs_bridge.py</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Permit-gated OTCS append bridge with durable recovery outbox</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profiles/PROFILE-AUTHORING-CHECKLIST.md</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Required profile authoring gates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profiles/banking/</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Bank profile and questionnaire crosswalk</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profiles/document-release/reference-connection.json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Second executable reference profile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profiles/otcs/reference-connection.json</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Third executable profile plus typed OTCS operation and receipt fixture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examples/</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Synthetic executable fixtures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tests/test_otcs_bridge.py</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OTCS authority-boundary and crash-seam regression cases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tests/</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Behavior, contradiction, deliberate-break, conformance, and package checks</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tools/</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Deterministic builders for this document, its review projection, the package manifest, the acceptance report, the review bundle and the contract's error-code enum, plus the failure-surface ratchet</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UNIVERSAL-CONNECTION-RUNBOOK.md</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Integration sequence</w:t>
            </w:r>
          </w:p>
        </w:tc>
      </w:tr>
      <w:tr>
        <w:trPr>
          <w:cantSplit/>
        </w:trPr>
        <w:tc>
          <w:tcPr>
            <w:tcW w:type="dxa" w:w="3900"/>
            <w:vAlign w:val="center"/>
            <w:tcMar>
              <w:top w:w="80" w:type="dxa"/>
              <w:start w:w="120" w:type="dxa"/>
              <w:bottom w:w="80" w:type="dxa"/>
              <w:end w:w="120" w:type="dxa"/>
            </w:tcMar>
          </w:tcPr>
          <w:p>
            <w:pPr>
              <w:spacing w:after="0" w:before="0"/>
            </w:pPr>
            <w:r/>
            <w:r>
              <w:rPr>
                <w:rFonts w:ascii="Calibri" w:hAnsi="Calibri"/>
                <w:b w:val="0"/>
                <w:color w:val="000000"/>
                <w:sz w:val="16"/>
              </w:rPr>
              <w:t>ACCEPTANCE-REPORT.md</w:t>
            </w:r>
          </w:p>
        </w:tc>
        <w:tc>
          <w:tcPr>
            <w:tcW w:type="dxa" w:w="5460"/>
            <w:vAlign w:val="center"/>
            <w:tcMar>
              <w:top w:w="80" w:type="dxa"/>
              <w:start w:w="120" w:type="dxa"/>
              <w:bottom w:w="80" w:type="dxa"/>
              <w:end w:w="120" w:type="dxa"/>
            </w:tcMar>
          </w:tcPr>
          <w:p>
            <w:pPr>
              <w:spacing w:after="0" w:before="0"/>
            </w:pPr>
            <w:r/>
            <w:r>
              <w:rPr>
                <w:rFonts w:ascii="Calibri" w:hAnsi="Calibri"/>
                <w:b w:val="0"/>
                <w:color w:val="000000"/>
                <w:sz w:val="16"/>
              </w:rPr>
              <w:t>Verification status and production boundary</w:t>
            </w:r>
          </w:p>
        </w:tc>
      </w:tr>
    </w:tbl>
    <w:p>
      <w:pPr>
        <w:spacing w:after="0"/>
      </w:pPr>
    </w:p>
    <w:p>
      <w:pPr>
        <w:pStyle w:val="Heading1"/>
      </w:pPr>
      <w:r>
        <w:t>Appendix C. Synthetic command sequence</w:t>
      </w:r>
    </w:p>
    <w:tbl>
      <w:tblPr>
        <w:tblW w:type="dxa" w:w="9360"/>
        <w:jc w:val="center"/>
        <w:tblLayout w:type="fixed"/>
        <w:tblLook w:firstColumn="1" w:firstRow="1" w:lastColumn="0" w:lastRow="0" w:noHBand="0" w:noVBand="1" w:val="04A0"/>
        <w:tblInd w:w="180" w:type="dxa"/>
      </w:tblPr>
      <w:tblGrid>
        <w:gridCol w:w="9360"/>
      </w:tblGrid>
      <w:tr>
        <w:tc>
          <w:tcPr>
            <w:tcW w:type="dxa" w:w="9360"/>
            <w:shd w:fill="F7F9FB"/>
            <w:tcMar>
              <w:top w:w="140" w:type="dxa"/>
              <w:start w:w="180" w:type="dxa"/>
              <w:bottom w:w="140" w:type="dxa"/>
              <w:end w:w="180" w:type="dxa"/>
            </w:tcMar>
          </w:tcPr>
          <w:p>
            <w:pPr>
              <w:spacing w:before="0" w:after="0"/>
            </w:pPr>
            <w:r/>
            <w:r>
              <w:rPr>
                <w:rFonts w:ascii="Consolas" w:hAnsi="Consolas"/>
                <w:color w:val="263238"/>
                <w:sz w:val="17"/>
              </w:rPr>
              <w:t>python -B tests/run_acceptance.py</w:t>
            </w:r>
          </w:p>
          <w:p>
            <w:pPr>
              <w:spacing w:before="0" w:after="0"/>
            </w:pPr>
            <w:r>
              <w:rPr>
                <w:rFonts w:ascii="Consolas" w:hAnsi="Consolas"/>
                <w:color w:val="263238"/>
                <w:sz w:val="17"/>
              </w:rPr>
              <w:t>python -B -m pytest -p no:cacheprovider tests  # optional collection</w:t>
            </w:r>
          </w:p>
          <w:p>
            <w:pPr>
              <w:spacing w:before="0" w:after="0"/>
            </w:pPr>
            <w:r>
              <w:rPr>
                <w:rFonts w:ascii="Consolas" w:hAnsi="Consolas"/>
                <w:color w:val="263238"/>
                <w:sz w:val="17"/>
              </w:rPr>
            </w:r>
          </w:p>
          <w:p>
            <w:pPr>
              <w:spacing w:before="0" w:after="0"/>
            </w:pPr>
            <w:r>
              <w:rPr>
                <w:rFonts w:ascii="Consolas" w:hAnsi="Consolas"/>
                <w:color w:val="263238"/>
                <w:sz w:val="17"/>
              </w:rPr>
              <w:t>Expected reference outcome:</w:t>
            </w:r>
          </w:p>
          <w:p>
            <w:pPr>
              <w:spacing w:before="0" w:after="0"/>
            </w:pPr>
            <w:r>
              <w:rPr>
                <w:rFonts w:ascii="Consolas" w:hAnsi="Consolas"/>
                <w:color w:val="263238"/>
                <w:sz w:val="17"/>
              </w:rPr>
              <w:t xml:space="preserve">  functional tests .......... pass</w:t>
            </w:r>
          </w:p>
          <w:p>
            <w:pPr>
              <w:spacing w:before="0" w:after="0"/>
            </w:pPr>
            <w:r>
              <w:rPr>
                <w:rFonts w:ascii="Consolas" w:hAnsi="Consolas"/>
                <w:color w:val="263238"/>
                <w:sz w:val="17"/>
              </w:rPr>
              <w:t xml:space="preserve">  semantic contradictions ... rejected</w:t>
            </w:r>
          </w:p>
          <w:p>
            <w:pPr>
              <w:spacing w:before="0" w:after="0"/>
            </w:pPr>
            <w:r>
              <w:rPr>
                <w:rFonts w:ascii="Consolas" w:hAnsi="Consolas"/>
                <w:color w:val="263238"/>
                <w:sz w:val="17"/>
              </w:rPr>
              <w:t xml:space="preserve">  deliberate breaks ......... each detected by its named control</w:t>
            </w:r>
          </w:p>
          <w:p>
            <w:pPr>
              <w:spacing w:before="0" w:after="0"/>
            </w:pPr>
            <w:r>
              <w:rPr>
                <w:rFonts w:ascii="Consolas" w:hAnsi="Consolas"/>
                <w:color w:val="263238"/>
                <w:sz w:val="17"/>
              </w:rPr>
              <w:t xml:space="preserve">  package bindings .......... pass</w:t>
            </w:r>
          </w:p>
        </w:tc>
      </w:tr>
    </w:tbl>
    <w:p>
      <w:pPr>
        <w:spacing w:after="0"/>
      </w:pPr>
    </w:p>
    <w:p>
      <w:pPr>
        <w:spacing w:before="360"/>
        <w:jc w:val="center"/>
      </w:pPr>
      <w:r>
        <w:rPr>
          <w:rFonts w:ascii="Calibri" w:hAnsi="Calibri"/>
          <w:b/>
          <w:color w:val="4A5568"/>
          <w:sz w:val="18"/>
        </w:rPr>
        <w:t>END OF SPECIFICATION</w:t>
      </w:r>
    </w:p>
    <w:sectPr w:rsidR="00FC693F" w:rsidRPr="0006063C" w:rsidSect="00034616">
      <w:headerReference w:type="default" r:id="rId9"/>
      <w:footerReference w:type="default" r:id="rId10"/>
      <w:footerReference w:type="first" r:id="rId11"/>
      <w:pgSz w:w="12240" w:h="15840"/>
      <w:pgMar w:top="1440" w:right="1440" w:bottom="1440"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6"/>
      </w:rPr>
      <w:t xml:space="preserve">REFERENCE PACKAGE  •  NOT PRODUCTION CONFIGURATION  •  </w:t>
    </w:r>
    <w: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6"/>
      </w:rPr>
      <w:t>REFERENCE PACKAGE  •  NOT PRODUCTION CONFIGURATION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A5568"/>
        <w:sz w:val="16"/>
      </w:rPr>
      <w:t>NC25OL  •  v01.09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4A55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keepNext/>
      <w:spacing w:after="120"/>
    </w:pPr>
    <w:rPr>
      <w:rFonts w:ascii="Calibri" w:hAnsi="Calibri"/>
      <w:b/>
      <w:color w:val="2E74B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NC2.5 Deterministic Builder</Application>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NC25OL Specification</dc:title>
  <dc:subject>Domain-neutral connection contract</dc:subject>
  <dc:creator>Maksim Barziankou (MxBv)</dc:creator>
  <cp:keywords>NC2.5, connection ledger, integration, reference profiles</cp:keywords>
  <dc:description>Reference package; not production configuration</dc:description>
  <cp:lastModifiedBy>Maksim Barziankou (MxBv)</cp:lastModifiedBy>
  <cp:revision>1</cp:revision>
  <dcterms:created xsi:type="dcterms:W3CDTF">2026-07-28T00:00:00Z</dcterms:created>
  <dcterms:modified xsi:type="dcterms:W3CDTF">2026-08-01T00:00:00Z</dcterms:modified>
  <cp:category/>
</cp:coreProperties>
</file>