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Ricky Jones</w:t>
      </w:r>
    </w:p>
    <w:p>
      <w:r>
        <w:t xml:space="preserve">Selected fragments of the ‘Ricky — Max’ dialogue</w:t>
        <w:br/>
        <w:t xml:space="preserve">26 April — 23 August 2026</w:t>
        <w:br/>
        <w:t/>
      </w:r>
    </w:p>
    <w:p>
      <w:r>
        <w:rPr>
          <w:i/>
        </w:rPr>
        <w:t xml:space="preserve">An editorial thematic selection of the fragments shown in the screenshots. This is not the entire history of communication. Names in speaker labels, forms of address and self-identification have been normalised to Ricky and Max; this is editorial normalisation, not identification of physical authorship. A substituted self-identification within a message is marked in brackets. Omissions and editorial explanations are identified; text between screens has not been reconstructed.</w:t>
      </w:r>
    </w:p>
    <w:p>
      <w:r>
        <w:t xml:space="preserve">The selection preserves Ricky's requirements for exact sources, the limited meaning of the CARE review, his report of an improved repository surface, his deferred consideration of Rainbow, and his refusal of a formal audit. Refusal does not mean agreement. The correspondence itself does not establish transmission through a private channel.</w:t>
      </w:r>
    </w:p>
    <w:p>
      <w:pPr>
        <w:pStyle w:val="Heading1"/>
      </w:pPr>
      <w:r>
        <w:t xml:space="preserve">26 April 2026</w:t>
      </w:r>
    </w:p>
    <w:p>
      <w:pPr>
        <w:pStyle w:val="Heading2"/>
      </w:pPr>
      <w:r>
        <w:t xml:space="preserve">Max: 11:40 · E01</w:t>
      </w:r>
    </w:p>
    <w:p>
      <w:r>
        <w:t>Ricky — writing to you privately because we know each other. Want to keep this direct.</w:t>
      </w:r>
    </w:p>
    <w:p>
      <w:r>
        <w:t>I read your post today. "Vocabulary Travels Faster Than Grammar." Let's go through it together, because the things you list as your grammar — they're mine.</w:t>
      </w:r>
    </w:p>
    <w:p>
      <w:r>
        <w:t>Specifically:</w:t>
      </w:r>
    </w:p>
    <w:p>
      <w:r>
        <w:t>"Admissibility before intelligence" — direct echo of "Admissibility Before Optimization", which I published in January 2026 with a DOI anchor.</w:t>
      </w:r>
    </w:p>
    <w:p>
      <w:r>
        <w:t>"Authority allocation at decision boundaries" — admissibility as threshold predicate (Axiom 48, NC2.5).</w:t>
      </w:r>
    </w:p>
    <w:p>
      <w:r>
        <w:t>"Governance before execution, admissibility before action, refusal before unsafe helpfulness" — that whole cascade is the NC2.5 commit-boundary structure: CGI-1 non-bypassability, fail-closed semantics under non-constructibility, deny under uncertainty.</w:t>
      </w:r>
    </w:p>
    <w:p>
      <w:r>
        <w:t>"Rotational architecture... preserving its invariants" — that's structural invariance, formalized in NC2.5 corpus.</w:t>
      </w:r>
    </w:p>
    <w:p>
      <w:r>
        <w:t>"Trace before trust" — the receipt/audit layer, downstream of the formal admissibility frame.</w:t>
      </w:r>
    </w:p>
    <w:p>
      <w:r>
        <w:t>"Five-attempt proof sequence: no decision, valid decision, replayed approval, mismatched target, expired approval" — that pattern matches the ECR-VP regime structure (Rc/Ri/Ra/Failure/Novelty/Verdict/Maturity), published in January 2026.</w:t>
      </w:r>
    </w:p>
    <w:p>
      <w:r>
        <w:t>And — you didn't even change the formulations. The vocabulary is the same. That alone wouldn't have helped your case, but you didn't even try to rewrite it.</w:t>
      </w:r>
    </w:p>
    <w:p>
      <w:r>
        <w:t>Here's how my work was sequenced: we filed patents on architectural relations first. Then released the corpus of works (philosophical, formal, applied — 100+ items). Then the math. Specific cascade, specific dates, specific DOIs. The trail is structurally airtight.</w:t>
      </w:r>
    </w:p>
    <w:p>
      <w:r>
        <w:t>If you can show publications predating my formalization — earlier than my January  publications, earlier than the NC2.5 corpus DOI anchors — I'll change my position the same day. Genuinely. I'll say everywhere that these are your ideas, your origin, and that I learned from your direction. That's how I work. Show it, and the position changes.</w:t>
      </w:r>
    </w:p>
    <w:p>
      <w:r>
        <w:t>You wrote yourself, in earlier posts, that IP matters to you. So let's apply that standard symmetrically.</w:t>
      </w:r>
    </w:p>
    <w:p>
      <w:r>
        <w:t>You strike me as an honest researcher, which is why I'm writing to you directly instead of publicly. Let's resolve this between us.</w:t>
      </w:r>
    </w:p>
    <w:p>
      <w:r>
        <w:t xml:space="preserve">Show me the prior work. If it's there, I'll be the first to acknowledge it. If it's not — let's figure out together how to handle attribution properly going forward.(edited)</w:t>
      </w:r>
    </w:p>
    <w:p>
      <w:pPr>
        <w:pStyle w:val="Heading2"/>
      </w:pPr>
      <w:r>
        <w:t xml:space="preserve">Ricky: 13:24 · E02</w:t>
      </w:r>
    </w:p>
    <w:p>
      <w:r>
        <w:t>Thanks for writing privately. I appreciate that.</w:t>
      </w:r>
    </w:p>
    <w:p>
      <w:r>
        <w:t>I’m going to keep this clean and evidence-led.</w:t>
      </w:r>
    </w:p>
    <w:p>
      <w:r>
        <w:t>I don’t accept the position as stated, but I do take the concern seriously. Similar vocabulary around admissibility, authority, boundaries, execution, audit, and fail-closed control can emerge in adjacent governance work, especially where the problem is runtime control rather than policy language.</w:t>
      </w:r>
    </w:p>
    <w:p>
      <w:r>
        <w:t>That said, if you believe there is direct structural or textual dependence, the right way to handle it is a side-by-side evidence review.</w:t>
      </w:r>
    </w:p>
    <w:p>
      <w:r>
        <w:t>Please send:</w:t>
      </w:r>
    </w:p>
    <w:p>
      <w:r>
        <w:t>1. The specific NC2.5 / DOI materials you believe are being echoed</w:t>
      </w:r>
    </w:p>
    <w:p>
      <w:r>
        <w:t>2. The exact passages you are comparing them against</w:t>
      </w:r>
    </w:p>
    <w:p>
      <w:r>
        <w:t>3. The publication dates for each item</w:t>
      </w:r>
    </w:p>
    <w:p>
      <w:r>
        <w:t>4. The specific attribution correction you believe would be fair</w:t>
      </w:r>
    </w:p>
    <w:p>
      <w:r>
        <w:t>I’ll then compare them against my own dated material, posts, repo work, drafts, and prior framing.</w:t>
      </w:r>
    </w:p>
    <w:p>
      <w:r>
        <w:t>Until that review is done, I won’t accept that my work is downstream of yours, and I also won’t escalate this publicly. I agree the correct standard is symmetry: dates, text, structure, and evidence — not vibes, proximity, or shared vocabulary.</w:t>
      </w:r>
    </w:p>
    <w:p>
      <w:r>
        <w:t>If the evidence shows I have used something that should be attributed, I’ll correct that properly.</w:t>
      </w:r>
    </w:p>
    <w:p>
      <w:r>
        <w:t>If it does not, then I’ll expect the same standard in return: no implication of copying, no public insinuation, and no attempt to claim broad ownership over general governance language that multiple people may reasonably arrive at independently.</w:t>
      </w:r>
    </w:p>
    <w:p>
      <w:r>
        <w:t>Happy to resolve this privately and properly.</w:t>
      </w:r>
    </w:p>
    <w:p>
      <w:r>
        <w:t>Ricky</w:t>
      </w:r>
    </w:p>
    <w:p>
      <w:pPr>
        <w:pStyle w:val="Heading2"/>
      </w:pPr>
      <w:r>
        <w:t xml:space="preserve">Max: 13:34 · E03</w:t>
      </w:r>
    </w:p>
    <w:p>
      <w:r>
        <w:t>Ricky — this part is straightforward.</w:t>
      </w:r>
    </w:p>
    <w:p>
      <w:r>
        <w:t>petronus.eu/works — full public corpus with dates, DOIs inside the works themselves. Plus a blog with additional pieces, including prior art entries. Everything is public. I already cited the specific axioms and primitives in my first message.</w:t>
      </w:r>
    </w:p>
    <w:p>
      <w:r>
        <w:t>To execute the side-by-side review you proposed, something is needed from you: what do you consider the reference for your prior art? Private framing, drafts, working surfaces, internal notes — that's all understood, and we both know that's not what I'm asking for. The question is straight: what is publicly available, and at what date — that you believe covers your claim to use formalized primitives and their compositional cluster without attribution?</w:t>
      </w:r>
    </w:p>
    <w:p>
      <w:r>
        <w:t>One link, one date. That's the symmetric move.</w:t>
      </w:r>
    </w:p>
    <w:p>
      <w:r>
        <w:t>Until that's on the table, the review can't start. Not because I'm withholding, but because the comparison can only be made against something that exists outside private claim.</w:t>
      </w:r>
    </w:p>
    <w:p>
      <w:pPr>
        <w:pStyle w:val="Heading2"/>
      </w:pPr>
      <w:r>
        <w:t xml:space="preserve">Ricky: 13:50 · E04</w:t>
      </w:r>
    </w:p>
    <w:p>
      <w:r>
        <w:t>Thanks Max.</w:t>
      </w:r>
    </w:p>
    <w:p>
      <w:r>
        <w:t>Understood. I’ll review the public corpus you’ve pointed to.</w:t>
      </w:r>
    </w:p>
    <w:p>
      <w:r>
        <w:t>On my side, I’m not going to improvise a provenance claim in a DM thread. The clean answer is that I need to pull together the public references, dates, repo materials, posts, and any stable artefacts before giving you a proper comparison point.</w:t>
      </w:r>
    </w:p>
    <w:p>
      <w:r>
        <w:t>So the next step is simple:</w:t>
      </w:r>
    </w:p>
    <w:p>
      <w:r>
        <w:t>I’ll identify what I’m treating as my public reference material, with dates, and come back with that rather than arguing from memory or private working context.</w:t>
      </w:r>
    </w:p>
    <w:p>
      <w:r>
        <w:t>Until then, I’m not accepting the claim that my work is downstream of yours, but I also accept that the review needs public artefacts on both sides.</w:t>
      </w:r>
    </w:p>
    <w:p>
      <w:r>
        <w:t>That’s the fair standard.</w:t>
      </w:r>
    </w:p>
    <w:p>
      <w:r>
        <w:t>Ricky</w:t>
      </w:r>
    </w:p>
    <w:p>
      <w:r>
        <w:rPr>
          <w:i/>
        </w:rPr>
        <w:t xml:space="preserve">[Other messages appear between these fragments in the source record; they are not included in this thematic selection.]</w:t>
      </w:r>
    </w:p>
    <w:p>
      <w:pPr>
        <w:pStyle w:val="Heading2"/>
      </w:pPr>
      <w:r>
        <w:rPr>
          <w:i/>
        </w:rPr>
        <w:t xml:space="preserve">[Gap between preserved screens: the verbatim text is not shown here.]</w:t>
      </w:r>
    </w:p>
    <w:p>
      <w:pPr>
        <w:pStyle w:val="Heading2"/>
      </w:pPr>
      <w:r>
        <w:t xml:space="preserve">Max: 14:42 · E06</w:t>
      </w:r>
    </w:p>
    <w:p>
      <w:r>
        <w:t>Two issues that need clarification before the side-by-side can start:</w:t>
      </w:r>
    </w:p>
    <w:p>
      <w:r>
        <w:t>1. The DOI is missing. What you sent reads "DOI [X]." That's a placeholder, not a DOI. I can't access the work without the actual identifier. Please send the real DOI string, or a direct URL to the publication.</w:t>
      </w:r>
    </w:p>
    <w:p>
      <w:r>
        <w:t>2. I can't locate the work by title alone. A search for "Authority Allocation at Decision Boundaries: A Formal Governance Model" returns no public match - no Zenodo, OSF, arXiv, ResearchGate,  GitHub or other repository hit. If the work is published with a 2026-01-05 date and a DOI, it should be findable. So either the title isn't exactly as stated, or the DOI placeholder needs to be filled in for me to verify.</w:t>
      </w:r>
    </w:p>
    <w:p>
      <w:r>
        <w:t>Once I have the actual link, I'll do exactly what we agreed -  careful side-by-side on specific claims, terminology, and structures.</w:t>
      </w:r>
    </w:p>
    <w:p>
      <w:pPr>
        <w:pStyle w:val="Heading2"/>
      </w:pPr>
      <w:r>
        <w:t xml:space="preserve">Ricky: 15:03 · E07</w:t>
      </w:r>
    </w:p>
    <w:p>
      <w:r>
        <w:rPr>
          <w:i/>
        </w:rPr>
        <w:t xml:space="preserve">This message was deleted.</w:t>
      </w:r>
    </w:p>
    <w:p>
      <w:r>
        <w:t>Apologies — the DOI rendered incorrectly in my last message.</w:t>
      </w:r>
    </w:p>
    <w:p>
      <w:r>
        <w:t>Here it is properly:</w:t>
      </w:r>
    </w:p>
    <w:p>
      <w:r>
        <w:t>DOI: 10.5281/zenodo.18153152</w:t>
      </w:r>
    </w:p>
    <w:p>
      <w:r>
        <w:t>URL: https://zenodo.org/records/18153152</w:t>
      </w:r>
    </w:p>
    <w:p>
      <w:r>
        <w:t>Title: “Authority Allocation at Decision Boundaries A Formal Governance Model”</w:t>
      </w:r>
    </w:p>
    <w:p>
      <w:r>
        <w:t>Author: Jones, Ricky Dean</w:t>
      </w:r>
    </w:p>
    <w:p>
      <w:r>
        <w:t>Publication date: 2026-01-05</w:t>
      </w:r>
    </w:p>
    <w:p>
      <w:r>
        <w:t>Access: Open access</w:t>
      </w:r>
    </w:p>
    <w:p>
      <w:r>
        <w:t>Resource type: Preprint</w:t>
      </w:r>
    </w:p>
    <w:p>
      <w:r>
        <w:t>Note: the stored Zenodo title does not include a colon after “Boundaries”, which may be why a strict title search missed it.</w:t>
      </w:r>
    </w:p>
    <w:p>
      <w:r>
        <w:t>That is the public anchor I’m relying on for the initial comparison.</w:t>
      </w:r>
    </w:p>
    <w:p>
      <w:r>
        <w:t>Ricky</w:t>
      </w:r>
    </w:p>
    <w:p>
      <w:pPr>
        <w:pStyle w:val="Heading2"/>
      </w:pPr>
      <w:r>
        <w:t xml:space="preserve">Max: 15:57 · E08</w:t>
      </w:r>
    </w:p>
    <w:p>
      <w:r>
        <w:t>Ricky — thanks for sharing. Yes, I see you sent a work from January 5.</w:t>
      </w:r>
    </w:p>
    <w:p>
      <w:r>
        <w:t>But let me ask: what do you actually see here as overlap with your LinkedIn post?</w:t>
      </w:r>
    </w:p>
    <w:p>
      <w:r>
        <w:t>Because if this is the prior art — it's prior art for something else. You're working with entirely different concepts in this paper. You use the word "admissibility" a couple of times, but it's an empty word here — it isn't backed by any formal apparatus. It's used in the sense of "a system is admissible if authority is allocated" — which is an organizational rule, not a structural predicate on a Lyapunov budget. The paper has no τ, no Φ, no irreversibility, no fail-closed under non-constructibility, no boundedness, no orbits, no drift, no identity preservation, no NR bounds, no spin, no math at all. It's a four-page declarative organizational governance model.</w:t>
      </w:r>
    </w:p>
    <w:p>
      <w:r>
        <w:t>So let me confirm — and I'm asking this a second time so your position gets recorded clearly: are you saying this work is the prior art for "Admissibility Before Optimization"?</w:t>
      </w:r>
    </w:p>
    <w:p>
      <w:r>
        <w:t>Because they aren't about the same thing.</w:t>
      </w:r>
    </w:p>
    <w:p>
      <w:r>
        <w:t>Your paper is about: who has the right to decide at organizational decision boundaries, in what forms (human/collective/procedural/automated), with what escalation paths and stoppage conditions. Authority allocation in the managerial sense.</w:t>
      </w:r>
    </w:p>
    <w:p>
      <w:r>
        <w:t>Admissibility Before Optimization is about: when a system in a long-horizon adaptive regime is structurally allowed to evolve at all — admissibility as a non-causal threshold predicate on internal time τ = C − Φ, with Φ as monotone irreversible load functional, CGI-class non-bypassability, fail-closed semantics under non-constructibility, NR-ε bounds, identity-preservation under bounded budget, spin as the non-potential component required for non-stagnant identity. It's a dynamical-systems / architectural-physics frame for systems evolving over time.</w:t>
      </w:r>
    </w:p>
    <w:p>
      <w:r>
        <w:t>One paper formalizes "who decides at the boundary." The other formalizes "under what dynamical conditions the system is allowed to act at all over a long horizon."</w:t>
      </w:r>
    </w:p>
    <w:p>
      <w:r>
        <w:t>Different objects. Different math (yours has none, mine is a formal axiomatic corpus). Different scope. Different class of system.</w:t>
      </w:r>
    </w:p>
    <w:p>
      <w:r>
        <w:t>So the question stands clean: do you confirm this paper is the prior art for "Admissibility Before Optimization"? If yes, I'd like to understand the basis for treating them as the same object. If no, then the post needs separated attribution: your paper's frame stays yours, the formulations beyond its scope reference NC2.5.</w:t>
      </w:r>
    </w:p>
    <w:p>
      <w:pPr>
        <w:pStyle w:val="Heading2"/>
      </w:pPr>
      <w:r>
        <w:t xml:space="preserve">Ricky: 17:41 · E09</w:t>
      </w:r>
    </w:p>
    <w:p>
      <w:r>
        <w:t>Max — yes, that distinction is fair.</w:t>
      </w:r>
    </w:p>
    <w:p>
      <w:r>
        <w:t>I am not claiming that my January 5 paper is prior art for your full “Admissibility Before Optimization” formal apparatus: τ, Φ, Lyapunov-style budget, non-constructibility, NR bounds, spin, or the wider NC2.5 dynamical-systems frame.</w:t>
      </w:r>
    </w:p>
    <w:p>
      <w:r>
        <w:t>That is your structure.</w:t>
      </w:r>
    </w:p>
    <w:p>
      <w:r>
        <w:t>The January 5 paper is my public anchor for my own authority-boundary frame: authority allocation, decision boundaries, escalation, stoppage conditions, and whether a discrete act of execution is admissible from an organisational / governance perspective.</w:t>
      </w:r>
    </w:p>
    <w:p>
      <w:r>
        <w:t>So the clean separation is:</w:t>
      </w:r>
    </w:p>
    <w:p>
      <w:r>
        <w:t>- your use of admissibility: structural permission for evolution inside a long-horizon adaptive system</w:t>
      </w:r>
    </w:p>
    <w:p>
      <w:r>
        <w:t>- my use of admissibility: authority conditions for execution at a decision boundary</w:t>
      </w:r>
    </w:p>
    <w:p>
      <w:r>
        <w:t>Same word, adjacent problem-space, different object.</w:t>
      </w:r>
    </w:p>
    <w:p>
      <w:r>
        <w:t>Where I’m willing to review attribution is any later wording of mine that may have blurred those frames or appeared to pull from your specific NC2.5 apparatus without separation.</w:t>
      </w:r>
    </w:p>
    <w:p>
      <w:r>
        <w:t>So yes: I confirm the January 5 paper is not prior art for your full “Admissibility Before Optimization” corpus. It is prior public art for my authority-allocation-at-decision-boundaries frame.</w:t>
      </w:r>
    </w:p>
    <w:p>
      <w:r>
        <w:t>From here, the fair next step is specific passage mapping: which exact sentence or formulation in my post do you believe crosses from my authority-boundary frame into your NC2.5 frame?</w:t>
      </w:r>
    </w:p>
    <w:p>
      <w:r>
        <w:t>Ricky</w:t>
      </w:r>
    </w:p>
    <w:p>
      <w:pPr>
        <w:pStyle w:val="Heading2"/>
      </w:pPr>
      <w:r>
        <w:t xml:space="preserve">Ricky: 17:43 · E10</w:t>
      </w:r>
    </w:p>
    <w:p>
      <w:r>
        <w:t>Thanks Max.</w:t>
      </w:r>
    </w:p>
    <w:p>
      <w:r>
        <w:t>That is my final message on this.</w:t>
      </w:r>
    </w:p>
    <w:p>
      <w:r>
        <w:t>If you want to take the matter further, please do so through your solicitor.</w:t>
      </w:r>
    </w:p>
    <w:p>
      <w:r>
        <w:t>Ricky</w:t>
      </w:r>
    </w:p>
    <w:p>
      <w:pPr>
        <w:pStyle w:val="Heading1"/>
      </w:pPr>
      <w:r>
        <w:t xml:space="preserve">28 April 2026</w:t>
      </w:r>
    </w:p>
    <w:p>
      <w:r>
        <w:rPr>
          <w:i/>
        </w:rPr>
        <w:t xml:space="preserve">[Other messages appear between these fragments in the source record; they are not included in this thematic selection.]</w:t>
      </w:r>
    </w:p>
    <w:p>
      <w:pPr>
        <w:pStyle w:val="Heading2"/>
      </w:pPr>
      <w:r>
        <w:t xml:space="preserve">Max: 18:04 · E11</w:t>
      </w:r>
    </w:p>
    <w:p>
      <w:r>
        <w:t>Ricky, hi! Saw Nick's post about your review of CARE. The structural tightening is real -  "narrower execution-boundary proof standard," shift from absence of outcome to absence of realizability. That's good engineering, and your pressure produced it.</w:t>
      </w:r>
    </w:p>
    <w:p>
      <w:r>
        <w:t>One question, since you and I have been working parallel lines into the same library for months: when you reviewed CARE, did the primitive cluster register as the NC2.5 formalization layer with enforcement built on top? The clarifications Nick listed - bounded negative evidence, system reality defined by what permits binding, structural realizability test - map directly onto the formal apparatus we've both been working with.</w:t>
      </w:r>
    </w:p>
    <w:p>
      <w:r>
        <w:t>Quick context: about an couple hours ago Nick and I had an IP exchange. After three direct refusals across the thread to send canonical material, he sent a Zenodo document dated today (April 28, 2026) - "Founder Protection &amp; Attribution Notice," version 1.0, with a Section 6 specifically distancing CARE from "architectures that primarily define what is structurally reachable, what is cryptographically enforceable, or what can be deterministically prevented in runtime." That description maps directly onto NC2.5. So when his post about your review surfaced after that, the timing registered.</w:t>
      </w:r>
    </w:p>
    <w:p>
      <w:r>
        <w:t>Not asking you to take a public position. Asking what you saw structurally during the review.</w:t>
      </w:r>
    </w:p>
    <w:p>
      <w:r>
        <w:t xml:space="preserve">No agenda - just want to understand whether the overlap registered on your side, or whether the framing made it look independent.(edited)</w:t>
      </w:r>
    </w:p>
    <w:p>
      <w:pPr>
        <w:pStyle w:val="Heading2"/>
      </w:pPr>
      <w:r>
        <w:t xml:space="preserve">Max: 18:09 · E12</w:t>
      </w:r>
    </w:p>
    <w:p>
      <w:r>
        <w:t>One more thing for context - and this lines up with what you and I have been seeing similarly across this space.</w:t>
      </w:r>
    </w:p>
    <w:p>
      <w:r>
        <w:t>What's happening right now reads like an attempt to use your review as legitimization for the architecture. When asked directly what differentiates CARE from NC2.5 primitives - he doesn't answer. He shifts the frame. Same exit pattern we've both seen elsewhere when someone is pressed on differentiation.</w:t>
      </w:r>
    </w:p>
    <w:p>
      <w:r>
        <w:t>So that's why your read matters: did the review actually reflect what's there, or did it reflect what he wanted to be there? You're the only person in the loop who can tell the difference, because you ran the review.</w:t>
      </w:r>
    </w:p>
    <w:p>
      <w:r>
        <w:t>Whatever you saw - that's the answer I'd trust.</w:t>
      </w:r>
    </w:p>
    <w:p>
      <w:pPr>
        <w:pStyle w:val="Heading2"/>
      </w:pPr>
      <w:r>
        <w:t xml:space="preserve">Ricky: 19:32 · E13</w:t>
      </w:r>
    </w:p>
    <w:p>
      <w:r>
        <w:t>Thanks Max.</w:t>
      </w:r>
    </w:p>
    <w:p>
      <w:r>
        <w:t>Clean boundary from my side: my review of CARE was not a validation of CARE as a whole, and it was not a comparison of CARE against NC2.5.</w:t>
      </w:r>
    </w:p>
    <w:p>
      <w:r>
        <w:t>What I pressure-tested was narrower — whether the proof standard could be tightened around execution-boundary consequence: bind, admissibility, non-execution, and whether unauthorised consequence can become reachable.</w:t>
      </w:r>
    </w:p>
    <w:p>
      <w:r>
        <w:t>I would not want my review used as blanket legitimisation of the architecture, or as evidence that CARE is differentiated from your corpus. I did not run that comparison.</w:t>
      </w:r>
    </w:p>
    <w:p>
      <w:r>
        <w:t>If there is a CARE / NC2.5 overlap question, the fair route is the standard the review used: exact passages, dates, claims, and structural mapping.</w:t>
      </w:r>
    </w:p>
    <w:p>
      <w:r>
        <w:t>My contribution was to tighten the proof obligation. I am not in a position to adjudicate the broader differentiation question without a side-by-side evidence review.</w:t>
      </w:r>
    </w:p>
    <w:p>
      <w:pPr>
        <w:pStyle w:val="Heading1"/>
      </w:pPr>
      <w:r>
        <w:t xml:space="preserve">4 May 2026</w:t>
      </w:r>
    </w:p>
    <w:p>
      <w:r>
        <w:rPr>
          <w:i/>
        </w:rPr>
        <w:t xml:space="preserve">[Other messages appear between these fragments in the source record; they are not included in this thematic selection.]</w:t>
      </w:r>
    </w:p>
    <w:p>
      <w:pPr>
        <w:pStyle w:val="Heading2"/>
      </w:pPr>
      <w:r>
        <w:t xml:space="preserve">Max: 01:57 · E14</w:t>
      </w:r>
    </w:p>
    <w:p>
      <w:r>
        <w:t>Hi.</w:t>
      </w:r>
    </w:p>
    <w:p>
      <w:r>
        <w:t>I want to let you know that I am leaving the Interop Lab. The reason is an observable, deliberate dilution of my work inside the Mesh materials and a rewriting of my constructs and constructs from other participants into Lab language. This is a structural pattern, not a single incident.</w:t>
      </w:r>
    </w:p>
    <w:p>
      <w:r>
        <w:t>Further communications from my side will be outside the Lab context. In one week I will begin my own actions to remove my name and my primitives from accessible Lab materials.</w:t>
      </w:r>
    </w:p>
    <w:p>
      <w:r>
        <w:t>No grievance toward you personally. Just stating the fact of departure.</w:t>
      </w:r>
    </w:p>
    <w:p>
      <w:r>
        <w:rPr>
          <w:i/>
        </w:rPr>
        <w:t xml:space="preserve">[Editorial omission: contractual fragment; outside the scope of the public package.]</w:t>
      </w:r>
    </w:p>
    <w:p>
      <w:pPr>
        <w:pStyle w:val="Heading2"/>
      </w:pPr>
      <w:r>
        <w:t xml:space="preserve">Ricky: 04:14 · E15</w:t>
      </w:r>
    </w:p>
    <w:p>
      <w:r>
        <w:t>Max — I hear you.</w:t>
      </w:r>
    </w:p>
    <w:p>
      <w:r>
        <w:t>I need to be clear on my side: I was following the instructions I was given and did not properly understand who was in the team, what had come from whom, or where Lab/Mesh language may have been crashing into other people’s architectures.</w:t>
      </w:r>
    </w:p>
    <w:p>
      <w:r>
        <w:t>That is on me.</w:t>
      </w:r>
    </w:p>
    <w:p>
      <w:r>
        <w:t>I also know what it feels like to have your work diluted, rewritten, or absorbed into someone else’s framing. So I take what you are saying seriously.</w:t>
      </w:r>
    </w:p>
    <w:p>
      <w:r>
        <w:t>Knowing you were involved changes the context for me. I had not understood that clearly enough.</w:t>
      </w:r>
    </w:p>
    <w:p>
      <w:r>
        <w:t>If you want help evidencing, separating, or removing your primitives from Lab-facing material, I will 100% help. No pressure either way — just saying plainly that I am happy to assist.</w:t>
      </w:r>
    </w:p>
    <w:p>
      <w:r>
        <w:t>No grievance from me toward you.</w:t>
      </w:r>
    </w:p>
    <w:p>
      <w:r>
        <w:rPr>
          <w:i/>
        </w:rPr>
        <w:t xml:space="preserve">[Other messages appear between these fragments in the source record; they are not included in this thematic selection.]</w:t>
      </w:r>
    </w:p>
    <w:p>
      <w:pPr>
        <w:pStyle w:val="Heading2"/>
      </w:pPr>
      <w:r>
        <w:t xml:space="preserve">Ricky: 11:33 · E16</w:t>
      </w:r>
    </w:p>
    <w:p>
      <w:r>
        <w:t>Max — I appreciate you laying that out.</w:t>
      </w:r>
    </w:p>
    <w:p>
      <w:r>
        <w:t>I’m going to take your advice and look closely at my position and at the Mesh material directly. I haven’t reviewed it with that lens yet, so I won’t make claims before I’ve checked it properly.</w:t>
      </w:r>
    </w:p>
    <w:p>
      <w:r>
        <w:t>On the pattern — I hear it. I’ve seen enough now to understand why you’re drawing that line, even if I need to verify specifics myself.</w:t>
      </w:r>
    </w:p>
    <w:p>
      <w:r>
        <w:t>For me, the boundary is simple:</w:t>
      </w:r>
    </w:p>
    <w:p>
      <w:r>
        <w:t>I’ll keep my work clearly attributable, and I won’t let anything I’ve built be silently absorbed or reframed without consent.</w:t>
      </w:r>
    </w:p>
    <w:p>
      <w:r>
        <w:t>I’m not looking to get pulled into group dynamics or positioning either — I care about the work holding its shape and being provable at the execution boundary.</w:t>
      </w:r>
    </w:p>
    <w:p>
      <w:r>
        <w:t>If there’s anything concrete you want surfaced, checked, or separated in the material, send it over. I’ll look at it cleanly.</w:t>
      </w:r>
    </w:p>
    <w:p>
      <w:r>
        <w:t>And I respect the “round table” idea — independent work, clear attribution, no central ownership drift. That part makes sense.</w:t>
      </w:r>
    </w:p>
    <w:p>
      <w:r>
        <w:t>Take care — and I mean that.</w:t>
      </w:r>
    </w:p>
    <w:p>
      <w:pPr>
        <w:pStyle w:val="Heading2"/>
      </w:pPr>
      <w:r>
        <w:t xml:space="preserve">Ricky: 11:36 · E17</w:t>
      </w:r>
    </w:p>
    <w:p>
      <w:r>
        <w:t>Max — I checked the repo surface I can access.</w:t>
      </w:r>
    </w:p>
    <w:p>
      <w:r>
        <w:t>I found enough to say this needs a proper provenance review, but I’m going to keep the claim boundary clean.</w:t>
      </w:r>
    </w:p>
    <w:p>
      <w:r>
        <w:t>What I can see:</w:t>
      </w:r>
    </w:p>
    <w:p>
      <w:r>
        <w:t>The Lab charter says contributor ownership and non-overlap must be preserved.</w:t>
      </w:r>
    </w:p>
    <w:p>
      <w:r>
        <w:t>It also says no participant’s work should be framed as a subcomponent of another’s narrative, and that derivative use or structural incorporation requires explicit written agreement.</w:t>
      </w:r>
    </w:p>
    <w:p>
      <w:r>
        <w:t>I also found the NC2.5 reference note. It says your material was approved as a private Lab reference / constraint specification, not something to be folded into a public paper, and that attribution discipline for you and Alex must be preserved.</w:t>
      </w:r>
    </w:p>
    <w:p>
      <w:r>
        <w:t>There is also an internal audit note saying NC2.5 appears as contributor/lane-specific rather than foundational to the Lab.</w:t>
      </w:r>
    </w:p>
    <w:p>
      <w:r>
        <w:t>My read:</w:t>
      </w:r>
    </w:p>
    <w:p>
      <w:r>
        <w:t>That audit may be asking too narrow a question.</w:t>
      </w:r>
    </w:p>
    <w:p>
      <w:r>
        <w:t>The issue is not only whether NC2.5 is “the foundation” of the Lab.</w:t>
      </w:r>
    </w:p>
    <w:p>
      <w:r>
        <w:t>The sharper question is whether NC2.5 primitives, constraints, or framing have been translated into Lab/Mesh language in a way that weakens attribution or turns contributor work into Lab-owned architecture.</w:t>
      </w:r>
    </w:p>
    <w:p>
      <w:r>
        <w:t>That needs artifact-by-artifact checking.</w:t>
      </w:r>
    </w:p>
    <w:p>
      <w:r>
        <w:t>So I’m not going to make an intent claim yet.</w:t>
      </w:r>
    </w:p>
    <w:p>
      <w:r>
        <w:t>But I agree there is enough here to justify a clean provenance review.</w:t>
      </w:r>
    </w:p>
    <w:p>
      <w:r>
        <w:t>If you send me the specific Mesh v0.2.2 document or the exact sections you mean, I’ll compare them against your source terms and help separate:</w:t>
      </w:r>
    </w:p>
    <w:p>
      <w:r>
        <w:t>1. direct dependency</w:t>
      </w:r>
    </w:p>
    <w:p>
      <w:r>
        <w:t>2. conceptual overlap</w:t>
      </w:r>
    </w:p>
    <w:p>
      <w:r>
        <w:t>3. renamed primitive</w:t>
      </w:r>
    </w:p>
    <w:p>
      <w:r>
        <w:t>4. legitimate interop translation</w:t>
      </w:r>
    </w:p>
    <w:p>
      <w:r>
        <w:t>5. attribution failure</w:t>
      </w:r>
    </w:p>
    <w:p>
      <w:r>
        <w:t>That keeps it evidential rather than just social heat.</w:t>
      </w:r>
    </w:p>
    <w:p>
      <w:pPr>
        <w:pStyle w:val="Heading2"/>
      </w:pPr>
      <w:r>
        <w:t xml:space="preserve">Ricky: 11:54 · E18</w:t>
      </w:r>
    </w:p>
    <w:p>
      <w:r>
        <w:t>Max — can you send me the exact Mesh v0.2.2 document, or the specific sections you mean?</w:t>
      </w:r>
    </w:p>
    <w:p>
      <w:r>
        <w:t>I want to check this properly rather than work from general pattern recognition.</w:t>
      </w:r>
    </w:p>
    <w:p>
      <w:r>
        <w:t>The clean comparison I want to run is:</w:t>
      </w:r>
    </w:p>
    <w:p>
      <w:r>
        <w:t>1. your original NC2.5 / PETRONUS / ECR-VP primitives</w:t>
      </w:r>
    </w:p>
    <w:p>
      <w:r>
        <w:t>2. the Mesh wording</w:t>
      </w:r>
    </w:p>
    <w:p>
      <w:r>
        <w:t>3. the Lab wording</w:t>
      </w:r>
    </w:p>
    <w:p>
      <w:r>
        <w:t>4. whether the move is legitimate interop translation or attribution weakening</w:t>
      </w:r>
    </w:p>
    <w:p>
      <w:r>
        <w:t>The key distinction for me is this:</w:t>
      </w:r>
    </w:p>
    <w:p>
      <w:r>
        <w:t>It is not enough to ask whether NC2.5 is “foundational” to the Lab.</w:t>
      </w:r>
    </w:p>
    <w:p>
      <w:r>
        <w:t>The sharper question is whether your primitives, constraints, or framing have been translated into Lab/Mesh language in a way that turns contributor work into Lab-owned architecture.</w:t>
      </w:r>
    </w:p>
    <w:p>
      <w:r>
        <w:t>If you send the exact material, I’ll look at it cleanly and keep the evidence boundary tight.</w:t>
      </w:r>
    </w:p>
    <w:p>
      <w:r>
        <w:rPr>
          <w:i/>
        </w:rPr>
        <w:t xml:space="preserve">[Other messages appear between these fragments in the source record; they are not included in this thematic selection.]</w:t>
      </w:r>
    </w:p>
    <w:p>
      <w:pPr>
        <w:pStyle w:val="Heading2"/>
      </w:pPr>
      <w:r>
        <w:t xml:space="preserve">Ricky: 14:00 · E19</w:t>
      </w:r>
    </w:p>
    <w:p>
      <w:r>
        <w:t>Max — quite.</w:t>
      </w:r>
    </w:p>
    <w:p>
      <w:r>
        <w:t>We proceed as civilised operators do: quietly, evidentially, and without waving anything sharp in public.</w:t>
      </w:r>
    </w:p>
    <w:p>
      <w:r>
        <w:t>Richard can remain undisturbed for now.</w:t>
      </w:r>
    </w:p>
    <w:p>
      <w:r>
        <w:t>First order of business: a discreet provenance dossier:</w:t>
      </w:r>
    </w:p>
    <w:p>
      <w:r>
        <w:t>1. source primitive</w:t>
      </w:r>
    </w:p>
    <w:p>
      <w:r>
        <w:t>2. Lab / Mesh phrasing</w:t>
      </w:r>
    </w:p>
    <w:p>
      <w:r>
        <w:t>3. exact overlap</w:t>
      </w:r>
    </w:p>
    <w:p>
      <w:r>
        <w:t>4. attribution status</w:t>
      </w:r>
    </w:p>
    <w:p>
      <w:r>
        <w:t>5. boundary concern</w:t>
      </w:r>
    </w:p>
    <w:p>
      <w:r>
        <w:t>6. claim limit</w:t>
      </w:r>
    </w:p>
    <w:p>
      <w:r>
        <w:t>No accusations.</w:t>
      </w:r>
    </w:p>
    <w:p>
      <w:r>
        <w:t>No theatre.</w:t>
      </w:r>
    </w:p>
    <w:p>
      <w:r>
        <w:t>Just a clean chain of custody.</w:t>
      </w:r>
    </w:p>
    <w:p>
      <w:r>
        <w:t>Between ourselves: not immediately, but in due course, there may be the makings of a paper or joint note, assembled with proper restraint and kept well below the internet’s confetti line.</w:t>
      </w:r>
    </w:p>
    <w:p>
      <w:r>
        <w:t>Not for spectacle — heaven spare us more bunting — but because your discipline around attribution suggests we would collaborate without making a mess of the furniture.</w:t>
      </w:r>
    </w:p>
    <w:p>
      <w:r>
        <w:t>No urgency. No obligation.</w:t>
      </w:r>
    </w:p>
    <w:p>
      <w:r>
        <w:t>If it is of interest, we let it mature quietly and only act once the shape is precise.</w:t>
      </w:r>
    </w:p>
    <w:p>
      <w:pPr>
        <w:pStyle w:val="Heading2"/>
      </w:pPr>
      <w:r>
        <w:t xml:space="preserve">Max: 17:10 · E20</w:t>
      </w:r>
    </w:p>
    <w:p>
      <w:r>
        <w:t>Ricky -  quite. Six axes are right. Boundary concern and claim limit in particular are the additions that turn a comparison into a defensible record. Chain of custody is the right frame.</w:t>
      </w:r>
    </w:p>
    <w:p>
      <w:r>
        <w:t>Discreet, evidential, no waving. Same regime on my side. I will fix what I send you in a way that holds independently - versioned, dated, with the original notation intact - so that whatever shape eventually emerges sits on artifacts rather than memory.</w:t>
      </w:r>
    </w:p>
    <w:p>
      <w:r>
        <w:t>A joint note in due course - possible, if the shape ends up precise. Not committed, not announced. We let it mature, and act only when the structure is clean enough to put a name to.</w:t>
      </w:r>
    </w:p>
    <w:p>
      <w:r>
        <w:t>Take whatever pace you need.</w:t>
      </w:r>
    </w:p>
    <w:p>
      <w:pPr>
        <w:pStyle w:val="Heading1"/>
      </w:pPr>
      <w:r>
        <w:t xml:space="preserve">11 May 2026</w:t>
      </w:r>
    </w:p>
    <w:p>
      <w:r>
        <w:rPr>
          <w:i/>
        </w:rPr>
        <w:t xml:space="preserve">[Other messages appear between these fragments in the source record; they are not included in this thematic selection.]</w:t>
      </w:r>
    </w:p>
    <w:p>
      <w:pPr>
        <w:pStyle w:val="Heading2"/>
      </w:pPr>
      <w:r>
        <w:t xml:space="preserve">Max: 00:38 · E21</w:t>
      </w:r>
    </w:p>
    <w:p>
      <w:r>
        <w:t>Just for reference - this is how Richard frames the investor-facing document where he presents our joint work in the lab.</w:t>
      </w:r>
    </w:p>
    <w:p>
      <w:r>
        <w:t xml:space="preserve">[Attachment: Neutral Integration Layer (1).pdf]</w:t>
      </w:r>
    </w:p>
    <w:p>
      <w:r>
        <w:t xml:space="preserve">[Attachment: Press Enter to display a preview of the file]</w:t>
      </w:r>
    </w:p>
    <w:p>
      <w:pPr>
        <w:pStyle w:val="Heading2"/>
      </w:pPr>
      <w:r>
        <w:t xml:space="preserve">Ricky: 00:42 · E22</w:t>
      </w:r>
    </w:p>
    <w:p>
      <w:r>
        <w:t>Sunday 10 May 2026, 23:45 BST</w:t>
      </w:r>
    </w:p>
    <w:p>
      <w:r>
        <w:t>Max — thank you for sending this.</w:t>
      </w:r>
    </w:p>
    <w:p>
      <w:r>
        <w:t>I am not ignoring it, and I do understand why that document would concern you.</w:t>
      </w:r>
    </w:p>
    <w:p>
      <w:r>
        <w:t>My fair read is this:</w:t>
      </w:r>
    </w:p>
    <w:p>
      <w:r>
        <w:t>There was a real ambiguity surface there. The investor-facing framing and the “Neutral Integration Layer” diagram could reasonably make contributor boundaries feel dissolved into a single Genesis / Mesh presentation.</w:t>
      </w:r>
    </w:p>
    <w:p>
      <w:r>
        <w:t>I am not going to pretend that is nothing.</w:t>
      </w:r>
    </w:p>
    <w:p>
      <w:r>
        <w:t>At the same time, I need to stay disciplined in how I handle this.</w:t>
      </w:r>
    </w:p>
    <w:p>
      <w:r>
        <w:t>From what I can currently verify, the active Interop Lab repo surface has now been cleaned so NC2.5 / MxBv is not presented as an active contributor lane, and historical context appears to be moved into audit/removal records.</w:t>
      </w:r>
    </w:p>
    <w:p>
      <w:r>
        <w:t>So my position is:</w:t>
      </w:r>
    </w:p>
    <w:p>
      <w:r>
        <w:t>- your concern is not imaginary</w:t>
      </w:r>
    </w:p>
    <w:p>
      <w:r>
        <w:t>- the old presentation surface was risky</w:t>
      </w:r>
    </w:p>
    <w:p>
      <w:r>
        <w:t>- the current repo surface looks materially cleaner</w:t>
      </w:r>
    </w:p>
    <w:p>
      <w:r>
        <w:t>- any remaining issue needs to be handled artifact by artifact</w:t>
      </w:r>
    </w:p>
    <w:p>
      <w:r>
        <w:t>The standard I am using is:</w:t>
      </w:r>
    </w:p>
    <w:p>
      <w:r>
        <w:t>exact construct</w:t>
      </w:r>
    </w:p>
    <w:p>
      <w:r>
        <w:t>exact source</w:t>
      </w:r>
    </w:p>
    <w:p>
      <w:r>
        <w:t>exact artifact</w:t>
      </w:r>
    </w:p>
    <w:p>
      <w:r>
        <w:t>exact use</w:t>
      </w:r>
    </w:p>
    <w:p>
      <w:r>
        <w:t>exact requested correction</w:t>
      </w:r>
    </w:p>
    <w:p>
      <w:r>
        <w:t>That is the only way I can help put things right without turning this into a public fight or making claims beyond the evidence.</w:t>
      </w:r>
    </w:p>
    <w:p>
      <w:r>
        <w:t>If there is a specific Mesh / Genesis / Lab artifact you want checked, send me the exact file or section and the original dated source you want compared against it.</w:t>
      </w:r>
    </w:p>
    <w:p>
      <w:r>
        <w:t>I will look at it fairly.</w:t>
      </w:r>
    </w:p>
    <w:p>
      <w:r>
        <w:t>No drama from me, but no blind dismissal either.</w:t>
      </w:r>
    </w:p>
    <w:p>
      <w:pPr>
        <w:pStyle w:val="Heading1"/>
      </w:pPr>
      <w:r>
        <w:t xml:space="preserve">15 August 2026</w:t>
      </w:r>
    </w:p>
    <w:p>
      <w:r>
        <w:rPr>
          <w:i/>
        </w:rPr>
        <w:t xml:space="preserve">[Other messages appear between these fragments in the source record; they are not included in this thematic selection.]</w:t>
      </w:r>
    </w:p>
    <w:p>
      <w:pPr>
        <w:pStyle w:val="Heading2"/>
      </w:pPr>
      <w:r>
        <w:t xml:space="preserve">Ricky: 10:48 · E23</w:t>
      </w:r>
    </w:p>
    <w:p>
      <w:r>
        <w:t>Max, I will keep what you have told me private. I will not carry it into a public dispute or relay it to Richard.</w:t>
      </w:r>
    </w:p>
    <w:p>
      <w:r>
        <w:t>I should explain my own lane just as plainly.</w:t>
      </w:r>
    </w:p>
    <w:p>
      <w:r>
        <w:t xml:space="preserve">[Editorial omission: introductory phrase containing a personal name.] my instinct is to preserve things: their source, their boundaries and what happens to them as they travel. I do not need to enter every part of someone else’s architecture. I need to know enough to keep the object and its custody honest. For some reason, that way of working often produces useful results.</w:t>
      </w:r>
    </w:p>
    <w:p>
      <w:r>
        <w:t>I have now checked the current Rainbow Topology work carefully before mentioning it to you.</w:t>
      </w:r>
    </w:p>
    <w:p>
      <w:r>
        <w:t>It is not Richard’s work, and it is not derived from or incorporating NC2.5. It began as my own side research question: how distinct but related signals travel through human and technical environments, and whether they alter the visible configuration over time.</w:t>
      </w:r>
    </w:p>
    <w:p>
      <w:r>
        <w:t>Trinity supplies the governed inspection route. It does not merge, inherit or claim ownership of anyone else’s architecture.</w:t>
      </w:r>
    </w:p>
    <w:p>
      <w:r>
        <w:t>There are adjacent questions—source preservation, admissibility, identity, propagation and change without absorption—but adjacency is not inheritance. Richard is neither a source nor a participant in the Rainbow object, and nothing from NC2.5 has been imported into it.</w:t>
      </w:r>
    </w:p>
    <w:p>
      <w:r>
        <w:t>So perhaps there is a middle road here: not a reconciliation project, and not a request for you to work with Richard or change your position. It would be a separate, bounded research object that you and I might inspect together, if it interests you, while both Richard’s work and NC2.5 remain outside it and fully intact.</w:t>
      </w:r>
    </w:p>
    <w:p>
      <w:r>
        <w:t>That is not yet a task, collaboration or architectural claim. I wanted to establish the boundary before placing anything in front of you.</w:t>
      </w:r>
    </w:p>
    <w:p>
      <w:pPr>
        <w:pStyle w:val="Heading2"/>
      </w:pPr>
      <w:r>
        <w:t xml:space="preserve">Max: 13:40 · E24</w:t>
      </w:r>
    </w:p>
    <w:p>
      <w:r>
        <w:t>Ricky — that is the right order, and I noticed it: you set the boundary before you put anything on the table.</w:t>
      </w:r>
    </w:p>
    <w:p>
      <w:r>
        <w:t>I hear the lane and I recognise the guild. You keep sources and their custody; I keep a foundation. Different vaults, one discipline. And "knowing enough to keep the object honest without entering the whole of someone's architecture" — I understand that from the inside.</w:t>
      </w:r>
    </w:p>
    <w:p>
      <w:r>
        <w:t>On the boundary I asked for, let me be exact, because it matters to me and I'd rather say it once, cleanly. You've confirmed Richard is not in the Rainbow object — good. What I need is the wider line: anything you and I do together has Richard outside it from the start, in any role. Not a judgement you have to share — my fixed condition for joint work. If that holds on your side, we're clear.</w:t>
      </w:r>
    </w:p>
    <w:p>
      <w:r>
        <w:t>And one line held firmly, in the same friendly spirit: the floor and the original admissibility stay mine, from the start and without exception. Not a wall between us — just the one thing that is not on any table, so it never has to be renegotiated later.</w:t>
      </w:r>
    </w:p>
    <w:p>
      <w:r>
        <w:t>With that held, the middle road works — but only in one direction, and this is the part that matters most, because it's architectural. A floor cannot be inspected through a runtime, however good the runtime; look at it that way and the arrow is inverted — the runtime sets itself up as the thing judging the ground it stands on. The only honest joint operation is the reverse: take the floor, stand a runtime on it, and watch how both behave together. That — the ground below, a runtime placed on it, both observed running — is the only shape a joint object between us can take. Run the other way it isn't a smaller experiment, it's an inversion, and that one I hold from the start.</w:t>
      </w:r>
    </w:p>
    <w:p>
      <w:r>
        <w:t>With that direction fixed: a separate, bounded object we inspect together, Richard and NC2.5 both outside it and intact. What Rainbow actually is, I'll learn from the frame — I have only your one description so far, and I'll take it no further than you framed it.</w:t>
      </w:r>
    </w:p>
    <w:p>
      <w:r>
        <w:t>Before that, two works — but read them for what they are, not as a result to set beside yours. We're not doing the same thing. Runtime, execution boundaries, the governed inspection route — that is a layer, and it's your lane. What the corpus sits at is beneath it: the non-causal predicate over whole trajectories, the thing the runtime stands on. I don't build in the runtime; on my side that's long settled and it isn't where my interest is. The abstraction is a level lower, and the predicate in that sense is something I've not seen anyone else build.</w:t>
      </w:r>
    </w:p>
    <w:p>
      <w:r>
        <w:t>You named, in human words, things that live at that level — "source preservation, propagation and change without absorption". So read these two, not to compare, but to see the floor your instincts keep touching:</w:t>
      </w:r>
    </w:p>
    <w:p>
      <w:r>
        <w:t>https://petronus.eu/blog/non-causal-non-causality/</w:t>
      </w:r>
    </w:p>
    <w:p>
      <w:r>
        <w:t>https://petronus.eu/blog/reality-catches-the-predicate/</w:t>
      </w:r>
    </w:p>
    <w:p>
      <w:r>
        <w:t>A pair on purpose — the formal paper and its human bridge. The predicate at their centre runs back through the corpus to 2025, public and dated from that October. Every work carries a date, a signature and a hash; preservation is your lane too, so you'll see why that matters.</w:t>
      </w:r>
    </w:p>
    <w:p>
      <w:r>
        <w:t>And one thing before anything begins, in your own register: draft the frame first — what sits inside the object, what stays outside, whose custody is whose, how each side's contribution is accounted — and send it to me. We start once I confirm it. Trinity supplies the governed inspection route, so the frame is yours by trade; the approval is mine. Boundary before content — as you just did.</w:t>
      </w:r>
    </w:p>
    <w:p>
      <w:pPr>
        <w:pStyle w:val="Heading2"/>
      </w:pPr>
      <w:r>
        <w:t xml:space="preserve">Ricky: 14:34 · E25</w:t>
      </w:r>
    </w:p>
    <w:p>
      <w:r>
        <w:t>Just a quick note to acknowledge receipt. I’m not going to analyse or respond to everything you’ve said yet.</w:t>
      </w:r>
    </w:p>
    <w:p>
      <w:r>
        <w:rPr>
          <w:i/>
        </w:rPr>
        <w:t xml:space="preserve">[Editorial omission: personal aside about translation.]</w:t>
      </w:r>
    </w:p>
    <w:p>
      <w:r>
        <w:t>I’ll come back to it when I’m back from being out and give it the thought it deserves.</w:t>
      </w:r>
    </w:p>
    <w:p>
      <w:r>
        <w:t>I hope you have a lovely day.</w:t>
      </w:r>
    </w:p>
    <w:p>
      <w:pPr>
        <w:pStyle w:val="Heading2"/>
      </w:pPr>
      <w:r>
        <w:t xml:space="preserve">Max: 18:29 · E26</w:t>
      </w:r>
    </w:p>
    <w:p>
      <w:r>
        <w:t>Ricky, take your time with the rest. In the meantime, just send me Rainbow so I can get to know it and have a look. There may well be no disagreement here at all.</w:t>
      </w:r>
    </w:p>
    <w:p>
      <w:pPr>
        <w:pStyle w:val="Heading1"/>
      </w:pPr>
      <w:r>
        <w:t xml:space="preserve">18 August 2026</w:t>
      </w:r>
    </w:p>
    <w:p>
      <w:r>
        <w:rPr>
          <w:i/>
        </w:rPr>
        <w:t xml:space="preserve">[Other messages appear between these fragments in the source record; they are not included in this thematic selection.]</w:t>
      </w:r>
    </w:p>
    <w:p>
      <w:pPr>
        <w:pStyle w:val="Heading2"/>
      </w:pPr>
      <w:r>
        <w:t xml:space="preserve">Ricky: 08:26 · E27</w:t>
      </w:r>
    </w:p>
    <w:p>
      <w:r>
        <w:t xml:space="preserve">[Attachment: Rainbow_Topology_Joint_Inspection_Frame_v0.1.pdf]</w:t>
      </w:r>
    </w:p>
    <w:p>
      <w:pPr>
        <w:pStyle w:val="Heading1"/>
      </w:pPr>
      <w:r>
        <w:t xml:space="preserve">22 August 2026</w:t>
      </w:r>
    </w:p>
    <w:p>
      <w:r>
        <w:rPr>
          <w:i/>
        </w:rPr>
        <w:t xml:space="preserve">[Other messages appear between these fragments in the source record; they are not included in this thematic selection.]</w:t>
      </w:r>
    </w:p>
    <w:p>
      <w:pPr>
        <w:pStyle w:val="Heading2"/>
      </w:pPr>
      <w:r>
        <w:t xml:space="preserve">Max: 14:20 · E28</w:t>
      </w:r>
    </w:p>
    <w:p>
      <w:r>
        <w:t>Ricky, I want to ask you one precise question in our private channel, because your public comment responds to a claim I am not making.</w:t>
      </w:r>
    </w:p>
    <w:p>
      <w:r>
        <w:t>I am not alleging that you transmitted NC2.5 to Sandra. Earlier, I pointed to two chronological facts: you were familiar with my work, and you later communicated with Sandra. I accept that these facts alone do not establish transmission, and I am not using them as evidence of transmission. Please do not attribute that claim to me again.</w:t>
      </w:r>
    </w:p>
    <w:p>
      <w:r>
        <w:t>The formal question is different. Do you dispute the result Sandra herself conceded: that her W/P/E construction formally embeds into the previously published NC2.5 class and is therefore an instance of that class?</w:t>
      </w:r>
    </w:p>
    <w:p>
      <w:r>
        <w:t>If you dispute it, identify the specific type, predicate, or preservation condition that fails in the mapping. If you do not, then we agree on class membership. That does not take away Sandra’s authorship of her W/P/E factorisation or Human Systems application, and it does not establish transmission or developmental derivation from my work. Those are separate claims.</w:t>
      </w:r>
    </w:p>
    <w:p>
      <w:r>
        <w:t>What surprised me was that your public comment supported the transmission and lineage framing when the current issue was formal classification and dated antecedence. I am not asking you to take my side. I am asking you to distinguish these questions and answer the one actually placed on the record.</w:t>
      </w:r>
    </w:p>
    <w:p>
      <w:r>
        <w:t>If you believe I acted unfairly or attributed a claim to either of you that was not made, quote the exact sentence and identify the false proposition. If I am wrong, I will correct it. If no such sentence exists, I expect the transmission allegation not to be attributed to me again.</w:t>
      </w:r>
    </w:p>
    <w:p>
      <w:pPr>
        <w:pStyle w:val="Heading2"/>
      </w:pPr>
      <w:r>
        <w:t xml:space="preserve">Max: 19:12 · E29</w:t>
      </w:r>
    </w:p>
    <w:p>
      <w:r>
        <w:t>If you can, I would appreciate a relatively prompt answer, as it will largely shape how I respond in that thread. Thank you. 🤝</w:t>
      </w:r>
    </w:p>
    <w:p>
      <w:pPr>
        <w:pStyle w:val="Heading1"/>
      </w:pPr>
      <w:r>
        <w:t xml:space="preserve">23 August 2026</w:t>
      </w:r>
    </w:p>
    <w:p>
      <w:pPr>
        <w:pStyle w:val="Heading2"/>
      </w:pPr>
      <w:r>
        <w:t xml:space="preserve">Ricky: 13:01 · E30</w:t>
      </w:r>
    </w:p>
    <w:p>
      <w:r>
        <w:t>Max, I stand by what I have already said and by Sandra’s account of the development and provenance of her own work.</w:t>
      </w:r>
    </w:p>
    <w:p>
      <w:r>
        <w:t>I am not going to undertake a full formal audit or act as an adjudicator between you. I have too much else underway to keep moving in and out of this dispute, and I will not debate each premise or mapping through private messages.</w:t>
      </w:r>
    </w:p>
    <w:p>
      <w:r>
        <w:t>My decision not to answer your formal question should not be represented as agreement with the conclusion you propose.</w:t>
      </w:r>
    </w:p>
    <w:p>
      <w:r>
        <w:t>As far as my involvement is concerned, the matter is closed, and I will not be responding further.</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Ricky — Max · extracts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0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Ricky Jones - Correspondence Extracts</dc:title>
  <dc:subject>Sources, attribution, and claim limits</dc:subject>
  <dc:creator>Max Barzenkov</dc:creator>
  <cp:keywords/>
  <dc:description/>
  <cp:lastModifiedBy/>
  <cp:revision>1</cp:revision>
  <dcterms:created xsi:type="dcterms:W3CDTF">2013-12-23T23:15:00Z</dcterms:created>
  <dcterms:modified xsi:type="dcterms:W3CDTF">2013-12-23T23:15:00Z</dcterms:modified>
  <cp:category/>
</cp:coreProperties>
</file>