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FC189" w14:textId="77777777" w:rsidR="008A73F7" w:rsidRPr="008A73F7" w:rsidRDefault="008A73F7" w:rsidP="008A73F7">
      <w:pPr>
        <w:shd w:val="clear" w:color="auto" w:fill="F4F4F5"/>
        <w:spacing w:after="0" w:line="240" w:lineRule="auto"/>
        <w:ind w:left="-4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Первая мировая война (</w:t>
      </w:r>
      <w:proofErr w:type="gramStart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1914-1918</w:t>
      </w:r>
      <w:proofErr w:type="gramEnd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) стала переломным периодом в истории многих стран, в том числе и России. Артиллерия играла важную роль в военных операциях того времени, и Российская императорская армия также активно использовала артиллерийское вооружение. Состояние артиллерии перед войной</w:t>
      </w:r>
      <w:proofErr w:type="gramStart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: Перед</w:t>
      </w:r>
      <w:proofErr w:type="gramEnd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началом войны российская артиллерия была сравнительно устаревшей по сравнению с артиллерией других европейских стран. В частности, отставала система стрелковой артиллерии. Однако существовали и современные образцы, такие как 76-мм полевая пушка образца 1902 года, которая стала основной артиллерийской пушкой русской армии в Первой мировой войне. Применение на фронтах войны: Восточный фронт</w:t>
      </w:r>
      <w:proofErr w:type="gramStart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: На</w:t>
      </w:r>
      <w:proofErr w:type="gramEnd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восточном фронте российская артиллерия активно использовалась в борьбе против немецко-австро-венгерских войск. Важную роль сыграли артиллерийские батареи в сражениях при </w:t>
      </w:r>
      <w:proofErr w:type="spellStart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Танненберге</w:t>
      </w:r>
      <w:proofErr w:type="spellEnd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и Мазурской операции. Западный фронт</w:t>
      </w:r>
      <w:proofErr w:type="gramStart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: На</w:t>
      </w:r>
      <w:proofErr w:type="gramEnd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западном фронте русская артиллерия также участвовала в боевых действиях, но технические и организационные проблемы привели к тому, что ее эффективность была несколько снижена. Технические особенности: Полевые пушки: 76-мм полевая пушка образца 1902 года была основным артиллерийским орудием русской армии. Также использовались более крупные калибры, включая 107-мм и 152-мм пушки. Гаубицы: В арсенале также были гаубицы, такие как 122-мм и 152-мм образцов. Проблемы и изменения: Недостаток оборудования: Российская армия столкнулась с проблемами в снабжении и обеспечении подходящим артиллерийским оборудованием, что сказалось на ее боеспособности. Реформы</w:t>
      </w:r>
      <w:proofErr w:type="gramStart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: В ходе</w:t>
      </w:r>
      <w:proofErr w:type="gramEnd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войны проводились реформы в структуре и тактике артиллерии, что улучшило ее эффективность. В частности, в 1916 году были созданы артиллерийские корпуса, что позволило более гибко использовать артиллерийские силы. Итоги: Российская артиллерия в Первой мировой войне столкнулась с трудностями из-за технического отставания и организационных проблем, но, тем не менее, сыграла важную роль в ряде сражений. Эффективность артиллерии увеличилась в процессе войны, благодаря внесенным изменениям и опыту боевых действий.</w:t>
      </w:r>
    </w:p>
    <w:p w14:paraId="392FFD50" w14:textId="77777777" w:rsidR="008A73F7" w:rsidRDefault="008A73F7" w:rsidP="008A73F7">
      <w:pPr>
        <w:shd w:val="clear" w:color="auto" w:fill="F4F4F5"/>
        <w:spacing w:after="0" w:line="240" w:lineRule="auto"/>
        <w:ind w:left="-45"/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38F71E6A" w14:textId="00B84B5E" w:rsidR="008A73F7" w:rsidRDefault="008A73F7" w:rsidP="008A73F7">
      <w:pPr>
        <w:shd w:val="clear" w:color="auto" w:fill="F4F4F5"/>
        <w:spacing w:after="0" w:line="240" w:lineRule="auto"/>
        <w:ind w:left="-45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В Первой мировой войне российская артиллерия использовала различные типы орудий. Ниже представлены некоторые из наиболее характерных образцов: 76-мм полевая пушка образца 1902 года: Характеристики: Калибр - 76 мм, длина ствола - 30 калибров, дальность стрельбы - около 9 км. Особенности: Эта пушка стала основным артиллерийским орудием русской армии. Она была легкой, подвижной и достаточно надежной в условиях боевых действий на поле. 107-мм пушка образца 1910 года: Характеристики: Калибр - 107 мм, длина ствола - 31 калибр, дальность стрельбы - около 10 км. Особенности: Эта пушка представляла собой более крупный калибр по сравнению с 76-мм, что обеспечивало ей большую огневую мощь. 122-мм гаубица образца 1909 года: Характеристики: Калибр - 122 мм, длина ствола - 15 калибров, дальность стрельбы - около 8 км. Особенности: Гаубицы обладали более крупным калибром и предназначались для стрельбы под углом, что делало их эффективными при обстреле окопов и других укрытий. 152-мм пушка образца 1909 года: Характеристики: Калибр - 152 мм, длина ствола - 30 калибров, дальность стрельбы - около 12 км. Особенности: Эта пушка была крупнокалиберным орудием и использовалась для атаки крепостей и укреплений противника. 203-мм орудие образца 1911 года: Характеристики: Калибр - 203 мм, длина ствола - 40 калибров, дальность стрельбы - около 20 км. Особенности</w:t>
      </w:r>
      <w:proofErr w:type="gramStart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: Это</w:t>
      </w:r>
      <w:proofErr w:type="gramEnd"/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было тяжелое орудие, способное </w:t>
      </w:r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поражать значительные расстояния и использовавшееся для артиллерийской поддержки в больших битвах. Важно отметить, что в течение войны проводились изменения в артиллерийском вооружении, и новые образцы орудий вводились в армию с целью повышения ее боеспособности и приспособления к изменяющимся условиям ведения войны.</w:t>
      </w:r>
    </w:p>
    <w:p w14:paraId="41F8CC09" w14:textId="77777777" w:rsidR="008A73F7" w:rsidRDefault="008A73F7" w:rsidP="008A73F7">
      <w:pPr>
        <w:shd w:val="clear" w:color="auto" w:fill="F4F4F5"/>
        <w:spacing w:after="0" w:line="240" w:lineRule="auto"/>
        <w:ind w:left="-45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1FB24768" w14:textId="7B5689FE" w:rsidR="008A73F7" w:rsidRPr="008A73F7" w:rsidRDefault="008A73F7" w:rsidP="008A73F7">
      <w:pPr>
        <w:shd w:val="clear" w:color="auto" w:fill="F4F4F5"/>
        <w:spacing w:after="0" w:line="240" w:lineRule="auto"/>
        <w:ind w:left="-45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8A73F7">
        <w:rPr>
          <w:rFonts w:ascii="Roboto" w:eastAsia="Times New Roman" w:hAnsi="Roboto" w:cs="Times New Roman"/>
          <w:color w:val="000000"/>
          <w:kern w:val="0"/>
          <w:sz w:val="24"/>
          <w:szCs w:val="24"/>
          <w:lang w:eastAsia="ru-RU"/>
          <w14:ligatures w14:val="none"/>
        </w:rPr>
        <w:t>76-мм полевая пушка образца 1902 года: Применение: 76-мм пушка была широко использована в роли полевого артиллерийского орудия. Ее подвижность и относительная легкость позволяли успешно применять ее в условиях боевых действий на открытых полях. Она использовалась для поддержки пехоты, подавления противника, а также для противоборства артиллерии противника. 107-мм пушка образца 1910 года: Применение: Орудие калибра 107 мм имело больший размер и мощь по сравнению с 76-мм пушкой. Оно успешно применялось как полевая артиллерия для стрельбы на дальние расстояния, обеспечивая артиллерийскую поддержку в различных боевых сценариях. 122-мм гаубица образца 1909 года: Применение: Гаубицы, в отличие от пушек, могли стрелять под углом, что делало их эффективными при атаках на вражеские окопы и укрепленные позиции. 122-мм гаубица применялась для создания огневой поддержки в атаках, особенно в условиях статической войны на Западном фронте. 152-мм пушка образца 1909 года: Применение: 152-мм пушка была крупнокалиберным орудием, используемым для разрушения укреплений, крепостей и других оборонительных сооружений противника. Ее высокая огневая мощь делала ее эффективной при осадах и атаках на оборонительные линии. 203-мм орудие образца 1911 года: Применение: Тяжелое 203-мм орудие использовалось для поражения значительных расстояний, что делало его подходящим для артиллерийской поддержки в крупных битвах. Оно также могло быть применено для разрушения крупных военных объектов и укреплений. В целом, применение каждого калибра артиллерийского орудия зависело от конкретных тактических и стратегических задач, а также от характера боевых действий на том или ином участке фронта. Артиллерийские батареи часто работали в сотрудничестве с другими видами войск для достижения определенных целей в ходе боевых операций.</w:t>
      </w:r>
    </w:p>
    <w:p w14:paraId="4277110C" w14:textId="77777777" w:rsidR="00260A03" w:rsidRDefault="00260A03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</w:p>
    <w:p w14:paraId="6313F1B0" w14:textId="2B1A7D14" w:rsidR="00260A03" w:rsidRDefault="00000000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  <w:hyperlink r:id="rId5" w:history="1">
        <w:r w:rsidR="005574BB" w:rsidRPr="00FF1D53">
          <w:rPr>
            <w:rStyle w:val="a3"/>
            <w:rFonts w:ascii="Arial" w:hAnsi="Arial" w:cs="Arial"/>
            <w:sz w:val="27"/>
            <w:szCs w:val="27"/>
            <w:shd w:val="clear" w:color="auto" w:fill="F7F7F7"/>
          </w:rPr>
          <w:t>https://miro.com/app/board/uXjVNMFgfGA=/?share_link_id=571483877234</w:t>
        </w:r>
      </w:hyperlink>
    </w:p>
    <w:p w14:paraId="477A96FF" w14:textId="77777777" w:rsidR="005574BB" w:rsidRDefault="005574BB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</w:p>
    <w:p w14:paraId="1142258A" w14:textId="77777777" w:rsidR="00AE6F4C" w:rsidRDefault="00AE6F4C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</w:p>
    <w:p w14:paraId="68A27411" w14:textId="5F31D618" w:rsidR="00AE6F4C" w:rsidRDefault="00AE6F4C">
      <w:pPr>
        <w:rPr>
          <w:rFonts w:ascii="Arial" w:hAnsi="Arial" w:cs="Arial"/>
          <w:color w:val="202122"/>
          <w:sz w:val="19"/>
          <w:szCs w:val="19"/>
          <w:shd w:val="clear" w:color="auto" w:fill="F8F9FA"/>
        </w:rPr>
      </w:pPr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 xml:space="preserve">76-мм горная пушка обр. 1904 года </w:t>
      </w:r>
    </w:p>
    <w:p w14:paraId="13A27593" w14:textId="5C76ABA8" w:rsidR="00AE6F4C" w:rsidRDefault="00AE6F4C">
      <w:pP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</w:pP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  <w:t>76-мм горная пушка образца 1909 года</w:t>
      </w:r>
    </w:p>
    <w:p w14:paraId="2ED5DBC8" w14:textId="77777777" w:rsidR="008538A0" w:rsidRPr="00D41437" w:rsidRDefault="00D41437">
      <w:pP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</w:pP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  <w:t xml:space="preserve">76,2-мм зенитная пушка </w:t>
      </w:r>
      <w:proofErr w:type="spellStart"/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  <w:t>Лендера</w:t>
      </w:r>
      <w:proofErr w:type="spellEnd"/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  <w:t xml:space="preserve"> обр. 1914/15 года</w:t>
      </w:r>
      <w: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  <w:t xml:space="preserve">.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Впервые в России стрельба по воздушным целям</w:t>
      </w:r>
      <w:r w:rsidR="008538A0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</w:p>
    <w:tbl>
      <w:tblPr>
        <w:tblW w:w="552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4574"/>
        <w:gridCol w:w="946"/>
      </w:tblGrid>
      <w:tr w:rsidR="008538A0" w14:paraId="2B0A41E8" w14:textId="77777777" w:rsidTr="008538A0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5D5D494B" w14:textId="77777777" w:rsidR="008538A0" w:rsidRDefault="008538A0">
            <w:pPr>
              <w:spacing w:after="120" w:line="360" w:lineRule="atLeast"/>
              <w:jc w:val="center"/>
              <w:rPr>
                <w:rFonts w:ascii="Arial" w:hAnsi="Arial" w:cs="Arial"/>
                <w:b/>
                <w:bCs/>
                <w:color w:val="202122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19"/>
                <w:szCs w:val="19"/>
              </w:rPr>
              <w:t>Максимальная дальность стрельбы, </w:t>
            </w:r>
            <w:hyperlink r:id="rId6" w:tooltip="Метр" w:history="1">
              <w:r>
                <w:rPr>
                  <w:rStyle w:val="a3"/>
                  <w:rFonts w:ascii="Arial" w:hAnsi="Arial" w:cs="Arial"/>
                  <w:b/>
                  <w:bCs/>
                  <w:color w:val="0645AD"/>
                  <w:sz w:val="19"/>
                  <w:szCs w:val="19"/>
                </w:rPr>
                <w:t>м</w:t>
              </w:r>
            </w:hyperlink>
          </w:p>
        </w:tc>
        <w:tc>
          <w:tcPr>
            <w:tcW w:w="0" w:type="auto"/>
            <w:shd w:val="clear" w:color="auto" w:fill="F8F9FA"/>
            <w:hideMark/>
          </w:tcPr>
          <w:p w14:paraId="5ED1A094" w14:textId="77777777" w:rsidR="008538A0" w:rsidRDefault="008538A0">
            <w:pPr>
              <w:spacing w:after="120" w:line="360" w:lineRule="atLeast"/>
              <w:rPr>
                <w:rFonts w:ascii="Arial" w:hAnsi="Arial" w:cs="Arial"/>
                <w:color w:val="202122"/>
                <w:sz w:val="19"/>
                <w:szCs w:val="19"/>
              </w:rPr>
            </w:pPr>
            <w:r>
              <w:rPr>
                <w:rFonts w:ascii="Arial" w:hAnsi="Arial" w:cs="Arial"/>
                <w:color w:val="202122"/>
                <w:sz w:val="19"/>
                <w:szCs w:val="19"/>
              </w:rPr>
              <w:t>11 000</w:t>
            </w:r>
          </w:p>
        </w:tc>
      </w:tr>
      <w:tr w:rsidR="008538A0" w14:paraId="0AB410CD" w14:textId="77777777" w:rsidTr="008538A0">
        <w:trPr>
          <w:tblCellSpacing w:w="15" w:type="dxa"/>
        </w:trPr>
        <w:tc>
          <w:tcPr>
            <w:tcW w:w="0" w:type="auto"/>
            <w:shd w:val="clear" w:color="auto" w:fill="F8F9FA"/>
            <w:hideMark/>
          </w:tcPr>
          <w:p w14:paraId="438F2996" w14:textId="5326AA21" w:rsidR="008538A0" w:rsidRDefault="008538A0">
            <w:pPr>
              <w:spacing w:after="120" w:line="360" w:lineRule="atLeast"/>
              <w:jc w:val="center"/>
              <w:rPr>
                <w:rFonts w:ascii="Arial" w:hAnsi="Arial" w:cs="Arial"/>
                <w:b/>
                <w:bCs/>
                <w:color w:val="202122"/>
                <w:sz w:val="19"/>
                <w:szCs w:val="19"/>
              </w:rPr>
            </w:pPr>
            <w:r>
              <w:rPr>
                <w:rFonts w:ascii="Arial" w:hAnsi="Arial" w:cs="Arial"/>
                <w:b/>
                <w:bCs/>
                <w:color w:val="202122"/>
                <w:sz w:val="19"/>
                <w:szCs w:val="19"/>
              </w:rPr>
              <w:t xml:space="preserve">Досягаемость по высоте, </w:t>
            </w:r>
            <w:r w:rsidR="00F80EFC">
              <w:rPr>
                <w:rFonts w:ascii="Arial" w:hAnsi="Arial" w:cs="Arial"/>
                <w:b/>
                <w:bCs/>
                <w:color w:val="202122"/>
                <w:sz w:val="19"/>
                <w:szCs w:val="19"/>
              </w:rPr>
              <w:t xml:space="preserve">6000 </w:t>
            </w:r>
            <w:r>
              <w:rPr>
                <w:rFonts w:ascii="Arial" w:hAnsi="Arial" w:cs="Arial"/>
                <w:b/>
                <w:bCs/>
                <w:color w:val="202122"/>
                <w:sz w:val="19"/>
                <w:szCs w:val="19"/>
              </w:rPr>
              <w:t>м</w:t>
            </w:r>
            <w:r w:rsidR="00F80EFC">
              <w:rPr>
                <w:rFonts w:ascii="Arial" w:hAnsi="Arial" w:cs="Arial"/>
                <w:b/>
                <w:bCs/>
                <w:color w:val="202122"/>
                <w:sz w:val="19"/>
                <w:szCs w:val="19"/>
              </w:rPr>
              <w:t xml:space="preserve"> </w:t>
            </w:r>
          </w:p>
        </w:tc>
        <w:tc>
          <w:tcPr>
            <w:tcW w:w="0" w:type="auto"/>
            <w:shd w:val="clear" w:color="auto" w:fill="F8F9FA"/>
            <w:vAlign w:val="center"/>
            <w:hideMark/>
          </w:tcPr>
          <w:p w14:paraId="663B4432" w14:textId="77777777" w:rsidR="008538A0" w:rsidRDefault="008538A0">
            <w:pPr>
              <w:spacing w:after="120" w:line="360" w:lineRule="atLeast"/>
              <w:rPr>
                <w:sz w:val="20"/>
                <w:szCs w:val="20"/>
              </w:rPr>
            </w:pPr>
          </w:p>
        </w:tc>
      </w:tr>
    </w:tbl>
    <w:p w14:paraId="4F539E5B" w14:textId="68CD80DF" w:rsidR="00D41437" w:rsidRPr="00D41437" w:rsidRDefault="00D41437">
      <w:pPr>
        <w:rPr>
          <w:rFonts w:ascii="Arial" w:hAnsi="Arial" w:cs="Arial"/>
          <w:b/>
          <w:bCs/>
          <w:color w:val="202122"/>
          <w:sz w:val="23"/>
          <w:szCs w:val="23"/>
          <w:shd w:val="clear" w:color="auto" w:fill="CFE3FF"/>
        </w:rPr>
      </w:pPr>
    </w:p>
    <w:p w14:paraId="2E46E95A" w14:textId="77777777" w:rsidR="00AE6F4C" w:rsidRDefault="00AE6F4C">
      <w:pPr>
        <w:rPr>
          <w:rFonts w:ascii="Arial" w:hAnsi="Arial" w:cs="Arial"/>
          <w:color w:val="222222"/>
          <w:sz w:val="27"/>
          <w:szCs w:val="27"/>
          <w:shd w:val="clear" w:color="auto" w:fill="F7F7F7"/>
        </w:rPr>
      </w:pPr>
    </w:p>
    <w:p w14:paraId="1FEDF584" w14:textId="0EA52736" w:rsidR="00260A03" w:rsidRDefault="00260A03">
      <w:r w:rsidRPr="00260A03">
        <w:rPr>
          <w:noProof/>
        </w:rPr>
        <w:drawing>
          <wp:inline distT="0" distB="0" distL="0" distR="0" wp14:anchorId="70DDFA5C" wp14:editId="7192339E">
            <wp:extent cx="5494020" cy="3059430"/>
            <wp:effectExtent l="0" t="0" r="0" b="7620"/>
            <wp:docPr id="943526064" name="Рисунок 1" descr="Изображение выглядит как оружие, Компьютерная игра, Стратегическая видеоигра, Программное обеспечение для видеоиг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26064" name="Рисунок 1" descr="Изображение выглядит как оружие, Компьютерная игра, Стратегическая видеоигра, Программное обеспечение для видеоигр&#10;&#10;Автоматически созданное описание"/>
                    <pic:cNvPicPr/>
                  </pic:nvPicPr>
                  <pic:blipFill rotWithShape="1">
                    <a:blip r:embed="rId7"/>
                    <a:srcRect t="6591" r="7514"/>
                    <a:stretch/>
                  </pic:blipFill>
                  <pic:spPr bwMode="auto">
                    <a:xfrm>
                      <a:off x="0" y="0"/>
                      <a:ext cx="5494020" cy="3059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0A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90B"/>
    <w:rsid w:val="0003390B"/>
    <w:rsid w:val="000B0BE8"/>
    <w:rsid w:val="00155F23"/>
    <w:rsid w:val="00260A03"/>
    <w:rsid w:val="005574BB"/>
    <w:rsid w:val="0065647E"/>
    <w:rsid w:val="006938E6"/>
    <w:rsid w:val="008538A0"/>
    <w:rsid w:val="008A73F7"/>
    <w:rsid w:val="00AE6F4C"/>
    <w:rsid w:val="00D41437"/>
    <w:rsid w:val="00D548F9"/>
    <w:rsid w:val="00F80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91DD"/>
  <w15:chartTrackingRefBased/>
  <w15:docId w15:val="{4583ACDE-7670-4583-83AE-963B8C4BD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574B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574BB"/>
    <w:rPr>
      <w:color w:val="605E5C"/>
      <w:shd w:val="clear" w:color="auto" w:fill="E1DFDD"/>
    </w:rPr>
  </w:style>
  <w:style w:type="character" w:customStyle="1" w:styleId="time">
    <w:name w:val="time"/>
    <w:basedOn w:val="a0"/>
    <w:rsid w:val="008A73F7"/>
  </w:style>
  <w:style w:type="character" w:customStyle="1" w:styleId="i18n">
    <w:name w:val="i18n"/>
    <w:basedOn w:val="a0"/>
    <w:rsid w:val="008A73F7"/>
  </w:style>
  <w:style w:type="character" w:customStyle="1" w:styleId="tgico">
    <w:name w:val="tgico"/>
    <w:basedOn w:val="a0"/>
    <w:rsid w:val="008A7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1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39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14129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9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3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71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3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0394545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60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1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97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16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51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938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959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44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7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C%D0%B5%D1%82%D1%80" TargetMode="External"/><Relationship Id="rId5" Type="http://schemas.openxmlformats.org/officeDocument/2006/relationships/hyperlink" Target="https://miro.com/app/board/uXjVNMFgfGA=/?share_link_id=571483877234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8F8FF4-7637-4A98-8BE5-4A69FBFDD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912</Words>
  <Characters>5199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Петров</dc:creator>
  <cp:keywords/>
  <dc:description/>
  <cp:lastModifiedBy>Вячеслав Петров</cp:lastModifiedBy>
  <cp:revision>10</cp:revision>
  <dcterms:created xsi:type="dcterms:W3CDTF">2023-11-21T10:59:00Z</dcterms:created>
  <dcterms:modified xsi:type="dcterms:W3CDTF">2023-11-23T07:03:00Z</dcterms:modified>
</cp:coreProperties>
</file>