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2023-07-03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r>
        <w:t xml:space="preserve"> </w:t>
      </w:r>
      <w:r>
        <w:t xml:space="preserve">The online version is published with this command:</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July 3, 2023 there are roughly 9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273  1851  chapters/intro.qmd</w:t>
      </w:r>
      <w:r>
        <w:br/>
      </w:r>
      <w:r>
        <w:rPr>
          <w:rStyle w:val="VerbatimChar"/>
        </w:rPr>
        <w:t xml:space="preserve">2 1002  7172 chapters/theory.qmd</w:t>
      </w:r>
      <w:r>
        <w:br/>
      </w:r>
      <w:r>
        <w:rPr>
          <w:rStyle w:val="VerbatimChar"/>
        </w:rPr>
        <w:t xml:space="preserve">3  229  1752 chapters/method.qmd</w:t>
      </w:r>
      <w:r>
        <w:br/>
      </w:r>
      <w:r>
        <w:rPr>
          <w:rStyle w:val="VerbatimChar"/>
        </w:rPr>
        <w:t xml:space="preserve">4  804  5445   chapters/data.qmd</w:t>
      </w:r>
      <w:r>
        <w:br/>
      </w:r>
      <w:r>
        <w:rPr>
          <w:rStyle w:val="VerbatimChar"/>
        </w:rPr>
        <w:t xml:space="preserve">5 2308 16220               total</w:t>
      </w:r>
    </w:p>
    <w:bookmarkEnd w:id="44"/>
    <w:bookmarkEnd w:id="45"/>
    <w:bookmarkStart w:id="53"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 findability, accessibility, interoperability and reusability.</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tc>
      </w:tr>
    </w:tbl>
    <w:bookmarkStart w:id="49" w:name="sec-context"/>
    <w:p>
      <w:pPr>
        <w:pStyle w:val="Heading2"/>
      </w:pPr>
      <w:r>
        <w:t xml:space="preserve">Context</w:t>
      </w:r>
    </w:p>
    <w:bookmarkStart w:id="48"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8"/>
    <w:bookmarkEnd w:id="49"/>
    <w:bookmarkStart w:id="50" w:name="sec-questions"/>
    <w:p>
      <w:pPr>
        <w:pStyle w:val="Heading2"/>
      </w:pPr>
      <w:r>
        <w:t xml:space="preserve">Research questions</w:t>
      </w:r>
    </w:p>
    <w:bookmarkEnd w:id="50"/>
    <w:bookmarkStart w:id="51"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3.1</w:t>
        </w:r>
      </w:hyperlink>
      <w:r>
        <w:t xml:space="preserve">) details how data is handled in this research.</w:t>
      </w:r>
    </w:p>
    <w:bookmarkEnd w:id="51"/>
    <w:bookmarkStart w:id="52" w:name="summary"/>
    <w:p>
      <w:pPr>
        <w:pStyle w:val="Heading2"/>
      </w:pPr>
      <w:r>
        <w:t xml:space="preserve">Summary</w:t>
      </w:r>
    </w:p>
    <w:bookmarkEnd w:id="52"/>
    <w:bookmarkEnd w:id="53"/>
    <w:bookmarkStart w:id="72" w:name="sec-theory"/>
    <w:p>
      <w:pPr>
        <w:pStyle w:val="Heading1"/>
      </w:pPr>
      <w:r>
        <w:t xml:space="preserve">1. Theory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opt/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3"/>
              </w:numPr>
              <w:pStyle w:val="Compact"/>
            </w:pPr>
            <w:r>
              <w:t xml:space="preserve">Definitions for fundamental concepts I am building upon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tc>
      </w:tr>
    </w:tbl>
    <w:bookmarkStart w:id="62"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them is crucial for further understanding what is possible and what is not in the process of knowledge building.</w:t>
      </w:r>
    </w:p>
    <w:bookmarkStart w:id="58"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56"/>
      </w:r>
      <w:r>
        <w:t xml:space="preserve"> </w:t>
      </w:r>
      <w:r>
        <w:t xml:space="preserve">is almost omnipresent and it became such a generic term that it is somewhat challenging to define.</w:t>
      </w:r>
      <w:r>
        <w:t xml:space="preserve"> </w:t>
      </w:r>
      <w:r>
        <w:t xml:space="preserve">Most of the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Thus data are understood as incontrovertible and non-deconstructibe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data understood as</w:t>
      </w:r>
      <w:r>
        <w:t xml:space="preserve"> </w:t>
      </w:r>
      <w:r>
        <w:rPr>
          <w:iCs/>
          <w:i/>
        </w:rPr>
        <w:t xml:space="preserve">‘</w:t>
      </w:r>
      <w:r>
        <w:rPr>
          <w:iCs/>
          <w:i/>
        </w:rPr>
        <w:t xml:space="preserve">things made</w:t>
      </w:r>
      <w:r>
        <w:rPr>
          <w:iCs/>
          <w:i/>
        </w:rPr>
        <w:t xml:space="preserve">’</w:t>
      </w:r>
      <w:r>
        <w:t xml:space="preserve"> </w:t>
      </w:r>
      <w:r>
        <w:t xml:space="preserve">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(cf. Kitchin 2022, 4–15; Huggett 2020)</w:t>
      </w:r>
      <w:r>
        <w:t xml:space="preserve">.</w:t>
      </w:r>
      <w:r>
        <w:t xml:space="preserve"> </w:t>
      </w:r>
      <w:r>
        <w:t xml:space="preserve">As Kitchin notes, what we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fields that add to configurations of power and knowledge.</w:t>
      </w:r>
      <w:r>
        <w:t xml:space="preserve"> </w:t>
      </w:r>
      <w:r>
        <w:t xml:space="preserve">In this section we went from understanding</w:t>
      </w:r>
      <w:r>
        <w:t xml:space="preserve"> </w:t>
      </w:r>
      <w:r>
        <w:rPr>
          <w:iCs/>
          <w:i/>
        </w:rPr>
        <w:t xml:space="preserve">data</w:t>
      </w:r>
      <w:r>
        <w:t xml:space="preserve"> </w:t>
      </w:r>
      <w:r>
        <w:t xml:space="preserve">as ubiquitous phenomena that are waiting out there to be discovered to</w:t>
      </w:r>
      <w:r>
        <w:t xml:space="preserve"> </w:t>
      </w:r>
      <w:r>
        <w:rPr>
          <w:iCs/>
          <w:i/>
        </w:rPr>
        <w:t xml:space="preserve">capta</w:t>
      </w:r>
      <w:r>
        <w:t xml:space="preserve"> </w:t>
      </w:r>
      <w:r>
        <w:t xml:space="preserve">that are actively and creatively made, recorded, generated etc. by a theory- and agenda-laden researcher.</w:t>
      </w:r>
      <w:r>
        <w:t xml:space="preserve"> </w:t>
      </w:r>
      <w:r>
        <w:t xml:space="preserve">What more, the practice of data production is recognized as being shaped by and contributing to structure of power and knowledge.</w:t>
      </w:r>
      <w:r>
        <w:t xml:space="preserve"> </w:t>
      </w:r>
      <w:r>
        <w:t xml:space="preserve">What data are recorded and how they are structured has consequences as to what can be later devised, i.e. what knowlege can be generated.</w:t>
      </w:r>
    </w:p>
    <w:p>
      <w:pPr>
        <w:pStyle w:val="BodyText"/>
      </w:pPr>
      <w:r>
        <w:t xml:space="preserve">Talking about how chosen strategies in data recording and generation may influence the knowledge generated further along the way an idea of good and bad data might come to mind.</w:t>
      </w:r>
      <w:r>
        <w:t xml:space="preserve"> </w:t>
      </w:r>
      <w:r>
        <w:t xml:space="preserve">Bad data, like false data, do not exist.</w:t>
      </w:r>
      <w:r>
        <w:t xml:space="preserve"> </w:t>
      </w:r>
      <w:r>
        <w:t xml:space="preserve">Data can be useless, but their value is probably more determined by the current goal in mind.</w:t>
      </w:r>
      <w:r>
        <w:t xml:space="preserve"> </w:t>
      </w:r>
      <w:r>
        <w:t xml:space="preserve">Nevertheless, there are some signs of good-quality data as cited</w:t>
      </w:r>
      <w:r>
        <w:rPr>
          <w:rStyle w:val="FootnoteReference"/>
        </w:rPr>
        <w:footnoteReference w:id="57"/>
      </w:r>
      <w:r>
        <w:t xml:space="preserve"> </w:t>
      </w:r>
      <w:r>
        <w:t xml:space="preserve">by</w:t>
      </w:r>
      <w:r>
        <w:t xml:space="preserve"> </w:t>
      </w:r>
      <w:r>
        <w:t xml:space="preserve">Kitchin (2022, 4)</w:t>
      </w:r>
      <w:r>
        <w:t xml:space="preserve">:</w:t>
      </w:r>
    </w:p>
    <w:p>
      <w:pPr>
        <w:numPr>
          <w:ilvl w:val="0"/>
          <w:numId w:val="1004"/>
        </w:numPr>
        <w:pStyle w:val="Compact"/>
      </w:pPr>
      <w:r>
        <w:t xml:space="preserve">they are discreet and intelligible, i.e. each datum is individual, separate and separable, and clearly defined;</w:t>
      </w:r>
    </w:p>
    <w:p>
      <w:pPr>
        <w:numPr>
          <w:ilvl w:val="0"/>
          <w:numId w:val="1004"/>
        </w:numPr>
        <w:pStyle w:val="Compact"/>
      </w:pPr>
      <w:r>
        <w:t xml:space="preserve">they are aggregative, that is they can be built into sets;</w:t>
      </w:r>
    </w:p>
    <w:p>
      <w:pPr>
        <w:numPr>
          <w:ilvl w:val="0"/>
          <w:numId w:val="1004"/>
        </w:numPr>
        <w:pStyle w:val="Compact"/>
      </w:pPr>
      <w:r>
        <w:t xml:space="preserve">they have associated metadata (data about data);</w:t>
      </w:r>
    </w:p>
    <w:p>
      <w:pPr>
        <w:numPr>
          <w:ilvl w:val="0"/>
          <w:numId w:val="1004"/>
        </w:numPr>
        <w:pStyle w:val="Compact"/>
      </w:pPr>
      <w:r>
        <w:t xml:space="preserve">they can be linked to other datasets to provide insights not available from a single dataset.</w:t>
      </w:r>
    </w:p>
    <w:bookmarkEnd w:id="58"/>
    <w:bookmarkStart w:id="61"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bookmarkStart w:id="59" w:name="political-definitions"/>
    <w:p>
      <w:pPr>
        <w:pStyle w:val="Heading4"/>
      </w:pPr>
      <w:r>
        <w:t xml:space="preserve">Political definitions</w:t>
      </w:r>
    </w:p>
    <w:p>
      <w:pPr>
        <w:pStyle w:val="FirstParagraph"/>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5"/>
        </w:numPr>
        <w:pStyle w:val="Compact"/>
      </w:pPr>
      <w:r>
        <w:t xml:space="preserve">human resources, major scientific equipment or sets of instruments;</w:t>
      </w:r>
    </w:p>
    <w:p>
      <w:pPr>
        <w:numPr>
          <w:ilvl w:val="0"/>
          <w:numId w:val="1005"/>
        </w:numPr>
        <w:pStyle w:val="Compact"/>
      </w:pPr>
      <w:r>
        <w:t xml:space="preserve">collections, archives or scientific data, i.e. knowledge-related facilities;</w:t>
      </w:r>
    </w:p>
    <w:p>
      <w:pPr>
        <w:numPr>
          <w:ilvl w:val="0"/>
          <w:numId w:val="1005"/>
        </w:numPr>
        <w:pStyle w:val="Compact"/>
      </w:pPr>
      <w:r>
        <w:t xml:space="preserve">computing systems and communication networks;</w:t>
      </w:r>
    </w:p>
    <w:p>
      <w:pPr>
        <w:numPr>
          <w:ilvl w:val="0"/>
          <w:numId w:val="1005"/>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bookmarkEnd w:id="59"/>
    <w:bookmarkStart w:id="60" w:name="data-infrastructures"/>
    <w:p>
      <w:pPr>
        <w:pStyle w:val="Heading4"/>
      </w:pPr>
      <w:r>
        <w:t xml:space="preserve">Data infrastructures</w:t>
      </w:r>
    </w:p>
    <w:p>
      <w:pPr>
        <w:pStyle w:val="FirstParagraph"/>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In a broader sense, infrastructures are information systems, repositories, archives, databases, sets of equipment and instruments etc. shared by multiple shareholder groups that are essential in supporting open science and research.</w:t>
      </w:r>
    </w:p>
    <w:bookmarkEnd w:id="60"/>
    <w:bookmarkEnd w:id="61"/>
    <w:bookmarkEnd w:id="62"/>
    <w:bookmarkStart w:id="66"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p>
    <w:bookmarkStart w:id="63" w:name="digital-humanities"/>
    <w:p>
      <w:pPr>
        <w:pStyle w:val="Heading3"/>
      </w:pPr>
      <w:r>
        <w:t xml:space="preserve">1.2.1 Digital humanities</w:t>
      </w:r>
    </w:p>
    <w:bookmarkEnd w:id="63"/>
    <w:bookmarkStart w:id="64" w:name="digital-archaeology"/>
    <w:p>
      <w:pPr>
        <w:pStyle w:val="Heading3"/>
      </w:pPr>
      <w:r>
        <w:t xml:space="preserve">1.2.2 Digital archaeology</w:t>
      </w:r>
    </w:p>
    <w:bookmarkEnd w:id="64"/>
    <w:bookmarkStart w:id="65" w:name="spatial-archaeology"/>
    <w:p>
      <w:pPr>
        <w:pStyle w:val="Heading3"/>
      </w:pPr>
      <w:r>
        <w:t xml:space="preserve">1.2.3 Spatial archaeology</w:t>
      </w:r>
    </w:p>
    <w:bookmarkEnd w:id="65"/>
    <w:bookmarkEnd w:id="66"/>
    <w:bookmarkStart w:id="69" w:name="X57fc5d438049da7702a75081ff25207b9f53c15"/>
    <w:p>
      <w:pPr>
        <w:pStyle w:val="Heading2"/>
      </w:pPr>
      <w:r>
        <w:t xml:space="preserve">1.3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w:t>
            </w:r>
            <w:r>
              <w:t xml:space="preserve"> </w:t>
            </w:r>
            <w:r>
              <w:t xml:space="preserve">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9"/>
    <w:bookmarkStart w:id="70" w:name="theorizing-data"/>
    <w:p>
      <w:pPr>
        <w:pStyle w:val="Heading2"/>
      </w:pPr>
      <w:r>
        <w:t xml:space="preserve">1.4 Theorizing data</w:t>
      </w:r>
    </w:p>
    <w:p>
      <w:pPr>
        <w:pStyle w:val="FirstParagraph"/>
      </w:pPr>
      <w:r>
        <w:t xml:space="preserve">Defining archaeological data, micro- to macro-scales;</w:t>
      </w:r>
    </w:p>
    <w:bookmarkEnd w:id="70"/>
    <w:bookmarkStart w:id="71" w:name="chapter-summary"/>
    <w:p>
      <w:pPr>
        <w:pStyle w:val="Heading2"/>
      </w:pPr>
      <w:r>
        <w:t xml:space="preserve">Chapter summary</w:t>
      </w:r>
    </w:p>
    <w:bookmarkEnd w:id="71"/>
    <w:bookmarkEnd w:id="72"/>
    <w:bookmarkStart w:id="82" w:name="sec-method"/>
    <w:p>
      <w:pPr>
        <w:pStyle w:val="Heading1"/>
      </w:pPr>
      <w:r>
        <w:t xml:space="preserve">2. Methods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3" name="Picture"/>
                  <a:graphic>
                    <a:graphicData uri="http://schemas.openxmlformats.org/drawingml/2006/picture">
                      <pic:pic>
                        <pic:nvPicPr>
                          <pic:cNvPr descr="/opt/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method">
              <w:r>
                <w:rPr>
                  <w:rStyle w:val="Hyperlink"/>
                  <w:bCs/>
                  <w:b/>
                </w:rPr>
                <w:t xml:space="preserve">Chapter 2</w:t>
              </w:r>
            </w:hyperlink>
            <w:r>
              <w:rPr>
                <w:bCs/>
                <w:b/>
              </w:rPr>
              <w:t xml:space="preserve"> </w:t>
            </w:r>
            <w:r>
              <w:rPr>
                <w:bCs/>
                <w:b/>
              </w:rPr>
              <w:t xml:space="preserve">presents:</w:t>
            </w:r>
          </w:p>
          <w:p>
            <w:pPr>
              <w:numPr>
                <w:ilvl w:val="0"/>
                <w:numId w:val="1006"/>
              </w:numPr>
              <w:pStyle w:val="Compact"/>
            </w:pPr>
            <w:r>
              <w:t xml:space="preserve">The software that is used in the analysis.</w:t>
            </w:r>
          </w:p>
        </w:tc>
      </w:tr>
    </w:tbl>
    <w:bookmarkStart w:id="80"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75">
        <w:r>
          <w:rPr>
            <w:rStyle w:val="Hyperlink"/>
          </w:rPr>
          <w:t xml:space="preserve">PDF</w:t>
        </w:r>
      </w:hyperlink>
      <w:r>
        <w:t xml:space="preserve"> </w:t>
      </w:r>
      <w:r>
        <w:t xml:space="preserve">document and a</w:t>
      </w:r>
      <w:r>
        <w:t xml:space="preserve"> </w:t>
      </w:r>
      <w:hyperlink r:id="rId76">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7">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8">
        <w:r>
          <w:rPr>
            <w:rStyle w:val="Hyperlink"/>
          </w:rPr>
          <w:t xml:space="preserve">Zotero</w:t>
        </w:r>
      </w:hyperlink>
      <w:r>
        <w:t xml:space="preserve">.</w:t>
      </w:r>
    </w:p>
    <w:p>
      <w:pPr>
        <w:pStyle w:val="BodyText"/>
      </w:pPr>
      <w:r>
        <w:t xml:space="preserve">Raster graphics were created and edited using</w:t>
      </w:r>
      <w:r>
        <w:t xml:space="preserve"> </w:t>
      </w:r>
      <w:hyperlink r:id="rId78">
        <w:r>
          <w:rPr>
            <w:rStyle w:val="Hyperlink"/>
          </w:rPr>
          <w:t xml:space="preserve">GIMP</w:t>
        </w:r>
      </w:hyperlink>
      <w:r>
        <w:t xml:space="preserve">, vector graphics using</w:t>
      </w:r>
      <w:r>
        <w:t xml:space="preserve"> </w:t>
      </w:r>
      <w:hyperlink r:id="rId78">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8">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8">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79" w:name="reproduciblity"/>
    <w:p>
      <w:pPr>
        <w:pStyle w:val="Heading3"/>
      </w:pPr>
      <w:r>
        <w:t xml:space="preserve">2.1.1 Reproduciblity</w:t>
      </w:r>
    </w:p>
    <w:bookmarkEnd w:id="79"/>
    <w:bookmarkEnd w:id="80"/>
    <w:bookmarkStart w:id="81" w:name="chapter-summary-1"/>
    <w:p>
      <w:pPr>
        <w:pStyle w:val="Heading2"/>
      </w:pPr>
      <w:r>
        <w:t xml:space="preserve">Chapter summary</w:t>
      </w:r>
    </w:p>
    <w:bookmarkEnd w:id="81"/>
    <w:bookmarkEnd w:id="82"/>
    <w:bookmarkStart w:id="108"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3</w:t>
              </w:r>
            </w:hyperlink>
            <w:r>
              <w:rPr>
                <w:bCs/>
                <w:b/>
              </w:rPr>
              <w:t xml:space="preserve"> </w:t>
            </w:r>
            <w:r>
              <w:rPr>
                <w:bCs/>
                <w:b/>
              </w:rPr>
              <w:t xml:space="preserve">details:</w:t>
            </w:r>
          </w:p>
          <w:p>
            <w:pPr>
              <w:numPr>
                <w:ilvl w:val="0"/>
                <w:numId w:val="1007"/>
              </w:numPr>
              <w:pStyle w:val="Compact"/>
            </w:pPr>
            <w:r>
              <w:t xml:space="preserve">How data is managed in this research.</w:t>
            </w:r>
            <w:r>
              <w:t xml:space="preserve"> </w:t>
            </w:r>
            <w:r>
              <w:t xml:space="preserve">This is described in a data management plan.</w:t>
            </w:r>
          </w:p>
          <w:p>
            <w:pPr>
              <w:numPr>
                <w:ilvl w:val="0"/>
                <w:numId w:val="1007"/>
              </w:numPr>
              <w:pStyle w:val="Compact"/>
            </w:pPr>
            <w:r>
              <w:t xml:space="preserve">What data sources are available in the Czech Republic.</w:t>
            </w:r>
          </w:p>
          <w:p>
            <w:pPr>
              <w:numPr>
                <w:ilvl w:val="0"/>
                <w:numId w:val="1007"/>
              </w:numPr>
              <w:pStyle w:val="Compact"/>
            </w:pPr>
            <w:r>
              <w:t xml:space="preserve">What data models are most commonly used in Czech archaeology.</w:t>
            </w:r>
          </w:p>
          <w:p>
            <w:pPr>
              <w:numPr>
                <w:ilvl w:val="0"/>
                <w:numId w:val="1007"/>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87">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1"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8">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9">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96" w:name="created-collected-and-re-used-data"/>
    <w:p>
      <w:pPr>
        <w:pStyle w:val="Heading3"/>
      </w:pPr>
      <w:r>
        <w:t xml:space="preserve">3.1.1 Created, collected and re-used data</w:t>
      </w:r>
    </w:p>
    <w:bookmarkStart w:id="91" w:name="data-re-use"/>
    <w:p>
      <w:pPr>
        <w:pStyle w:val="Heading4"/>
      </w:pPr>
      <w:r>
        <w:t xml:space="preserve">Data re-use</w:t>
      </w:r>
    </w:p>
    <w:p>
      <w:pPr>
        <w:pStyle w:val="FirstParagraph"/>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3.2</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90">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bookmarkEnd w:id="91"/>
    <w:bookmarkStart w:id="92" w:name="data-creation-and-collection"/>
    <w:p>
      <w:pPr>
        <w:pStyle w:val="Heading4"/>
      </w:pPr>
      <w:r>
        <w:t xml:space="preserve">Data creation and collection</w:t>
      </w:r>
    </w:p>
    <w:bookmarkEnd w:id="92"/>
    <w:bookmarkStart w:id="94" w:name="vocabularies"/>
    <w:p>
      <w:pPr>
        <w:pStyle w:val="Heading4"/>
      </w:pPr>
      <w:r>
        <w:t xml:space="preserve">Vocabularies</w:t>
      </w:r>
    </w:p>
    <w:p>
      <w:pPr>
        <w:pStyle w:val="FirstParagraph"/>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93">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bookmarkEnd w:id="94"/>
    <w:bookmarkStart w:id="95" w:name="file-naming-conventions"/>
    <w:p>
      <w:pPr>
        <w:pStyle w:val="Heading4"/>
      </w:pPr>
      <w:r>
        <w:t xml:space="preserve">File naming conventions</w:t>
      </w:r>
    </w:p>
    <w:p>
      <w:pPr>
        <w:pStyle w:val="FirstParagraph"/>
      </w:pPr>
      <w:r>
        <w:t xml:space="preserve">Persistent identifiers?</w:t>
      </w:r>
    </w:p>
    <w:bookmarkEnd w:id="95"/>
    <w:bookmarkEnd w:id="96"/>
    <w:bookmarkStart w:id="97"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97"/>
    <w:bookmarkStart w:id="98"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8"/>
    <w:bookmarkStart w:id="99"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9"/>
    <w:bookmarkStart w:id="100"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100"/>
    <w:bookmarkEnd w:id="101"/>
    <w:bookmarkStart w:id="106" w:name="sec-sources"/>
    <w:p>
      <w:pPr>
        <w:pStyle w:val="Heading2"/>
      </w:pPr>
      <w:r>
        <w:t xml:space="preserve">3.2 Data sources</w:t>
      </w:r>
    </w:p>
    <w:bookmarkStart w:id="102" w:name="sec-aiscr"/>
    <w:p>
      <w:pPr>
        <w:pStyle w:val="Heading3"/>
      </w:pPr>
      <w:r>
        <w:t xml:space="preserve">3.2.1 Archaeology information system of the Czech Republic</w:t>
      </w:r>
    </w:p>
    <w:bookmarkEnd w:id="102"/>
    <w:bookmarkStart w:id="105" w:name="legacy-data-sources"/>
    <w:p>
      <w:pPr>
        <w:pStyle w:val="Heading3"/>
      </w:pPr>
      <w:r>
        <w:t xml:space="preserve">3.2.2 Legacy data sources</w:t>
      </w:r>
    </w:p>
    <w:p>
      <w:pPr>
        <w:pStyle w:val="FirstParagraph"/>
      </w:pPr>
      <w:r>
        <w:t xml:space="preserve">What is a legacy data source?</w:t>
      </w:r>
    </w:p>
    <w:bookmarkStart w:id="103" w:name="museum-databases"/>
    <w:p>
      <w:pPr>
        <w:pStyle w:val="Heading4"/>
      </w:pPr>
      <w:r>
        <w:t xml:space="preserve">Museum databases</w:t>
      </w:r>
    </w:p>
    <w:bookmarkEnd w:id="103"/>
    <w:bookmarkStart w:id="104" w:name="section"/>
    <w:p>
      <w:pPr>
        <w:pStyle w:val="Heading4"/>
      </w:pPr>
    </w:p>
    <w:bookmarkEnd w:id="104"/>
    <w:bookmarkEnd w:id="105"/>
    <w:bookmarkEnd w:id="106"/>
    <w:bookmarkStart w:id="107" w:name="chapter-summary-2"/>
    <w:p>
      <w:pPr>
        <w:pStyle w:val="Heading2"/>
      </w:pPr>
      <w:r>
        <w:t xml:space="preserve">Chapter summary</w:t>
      </w:r>
    </w:p>
    <w:bookmarkEnd w:id="107"/>
    <w:bookmarkEnd w:id="108"/>
    <w:bookmarkStart w:id="144" w:name="references"/>
    <w:p>
      <w:pPr>
        <w:pStyle w:val="Heading1"/>
      </w:pPr>
      <w:r>
        <w:t xml:space="preserve">References</w:t>
      </w:r>
    </w:p>
    <w:bookmarkStart w:id="143" w:name="refs"/>
    <w:bookmarkStart w:id="109" w:name="ref-zakon130"/>
    <w:p>
      <w:pPr>
        <w:pStyle w:val="Bibliography"/>
      </w:pP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 2002.</w:t>
      </w:r>
    </w:p>
    <w:bookmarkEnd w:id="109"/>
    <w:bookmarkStart w:id="11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t xml:space="preserve">Ariadne Portal</w:t>
      </w:r>
      <w:r>
        <w:t xml:space="preserve">.</w:t>
      </w:r>
      <w:r>
        <w:t xml:space="preserve"> </w:t>
      </w:r>
      <w:hyperlink r:id="rId110">
        <w:r>
          <w:rPr>
            <w:rStyle w:val="Hyperlink"/>
          </w:rPr>
          <w:t xml:space="preserve">https://vast-lab.org/dmp/</w:t>
        </w:r>
      </w:hyperlink>
      <w:r>
        <w:t xml:space="preserve">.</w:t>
      </w:r>
    </w:p>
    <w:bookmarkEnd w:id="111"/>
    <w:bookmarkStart w:id="113" w:name="ref-hallonsten2020"/>
    <w:p>
      <w:pPr>
        <w:pStyle w:val="Bibliography"/>
      </w:pPr>
      <w:r>
        <w:t xml:space="preserve">Hallonsten, Olof. 2020.</w:t>
      </w:r>
      <w:r>
        <w:t xml:space="preserve"> </w:t>
      </w:r>
      <w:r>
        <w:t xml:space="preserve">“Research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 (4).</w:t>
      </w:r>
      <w:r>
        <w:t xml:space="preserve"> </w:t>
      </w:r>
      <w:r>
        <w:t xml:space="preserve">Cambridge University Press</w:t>
      </w:r>
      <w:r>
        <w:t xml:space="preserve">: 617–635. doi:</w:t>
      </w:r>
      <w:hyperlink r:id="rId112">
        <w:r>
          <w:rPr>
            <w:rStyle w:val="Hyperlink"/>
          </w:rPr>
          <w:t xml:space="preserve">10.1017/S1062798720000095</w:t>
        </w:r>
      </w:hyperlink>
      <w:r>
        <w:t xml:space="preserve">.</w:t>
      </w:r>
    </w:p>
    <w:bookmarkEnd w:id="113"/>
    <w:bookmarkStart w:id="115"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14">
        <w:r>
          <w:rPr>
            <w:rStyle w:val="Hyperlink"/>
          </w:rPr>
          <w:t xml:space="preserve">10.5281/zenodo.2668478</w:t>
        </w:r>
      </w:hyperlink>
      <w:r>
        <w:t xml:space="preserve">.</w:t>
      </w:r>
    </w:p>
    <w:bookmarkEnd w:id="115"/>
    <w:bookmarkStart w:id="117" w:name="ref-huggett2020a"/>
    <w:p>
      <w:pPr>
        <w:pStyle w:val="Bibliography"/>
      </w:pPr>
      <w:r>
        <w:t xml:space="preserve">Huggett, Jeremy. 2020.</w:t>
      </w:r>
      <w:r>
        <w:t xml:space="preserve"> </w:t>
      </w:r>
      <w:r>
        <w:t xml:space="preserve">“Is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(February): S8–S17. doi:</w:t>
      </w:r>
      <w:hyperlink r:id="rId116">
        <w:r>
          <w:rPr>
            <w:rStyle w:val="Hyperlink"/>
          </w:rPr>
          <w:t xml:space="preserve">10.1080/00934690.2020.1713281</w:t>
        </w:r>
      </w:hyperlink>
      <w:r>
        <w:t xml:space="preserve">.</w:t>
      </w:r>
    </w:p>
    <w:bookmarkEnd w:id="117"/>
    <w:bookmarkStart w:id="118" w:name="ref-kitchin2022"/>
    <w:p>
      <w:pPr>
        <w:pStyle w:val="Bibliography"/>
      </w:pPr>
      <w:r>
        <w:t xml:space="preserve">Kitchin, Rob.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18"/>
    <w:bookmarkStart w:id="120"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19">
        <w:r>
          <w:rPr>
            <w:rStyle w:val="Hyperlink"/>
          </w:rPr>
          <w:t xml:space="preserve">10.1007/s10816-015-9272-9</w:t>
        </w:r>
      </w:hyperlink>
      <w:r>
        <w:t xml:space="preserve">.</w:t>
      </w:r>
    </w:p>
    <w:bookmarkEnd w:id="120"/>
    <w:bookmarkStart w:id="122"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21">
        <w:r>
          <w:rPr>
            <w:rStyle w:val="Hyperlink"/>
          </w:rPr>
          <w:t xml:space="preserve">10.1080/00031305.2017.1375986</w:t>
        </w:r>
      </w:hyperlink>
      <w:r>
        <w:t xml:space="preserve">.</w:t>
      </w:r>
    </w:p>
    <w:bookmarkEnd w:id="122"/>
    <w:bookmarkStart w:id="123"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23"/>
    <w:bookmarkStart w:id="125"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 0).</w:t>
      </w:r>
      <w:r>
        <w:t xml:space="preserve"> </w:t>
      </w:r>
      <w:r>
        <w:t xml:space="preserve">Ubiquity Press</w:t>
      </w:r>
      <w:r>
        <w:t xml:space="preserve">: 13. doi:</w:t>
      </w:r>
      <w:hyperlink r:id="rId124">
        <w:r>
          <w:rPr>
            <w:rStyle w:val="Hyperlink"/>
          </w:rPr>
          <w:t xml:space="preserve">10.5334/joad.88</w:t>
        </w:r>
      </w:hyperlink>
      <w:r>
        <w:t xml:space="preserve">.</w:t>
      </w:r>
    </w:p>
    <w:bookmarkEnd w:id="125"/>
    <w:bookmarkStart w:id="127"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 1).</w:t>
      </w:r>
      <w:r>
        <w:t xml:space="preserve"> </w:t>
      </w:r>
      <w:r>
        <w:t xml:space="preserve">Ubiquity Press</w:t>
      </w:r>
      <w:r>
        <w:t xml:space="preserve">: 59. doi:</w:t>
      </w:r>
      <w:hyperlink r:id="rId126">
        <w:r>
          <w:rPr>
            <w:rStyle w:val="Hyperlink"/>
          </w:rPr>
          <w:t xml:space="preserve">10.5334/dsj-2019-059</w:t>
        </w:r>
      </w:hyperlink>
      <w:r>
        <w:t xml:space="preserve">.</w:t>
      </w:r>
    </w:p>
    <w:bookmarkEnd w:id="127"/>
    <w:bookmarkStart w:id="129" w:name="ref-rcore"/>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hyperlink r:id="rId128">
        <w:r>
          <w:rPr>
            <w:rStyle w:val="Hyperlink"/>
          </w:rPr>
          <w:t xml:space="preserve">https://www.R-project.org/</w:t>
        </w:r>
      </w:hyperlink>
      <w:r>
        <w:t xml:space="preserve">.</w:t>
      </w:r>
    </w:p>
    <w:bookmarkEnd w:id="129"/>
    <w:bookmarkStart w:id="131" w:name="ref-horizon"/>
    <w:p>
      <w:pPr>
        <w:pStyle w:val="Bibliography"/>
      </w:pPr>
      <w:r>
        <w:rPr>
          <w:iCs/>
          <w:i/>
        </w:rPr>
        <w:t xml:space="preserve">Regulation (</w:t>
      </w:r>
      <w:r>
        <w:rPr>
          <w:iCs/>
          <w:i/>
        </w:rPr>
        <w:t xml:space="preserve">EU</w:t>
      </w:r>
      <w:r>
        <w:rPr>
          <w:iCs/>
          <w:i/>
        </w:rPr>
        <w:t xml:space="preserve">) 2021/695 of the</w:t>
      </w:r>
      <w:r>
        <w:rPr>
          <w:iCs/>
          <w:i/>
        </w:rPr>
        <w:t xml:space="preserve"> </w:t>
      </w:r>
      <w:r>
        <w:rPr>
          <w:iCs/>
          <w:i/>
        </w:rPr>
        <w:t xml:space="preserve">European Parliament</w:t>
      </w:r>
      <w:r>
        <w:rPr>
          <w:iCs/>
          <w:i/>
        </w:rPr>
        <w:t xml:space="preserve"> </w:t>
      </w:r>
      <w:r>
        <w:rPr>
          <w:iCs/>
          <w:i/>
        </w:rPr>
        <w:t xml:space="preserve">and of the</w:t>
      </w:r>
      <w:r>
        <w:rPr>
          <w:iCs/>
          <w:i/>
        </w:rPr>
        <w:t xml:space="preserve"> </w:t>
      </w:r>
      <w:r>
        <w:rPr>
          <w:iCs/>
          <w:i/>
        </w:rPr>
        <w:t xml:space="preserve">Council</w:t>
      </w:r>
      <w:r>
        <w:t xml:space="preserve">. 2021.</w:t>
      </w:r>
      <w:r>
        <w:t xml:space="preserve"> </w:t>
      </w:r>
      <w:r>
        <w:rPr>
          <w:iCs/>
          <w:i/>
        </w:rPr>
        <w:t xml:space="preserve">32021R0695</w:t>
      </w:r>
      <w:r>
        <w:t xml:space="preserve">.</w:t>
      </w:r>
      <w:r>
        <w:t xml:space="preserve"> </w:t>
      </w:r>
      <w:hyperlink r:id="rId130">
        <w:r>
          <w:rPr>
            <w:rStyle w:val="Hyperlink"/>
          </w:rPr>
          <w:t xml:space="preserve">https://eur-lex.europa.eu/legal-content/EN/ALL/?uri=CELEX:32021R0695</w:t>
        </w:r>
      </w:hyperlink>
      <w:r>
        <w:t xml:space="preserve">.</w:t>
      </w:r>
    </w:p>
    <w:bookmarkEnd w:id="131"/>
    <w:bookmarkStart w:id="133" w:name="ref-roadmap2019"/>
    <w:p>
      <w:pPr>
        <w:pStyle w:val="Bibliography"/>
      </w:pPr>
      <w:r>
        <w:rPr>
          <w:iCs/>
          <w:i/>
        </w:rPr>
        <w:t xml:space="preserve">Roadmap of</w:t>
      </w:r>
      <w:r>
        <w:rPr>
          <w:iCs/>
          <w:i/>
        </w:rPr>
        <w:t xml:space="preserve"> </w:t>
      </w:r>
      <w:r>
        <w:rPr>
          <w:iCs/>
          <w:i/>
        </w:rPr>
        <w:t xml:space="preserve">Large Research Infrastructures</w:t>
      </w:r>
      <w:r>
        <w:rPr>
          <w:iCs/>
          <w:i/>
        </w:rPr>
        <w:t xml:space="preserve"> </w:t>
      </w:r>
      <w:r>
        <w:rPr>
          <w:iCs/>
          <w:i/>
        </w:rPr>
        <w:t xml:space="preserve">of the</w:t>
      </w:r>
      <w:r>
        <w:rPr>
          <w:iCs/>
          <w:i/>
        </w:rPr>
        <w:t xml:space="preserve"> </w:t>
      </w:r>
      <w:r>
        <w:rPr>
          <w:iCs/>
          <w:i/>
        </w:rPr>
        <w:t xml:space="preserve">Czech Republic</w:t>
      </w:r>
      <w:r>
        <w:rPr>
          <w:iCs/>
          <w:i/>
        </w:rPr>
        <w:t xml:space="preserve"> </w:t>
      </w:r>
      <w:r>
        <w:rPr>
          <w:iCs/>
          <w:i/>
        </w:rPr>
        <w:t xml:space="preserve">for the Years 2016-2022</w:t>
      </w:r>
      <w:r>
        <w:t xml:space="preserve">. 2019. Update 2019.</w:t>
      </w:r>
      <w:r>
        <w:t xml:space="preserve"> </w:t>
      </w:r>
      <w:r>
        <w:t xml:space="preserve">Prague</w:t>
      </w:r>
      <w:r>
        <w:t xml:space="preserve">:</w:t>
      </w:r>
      <w:r>
        <w:t xml:space="preserve"> </w:t>
      </w:r>
      <w:r>
        <w:t xml:space="preserve">Ministry of Education, Youth and Sports</w:t>
      </w:r>
      <w:r>
        <w:t xml:space="preserve">.</w:t>
      </w:r>
      <w:r>
        <w:t xml:space="preserve"> </w:t>
      </w:r>
      <w:hyperlink r:id="rId132">
        <w:r>
          <w:rPr>
            <w:rStyle w:val="Hyperlink"/>
          </w:rPr>
          <w:t xml:space="preserve">https://www.vyzkumne-infrastruktury.cz/wp-content/uploads/2019/11/Aktualizace-Cestovn%C3%AD-mapy-2019_en.pdf</w:t>
        </w:r>
      </w:hyperlink>
      <w:r>
        <w:t xml:space="preserve">.</w:t>
      </w:r>
    </w:p>
    <w:bookmarkEnd w:id="133"/>
    <w:bookmarkStart w:id="134" w:name="ref-rosenberg2013"/>
    <w:p>
      <w:pPr>
        <w:pStyle w:val="Bibliography"/>
      </w:pPr>
      <w:r>
        <w:t xml:space="preserve">Rosenberg, Daniel. 2013.</w:t>
      </w:r>
      <w:r>
        <w:t xml:space="preserve"> </w:t>
      </w:r>
      <w:r>
        <w:t xml:space="preserve">“Data Before the Fact.”</w:t>
      </w:r>
      <w:r>
        <w:t xml:space="preserve"> </w:t>
      </w:r>
      <w:r>
        <w:t xml:space="preserve">In</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 edited by L Gitelman, 15–40.</w:t>
      </w:r>
      <w:r>
        <w:t xml:space="preserve"> </w:t>
      </w:r>
      <w:r>
        <w:t xml:space="preserve">Cambridge, MA</w:t>
      </w:r>
      <w:r>
        <w:t xml:space="preserve">:</w:t>
      </w:r>
      <w:r>
        <w:t xml:space="preserve"> </w:t>
      </w:r>
      <w:r>
        <w:t xml:space="preserve">MIT Press</w:t>
      </w:r>
      <w:r>
        <w:t xml:space="preserve">.</w:t>
      </w:r>
    </w:p>
    <w:bookmarkEnd w:id="134"/>
    <w:bookmarkStart w:id="136"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35">
        <w:r>
          <w:rPr>
            <w:rStyle w:val="Hyperlink"/>
          </w:rPr>
          <w:t xml:space="preserve">10.1177/2053951717717749</w:t>
        </w:r>
      </w:hyperlink>
      <w:r>
        <w:t xml:space="preserve">.</w:t>
      </w:r>
    </w:p>
    <w:bookmarkEnd w:id="136"/>
    <w:bookmarkStart w:id="138"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 0).</w:t>
      </w:r>
      <w:r>
        <w:t xml:space="preserve"> </w:t>
      </w:r>
      <w:r>
        <w:t xml:space="preserve">Ubiquity Press</w:t>
      </w:r>
      <w:r>
        <w:t xml:space="preserve">: 9. doi:</w:t>
      </w:r>
      <w:hyperlink r:id="rId137">
        <w:r>
          <w:rPr>
            <w:rStyle w:val="Hyperlink"/>
          </w:rPr>
          <w:t xml:space="preserve">10.5334/joad.85</w:t>
        </w:r>
      </w:hyperlink>
      <w:r>
        <w:t xml:space="preserve">.</w:t>
      </w:r>
    </w:p>
    <w:bookmarkEnd w:id="138"/>
    <w:bookmarkStart w:id="140" w:name="ref-unesco2021"/>
    <w:p>
      <w:pPr>
        <w:pStyle w:val="Bibliography"/>
      </w:pPr>
      <w:r>
        <w:t xml:space="preserve">UNESCO. 2021.</w:t>
      </w:r>
      <w:r>
        <w:t xml:space="preserve"> </w:t>
      </w:r>
      <w:r>
        <w:rPr>
          <w:iCs/>
          <w:i/>
        </w:rPr>
        <w:t xml:space="preserve">UNESCO Recommendation</w:t>
      </w:r>
      <w:r>
        <w:rPr>
          <w:iCs/>
          <w:i/>
        </w:rPr>
        <w:t xml:space="preserve"> </w:t>
      </w:r>
      <w:r>
        <w:rPr>
          <w:iCs/>
          <w:i/>
        </w:rPr>
        <w:t xml:space="preserve">on</w:t>
      </w:r>
      <w:r>
        <w:rPr>
          <w:iCs/>
          <w:i/>
        </w:rPr>
        <w:t xml:space="preserve"> </w:t>
      </w:r>
      <w:r>
        <w:rPr>
          <w:iCs/>
          <w:i/>
        </w:rPr>
        <w:t xml:space="preserve">Open Science</w:t>
      </w:r>
      <w:r>
        <w:t xml:space="preserve">.</w:t>
      </w:r>
      <w:r>
        <w:t xml:space="preserve"> </w:t>
      </w:r>
      <w:r>
        <w:t xml:space="preserve">Paris</w:t>
      </w:r>
      <w:r>
        <w:t xml:space="preserve">:</w:t>
      </w:r>
      <w:r>
        <w:t xml:space="preserve"> </w:t>
      </w:r>
      <w:r>
        <w:t xml:space="preserve">UNESCO</w:t>
      </w:r>
      <w:r>
        <w:t xml:space="preserve">.</w:t>
      </w:r>
      <w:r>
        <w:t xml:space="preserve"> </w:t>
      </w:r>
      <w:hyperlink r:id="rId139">
        <w:r>
          <w:rPr>
            <w:rStyle w:val="Hyperlink"/>
          </w:rPr>
          <w:t xml:space="preserve">https://unesdoc.unesco.org/ark:/48223/pf0000379949.locale=en</w:t>
        </w:r>
      </w:hyperlink>
      <w:r>
        <w:t xml:space="preserve">.</w:t>
      </w:r>
    </w:p>
    <w:bookmarkEnd w:id="140"/>
    <w:bookmarkStart w:id="142"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 1).</w:t>
      </w:r>
      <w:r>
        <w:t xml:space="preserve"> </w:t>
      </w:r>
      <w:r>
        <w:t xml:space="preserve">Nature Publishing Group</w:t>
      </w:r>
      <w:r>
        <w:t xml:space="preserve">: 160018. doi:</w:t>
      </w:r>
      <w:hyperlink r:id="rId141">
        <w:r>
          <w:rPr>
            <w:rStyle w:val="Hyperlink"/>
          </w:rPr>
          <w:t xml:space="preserve">10.1038/sdata.2016.18</w:t>
        </w:r>
      </w:hyperlink>
      <w:r>
        <w:t xml:space="preserve">.</w:t>
      </w:r>
    </w:p>
    <w:bookmarkEnd w:id="142"/>
    <w:bookmarkEnd w:id="143"/>
    <w:bookmarkEnd w:id="144"/>
    <w:bookmarkStart w:id="156" w:name="sec-glossary"/>
    <w:p>
      <w:pPr>
        <w:pStyle w:val="Heading1"/>
      </w:pPr>
      <w:r>
        <w:t xml:space="preserve">Appendix A — Glossary</w:t>
      </w:r>
    </w:p>
    <w:bookmarkStart w:id="145" w:name="data"/>
    <w:p>
      <w:pPr>
        <w:pStyle w:val="Heading3"/>
      </w:pPr>
      <w:r>
        <w:t xml:space="preserve">Data</w:t>
      </w:r>
    </w:p>
    <w:bookmarkEnd w:id="145"/>
    <w:bookmarkStart w:id="146" w:name="data-infrastructure"/>
    <w:p>
      <w:pPr>
        <w:pStyle w:val="Heading3"/>
      </w:pPr>
      <w:r>
        <w:t xml:space="preserve">Data infrastructure</w:t>
      </w:r>
    </w:p>
    <w:bookmarkEnd w:id="146"/>
    <w:bookmarkStart w:id="147" w:name="data-management-plan-dmp"/>
    <w:p>
      <w:pPr>
        <w:pStyle w:val="Heading3"/>
      </w:pPr>
      <w:r>
        <w:t xml:space="preserve">Data management plan (DMP)</w:t>
      </w:r>
    </w:p>
    <w:p>
      <w:pPr>
        <w:pStyle w:val="FirstParagraph"/>
      </w:pPr>
      <w:r>
        <w:t xml:space="preserve">(also data stewardship plan)</w:t>
      </w:r>
    </w:p>
    <w:bookmarkEnd w:id="147"/>
    <w:bookmarkStart w:id="148" w:name="database"/>
    <w:p>
      <w:pPr>
        <w:pStyle w:val="Heading3"/>
      </w:pPr>
      <w:r>
        <w:t xml:space="preserve">Database</w:t>
      </w:r>
    </w:p>
    <w:bookmarkEnd w:id="148"/>
    <w:bookmarkStart w:id="149" w:name="data-set"/>
    <w:p>
      <w:pPr>
        <w:pStyle w:val="Heading3"/>
      </w:pPr>
      <w:r>
        <w:t xml:space="preserve">Data set</w:t>
      </w:r>
    </w:p>
    <w:bookmarkEnd w:id="149"/>
    <w:bookmarkStart w:id="150" w:name="fair-data-principles"/>
    <w:p>
      <w:pPr>
        <w:pStyle w:val="Heading3"/>
      </w:pPr>
      <w:r>
        <w:t xml:space="preserve">FAIR data principles</w:t>
      </w:r>
    </w:p>
    <w:bookmarkEnd w:id="150"/>
    <w:bookmarkStart w:id="151" w:name="care-data-principles"/>
    <w:p>
      <w:pPr>
        <w:pStyle w:val="Heading3"/>
      </w:pPr>
      <w:r>
        <w:t xml:space="preserve">A.0.1 CARE data principles</w:t>
      </w:r>
    </w:p>
    <w:bookmarkEnd w:id="151"/>
    <w:bookmarkStart w:id="152" w:name="legacy-data"/>
    <w:p>
      <w:pPr>
        <w:pStyle w:val="Heading3"/>
      </w:pPr>
      <w:r>
        <w:t xml:space="preserve">Legacy data</w:t>
      </w:r>
    </w:p>
    <w:bookmarkEnd w:id="152"/>
    <w:bookmarkStart w:id="155" w:name="roles"/>
    <w:p>
      <w:pPr>
        <w:pStyle w:val="Heading3"/>
      </w:pPr>
      <w:r>
        <w:t xml:space="preserve">Roles</w:t>
      </w:r>
    </w:p>
    <w:bookmarkStart w:id="153" w:name="data-curator"/>
    <w:p>
      <w:pPr>
        <w:pStyle w:val="Heading4"/>
      </w:pPr>
      <w:r>
        <w:t xml:space="preserve">Data curator</w:t>
      </w:r>
    </w:p>
    <w:bookmarkEnd w:id="153"/>
    <w:bookmarkStart w:id="154" w:name="data-steward"/>
    <w:p>
      <w:pPr>
        <w:pStyle w:val="Heading4"/>
      </w:pPr>
      <w:r>
        <w:t xml:space="preserve">Data steward</w:t>
      </w:r>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57">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8" Target="" TargetMode="External" /><Relationship Type="http://schemas.openxmlformats.org/officeDocument/2006/relationships/hyperlink" Id="rId88"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9" Target="https://doi.org/10.1007/s10816-015-9272-9" TargetMode="External" /><Relationship Type="http://schemas.openxmlformats.org/officeDocument/2006/relationships/hyperlink" Id="rId112" Target="https://doi.org/10.1017/S1062798720000095" TargetMode="External" /><Relationship Type="http://schemas.openxmlformats.org/officeDocument/2006/relationships/hyperlink" Id="rId141" Target="https://doi.org/10.1038/sdata.2016.18" TargetMode="External" /><Relationship Type="http://schemas.openxmlformats.org/officeDocument/2006/relationships/hyperlink" Id="rId121" Target="https://doi.org/10.1080/00031305.2017.1375986" TargetMode="External" /><Relationship Type="http://schemas.openxmlformats.org/officeDocument/2006/relationships/hyperlink" Id="rId116" Target="https://doi.org/10.1080/00934690.2020.1713281" TargetMode="External" /><Relationship Type="http://schemas.openxmlformats.org/officeDocument/2006/relationships/hyperlink" Id="rId135" Target="https://doi.org/10.1177/2053951717717749" TargetMode="External" /><Relationship Type="http://schemas.openxmlformats.org/officeDocument/2006/relationships/hyperlink" Id="rId114" Target="https://doi.org/10.5281/zenodo.2668478" TargetMode="External" /><Relationship Type="http://schemas.openxmlformats.org/officeDocument/2006/relationships/hyperlink" Id="rId126" Target="https://doi.org/10.5334/dsj-2019-059" TargetMode="External" /><Relationship Type="http://schemas.openxmlformats.org/officeDocument/2006/relationships/hyperlink" Id="rId137" Target="https://doi.org/10.5334/joad.85" TargetMode="External" /><Relationship Type="http://schemas.openxmlformats.org/officeDocument/2006/relationships/hyperlink" Id="rId124" Target="https://doi.org/10.5334/joad.88" TargetMode="External" /><Relationship Type="http://schemas.openxmlformats.org/officeDocument/2006/relationships/hyperlink" Id="rId130" Target="https://eur-lex.europa.eu/legal-content/EN/ALL/?uri=CELEX:32021R0695" TargetMode="External" /><Relationship Type="http://schemas.openxmlformats.org/officeDocument/2006/relationships/hyperlink" Id="rId77"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90"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6" Target="https://petrpajdla.github.io/dataInfrastructures/Archaeology-Data-Infrastructures.docx" TargetMode="External" /><Relationship Type="http://schemas.openxmlformats.org/officeDocument/2006/relationships/hyperlink" Id="rId75"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39" Target="https://unesdoc.unesco.org/ark:/48223/pf0000379949.locale=en" TargetMode="External" /><Relationship Type="http://schemas.openxmlformats.org/officeDocument/2006/relationships/hyperlink" Id="rId110" Target="https://vast-lab.org/dmp/" TargetMode="External" /><Relationship Type="http://schemas.openxmlformats.org/officeDocument/2006/relationships/hyperlink" Id="rId89" Target="https://vast-lab.org/dmp/index.html" TargetMode="External" /><Relationship Type="http://schemas.openxmlformats.org/officeDocument/2006/relationships/hyperlink" Id="rId128" Target="https://www.R-project.org/" TargetMode="External" /><Relationship Type="http://schemas.openxmlformats.org/officeDocument/2006/relationships/hyperlink" Id="rId93" Target="https://www.getty.edu/research/tools/vocabularies/aat/" TargetMode="External" /><Relationship Type="http://schemas.openxmlformats.org/officeDocument/2006/relationships/hyperlink" Id="rId87" Target="https://www.phil.muni.cz/en/research/current-projects/57940" TargetMode="External" /><Relationship Type="http://schemas.openxmlformats.org/officeDocument/2006/relationships/hyperlink" Id="rId132" Target="https://www.vyzkumne-infrastruktury.cz/wp-content/uploads/2019/11/Aktualizace-Cestovn%C3%AD-mapy-2019_en.pdf"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8" Target="" TargetMode="External" /><Relationship Type="http://schemas.openxmlformats.org/officeDocument/2006/relationships/hyperlink" Id="rId88"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9" Target="https://doi.org/10.1007/s10816-015-9272-9" TargetMode="External" /><Relationship Type="http://schemas.openxmlformats.org/officeDocument/2006/relationships/hyperlink" Id="rId112" Target="https://doi.org/10.1017/S1062798720000095" TargetMode="External" /><Relationship Type="http://schemas.openxmlformats.org/officeDocument/2006/relationships/hyperlink" Id="rId141" Target="https://doi.org/10.1038/sdata.2016.18" TargetMode="External" /><Relationship Type="http://schemas.openxmlformats.org/officeDocument/2006/relationships/hyperlink" Id="rId121" Target="https://doi.org/10.1080/00031305.2017.1375986" TargetMode="External" /><Relationship Type="http://schemas.openxmlformats.org/officeDocument/2006/relationships/hyperlink" Id="rId116" Target="https://doi.org/10.1080/00934690.2020.1713281" TargetMode="External" /><Relationship Type="http://schemas.openxmlformats.org/officeDocument/2006/relationships/hyperlink" Id="rId135" Target="https://doi.org/10.1177/2053951717717749" TargetMode="External" /><Relationship Type="http://schemas.openxmlformats.org/officeDocument/2006/relationships/hyperlink" Id="rId114" Target="https://doi.org/10.5281/zenodo.2668478" TargetMode="External" /><Relationship Type="http://schemas.openxmlformats.org/officeDocument/2006/relationships/hyperlink" Id="rId126" Target="https://doi.org/10.5334/dsj-2019-059" TargetMode="External" /><Relationship Type="http://schemas.openxmlformats.org/officeDocument/2006/relationships/hyperlink" Id="rId137" Target="https://doi.org/10.5334/joad.85" TargetMode="External" /><Relationship Type="http://schemas.openxmlformats.org/officeDocument/2006/relationships/hyperlink" Id="rId124" Target="https://doi.org/10.5334/joad.88" TargetMode="External" /><Relationship Type="http://schemas.openxmlformats.org/officeDocument/2006/relationships/hyperlink" Id="rId130" Target="https://eur-lex.europa.eu/legal-content/EN/ALL/?uri=CELEX:32021R0695" TargetMode="External" /><Relationship Type="http://schemas.openxmlformats.org/officeDocument/2006/relationships/hyperlink" Id="rId77"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90"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6" Target="https://petrpajdla.github.io/dataInfrastructures/Archaeology-Data-Infrastructures.docx" TargetMode="External" /><Relationship Type="http://schemas.openxmlformats.org/officeDocument/2006/relationships/hyperlink" Id="rId75"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39" Target="https://unesdoc.unesco.org/ark:/48223/pf0000379949.locale=en" TargetMode="External" /><Relationship Type="http://schemas.openxmlformats.org/officeDocument/2006/relationships/hyperlink" Id="rId110" Target="https://vast-lab.org/dmp/" TargetMode="External" /><Relationship Type="http://schemas.openxmlformats.org/officeDocument/2006/relationships/hyperlink" Id="rId89" Target="https://vast-lab.org/dmp/index.html" TargetMode="External" /><Relationship Type="http://schemas.openxmlformats.org/officeDocument/2006/relationships/hyperlink" Id="rId128" Target="https://www.R-project.org/" TargetMode="External" /><Relationship Type="http://schemas.openxmlformats.org/officeDocument/2006/relationships/hyperlink" Id="rId93" Target="https://www.getty.edu/research/tools/vocabularies/aat/" TargetMode="External" /><Relationship Type="http://schemas.openxmlformats.org/officeDocument/2006/relationships/hyperlink" Id="rId87" Target="https://www.phil.muni.cz/en/research/current-projects/57940" TargetMode="External" /><Relationship Type="http://schemas.openxmlformats.org/officeDocument/2006/relationships/hyperlink" Id="rId132" Target="https://www.vyzkumne-infrastruktury.cz/wp-content/uploads/2019/11/Aktualizace-Cestovn%C3%AD-mapy-2019_en.pdf"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2023-07-03T22:40:26Z</dcterms:created>
  <dcterms:modified xsi:type="dcterms:W3CDTF">2023-07-03T22:40:26Z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https://www.zotero.org/styles/world-archaeology</vt:lpwstr>
  </property>
  <property fmtid="{D5CDD505-2E9C-101B-9397-08002B2CF9AE}" pid="13" name="date">
    <vt:lpwstr>2023-07-03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ies>
</file>