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FINANCIAR 5 ANI - FIRMA DE ARHITECTURA</w:t>
      </w:r>
    </w:p>
    <w:p>
      <w:pPr>
        <w:pStyle w:val="Heading1"/>
      </w:pPr>
      <w:r>
        <w:t>1. Premise generale</w:t>
      </w:r>
    </w:p>
    <w:p>
      <w:r>
        <w:t>Planul financiar este estimativ și se bazează pe creșterea graduală a portofoliului de proiecte, extinderea echipei și diversificarea serviciilor de arhitectură și design.</w:t>
      </w:r>
    </w:p>
    <w:p>
      <w:pPr>
        <w:pStyle w:val="Heading1"/>
      </w:pPr>
      <w:r>
        <w:t>2. Proiecție financiară (5 ani)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</w:t>
            </w:r>
          </w:p>
        </w:tc>
        <w:tc>
          <w:tcPr>
            <w:tcW w:type="dxa" w:w="1728"/>
          </w:tcPr>
          <w:p>
            <w:r>
              <w:t>Cifra de afaceri (EUR)</w:t>
            </w:r>
          </w:p>
        </w:tc>
        <w:tc>
          <w:tcPr>
            <w:tcW w:type="dxa" w:w="1728"/>
          </w:tcPr>
          <w:p>
            <w:r>
              <w:t>Cheltuieli (EUR)</w:t>
            </w:r>
          </w:p>
        </w:tc>
        <w:tc>
          <w:tcPr>
            <w:tcW w:type="dxa" w:w="1728"/>
          </w:tcPr>
          <w:p>
            <w:r>
              <w:t>Profit estimat (EUR)</w:t>
            </w:r>
          </w:p>
        </w:tc>
        <w:tc>
          <w:tcPr>
            <w:tcW w:type="dxa" w:w="1728"/>
          </w:tcPr>
          <w:p>
            <w:r>
              <w:t>Observații</w:t>
            </w:r>
          </w:p>
        </w:tc>
      </w:tr>
      <w:tr>
        <w:tc>
          <w:tcPr>
            <w:tcW w:type="dxa" w:w="1728"/>
          </w:tcPr>
          <w:p>
            <w:r>
              <w:t>An 1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Start-up</w:t>
            </w:r>
          </w:p>
        </w:tc>
      </w:tr>
      <w:tr>
        <w:tc>
          <w:tcPr>
            <w:tcW w:type="dxa" w:w="1728"/>
          </w:tcPr>
          <w:p>
            <w:r>
              <w:t>An 2</w:t>
            </w:r>
          </w:p>
        </w:tc>
        <w:tc>
          <w:tcPr>
            <w:tcW w:type="dxa" w:w="1728"/>
          </w:tcPr>
          <w:p>
            <w:r>
              <w:t>90,000</w:t>
            </w:r>
          </w:p>
        </w:tc>
        <w:tc>
          <w:tcPr>
            <w:tcW w:type="dxa" w:w="1728"/>
          </w:tcPr>
          <w:p>
            <w:r>
              <w:t>55,000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Creștere portofoliu</w:t>
            </w:r>
          </w:p>
        </w:tc>
      </w:tr>
      <w:tr>
        <w:tc>
          <w:tcPr>
            <w:tcW w:type="dxa" w:w="1728"/>
          </w:tcPr>
          <w:p>
            <w:r>
              <w:t>An 3</w:t>
            </w:r>
          </w:p>
        </w:tc>
        <w:tc>
          <w:tcPr>
            <w:tcW w:type="dxa" w:w="1728"/>
          </w:tcPr>
          <w:p>
            <w:r>
              <w:t>150,000</w:t>
            </w:r>
          </w:p>
        </w:tc>
        <w:tc>
          <w:tcPr>
            <w:tcW w:type="dxa" w:w="1728"/>
          </w:tcPr>
          <w:p>
            <w:r>
              <w:t>85,000</w:t>
            </w:r>
          </w:p>
        </w:tc>
        <w:tc>
          <w:tcPr>
            <w:tcW w:type="dxa" w:w="1728"/>
          </w:tcPr>
          <w:p>
            <w:r>
              <w:t>65,000</w:t>
            </w:r>
          </w:p>
        </w:tc>
        <w:tc>
          <w:tcPr>
            <w:tcW w:type="dxa" w:w="1728"/>
          </w:tcPr>
          <w:p>
            <w:r>
              <w:t>Stabilizare piață</w:t>
            </w:r>
          </w:p>
        </w:tc>
      </w:tr>
      <w:tr>
        <w:tc>
          <w:tcPr>
            <w:tcW w:type="dxa" w:w="1728"/>
          </w:tcPr>
          <w:p>
            <w:r>
              <w:t>An 4</w:t>
            </w:r>
          </w:p>
        </w:tc>
        <w:tc>
          <w:tcPr>
            <w:tcW w:type="dxa" w:w="1728"/>
          </w:tcPr>
          <w:p>
            <w:r>
              <w:t>220,000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Extindere echipă</w:t>
            </w:r>
          </w:p>
        </w:tc>
      </w:tr>
      <w:tr>
        <w:tc>
          <w:tcPr>
            <w:tcW w:type="dxa" w:w="1728"/>
          </w:tcPr>
          <w:p>
            <w:r>
              <w:t>An 5</w:t>
            </w:r>
          </w:p>
        </w:tc>
        <w:tc>
          <w:tcPr>
            <w:tcW w:type="dxa" w:w="1728"/>
          </w:tcPr>
          <w:p>
            <w:r>
              <w:t>300,000</w:t>
            </w:r>
          </w:p>
        </w:tc>
        <w:tc>
          <w:tcPr>
            <w:tcW w:type="dxa" w:w="1728"/>
          </w:tcPr>
          <w:p>
            <w:r>
              <w:t>160,000</w:t>
            </w:r>
          </w:p>
        </w:tc>
        <w:tc>
          <w:tcPr>
            <w:tcW w:type="dxa" w:w="1728"/>
          </w:tcPr>
          <w:p>
            <w:r>
              <w:t>140,000</w:t>
            </w:r>
          </w:p>
        </w:tc>
        <w:tc>
          <w:tcPr>
            <w:tcW w:type="dxa" w:w="1728"/>
          </w:tcPr>
          <w:p>
            <w:r>
              <w:t>Consolidare brand</w:t>
            </w:r>
          </w:p>
        </w:tc>
      </w:tr>
    </w:tbl>
    <w:p>
      <w:pPr>
        <w:pStyle w:val="Heading1"/>
      </w:pPr>
      <w:r>
        <w:t>3. Structura cheltuielilor</w:t>
      </w:r>
    </w:p>
    <w:p>
      <w:r>
        <w:t>- Salarii și colaboratori</w:t>
        <w:br/>
        <w:t>- Software și licențe BIM/CAD</w:t>
        <w:br/>
        <w:t>- Marketing și promovare</w:t>
        <w:br/>
        <w:t>- Spațiu de birou și utilități</w:t>
        <w:br/>
        <w:t>- Echipamente IT și mentenanță</w:t>
      </w:r>
    </w:p>
    <w:p>
      <w:pPr>
        <w:pStyle w:val="Heading1"/>
      </w:pPr>
      <w:r>
        <w:t>4. Surse de venit</w:t>
      </w:r>
    </w:p>
    <w:p>
      <w:r>
        <w:t>- Proiecte rezidențiale</w:t>
        <w:br/>
        <w:t>- Proiecte comerciale</w:t>
        <w:br/>
        <w:t>- Urbanism și PUZ/PUD</w:t>
        <w:br/>
        <w:t>- Consultanță și design interior</w:t>
      </w:r>
    </w:p>
    <w:p>
      <w:pPr>
        <w:pStyle w:val="Heading1"/>
      </w:pPr>
      <w:r>
        <w:t>5. Concluzie</w:t>
      </w:r>
    </w:p>
    <w:p>
      <w:r>
        <w:t>Firma are potențial de creștere sustenabilă pe 5 ani, cu reinvestirea profitului și extinderea portofoliului de clienți și servicii.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