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A3A5C"/>
          <w:sz w:val="56"/>
          <w:szCs w:val="56"/>
        </w:rPr>
        <w:t xml:space="preserve">THREAT HYPOTHESIS</w:t>
      </w:r>
    </w:p>
    <w:p>
      <w:pPr>
        <w:spacing w:after="400" w:before="0"/>
        <w:jc w:val="center"/>
      </w:pPr>
      <w:r>
        <w:rPr>
          <w:rFonts w:ascii="Arial" w:cs="Arial" w:eastAsia="Arial" w:hAnsi="Arial"/>
          <w:b/>
          <w:bCs/>
          <w:color w:val="2E6DA4"/>
          <w:sz w:val="56"/>
          <w:szCs w:val="56"/>
        </w:rPr>
        <w:t xml:space="preserve">MANAGEMENT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Full System Build Plan</w:t>
            </w:r>
          </w:p>
          <w:p>
            <w:pPr>
              <w:jc w:val="center"/>
            </w:pPr>
            <w:r>
              <w:rPr>
                <w:rFonts w:ascii="Arial" w:cs="Arial" w:eastAsia="Arial" w:hAnsi="Arial"/>
                <w:color w:val="D5E8F0"/>
                <w:sz w:val="24"/>
                <w:szCs w:val="24"/>
              </w:rPr>
              <w:t xml:space="preserve">Open Source · Self-Hosted · Enterprise-Ready</w:t>
            </w:r>
          </w:p>
        </w:tc>
      </w:tr>
    </w:tbl>
    <w:p>
      <w:pPr>
        <w:spacing w:after="80" w:before="80"/>
      </w:pPr>
      <w:r>
        <w:t xml:space="preserve"/>
      </w:r>
    </w:p>
    <w:p>
      <w:pPr>
        <w:spacing w:after="80" w:before="80"/>
      </w:pPr>
      <w:r>
        <w:t xml:space="preserve"/>
      </w:r>
    </w:p>
    <w:p>
      <w:pPr>
        <w:spacing w:after="80" w:before="0"/>
        <w:jc w:val="center"/>
      </w:pPr>
      <w:r>
        <w:rPr>
          <w:rFonts w:ascii="Arial" w:cs="Arial" w:eastAsia="Arial" w:hAnsi="Arial"/>
          <w:color w:val="888888"/>
          <w:sz w:val="22"/>
          <w:szCs w:val="22"/>
        </w:rPr>
        <w:t xml:space="preserve">Version 1.0  ·  April 2026</w:t>
      </w:r>
    </w:p>
    <w:p>
      <w:pPr>
        <w:spacing w:after="80" w:before="0"/>
        <w:jc w:val="center"/>
      </w:pPr>
      <w:r>
        <w:rPr>
          <w:rFonts w:ascii="Arial" w:cs="Arial" w:eastAsia="Arial" w:hAnsi="Arial"/>
          <w:color w:val="888888"/>
          <w:sz w:val="22"/>
          <w:szCs w:val="22"/>
        </w:rPr>
        <w:t xml:space="preserve">Apache 2.0 License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6DA4" w:sz="6" w:space="4"/>
        </w:pBdr>
        <w:spacing w:after="200" w:before="400"/>
      </w:pPr>
      <w:r>
        <w:rPr>
          <w:rFonts w:ascii="Arial" w:cs="Arial" w:eastAsia="Arial" w:hAnsi="Arial"/>
          <w:b/>
          <w:bCs/>
          <w:color w:val="1A3A5C"/>
          <w:sz w:val="32"/>
          <w:szCs w:val="32"/>
        </w:rPr>
        <w:t xml:space="preserve">1. Executive Summary</w:t>
      </w:r>
    </w:p>
    <w:p>
      <w:pPr>
        <w:spacing w:after="120" w:before="80" w:line="276"/>
      </w:pPr>
      <w:r>
        <w:rPr>
          <w:rFonts w:ascii="Arial" w:cs="Arial" w:eastAsia="Arial" w:hAnsi="Arial"/>
          <w:color w:val="1A1A1A"/>
          <w:sz w:val="22"/>
          <w:szCs w:val="22"/>
        </w:rPr>
        <w:t xml:space="preserve">The Threat Hypothesis Management Platform (THMP) is a fully open-source, self-hostable web application designed to give Security Operations Centre (SOC) analysts and Threat Intelligence teams a structured, end-to-end environment for managing the complete lifecycle of threat hypotheses — from initial intel ingestion through collaborative hunting, evidence gathering, MITRE ATT&amp;CK mapping, and final reporting.</w:t>
      </w:r>
    </w:p>
    <w:p>
      <w:pPr>
        <w:spacing w:after="80" w:before="80"/>
      </w:pPr>
      <w:r>
        <w:t xml:space="preserve"/>
      </w:r>
    </w:p>
    <w:p>
      <w:pPr>
        <w:spacing w:after="120" w:before="80" w:line="276"/>
      </w:pPr>
      <w:r>
        <w:rPr>
          <w:rFonts w:ascii="Arial" w:cs="Arial" w:eastAsia="Arial" w:hAnsi="Arial"/>
          <w:color w:val="1A1A1A"/>
          <w:sz w:val="22"/>
          <w:szCs w:val="22"/>
        </w:rPr>
        <w:t xml:space="preserve">The platform is architected as a modular, containerised stack that enterprises can deploy on-premises, on Kubernetes, or across any major cloud provider. It is designed to be immediately useful as a standalone tool and deeply integrable with the security tooling enterprises already use — SIEM platforms, threat intelligence feeds, vulnerability scanners, SOAR orchestration, and the Elastic Supply Chain Monitor.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1A3A5C"/>
                <w:sz w:val="22"/>
                <w:szCs w:val="22"/>
              </w:rPr>
              <w:t xml:space="preserve">Design Philosophy</w:t>
            </w:r>
          </w:p>
          <w:p>
            <w:pPr>
              <w:spacing w:after="0" w:before="0"/>
            </w:pPr>
            <w:r>
              <w:rPr>
                <w:rFonts w:ascii="Arial" w:cs="Arial" w:eastAsia="Arial" w:hAnsi="Arial"/>
                <w:color w:val="3D3D3A"/>
                <w:sz w:val="20"/>
                <w:szCs w:val="20"/>
              </w:rPr>
              <w:t xml:space="preserve">THMP follows the same composable, operator-friendly model as the ELK stack. Each service is independently deployable and replaceable. A Docker Compose manifest enables single-command startup for small teams; a production Helm chart supports highly available enterprise deployments. Operators own their data entirely.</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Primary Users</w:t>
      </w:r>
    </w:p>
    <w:p>
      <w:pPr>
        <w:pStyle w:val="ListParagraph"/>
        <w:numPr>
          <w:ilvl w:val="0"/>
          <w:numId w:val="2"/>
        </w:numPr>
        <w:spacing w:after="60" w:before="60" w:line="260"/>
      </w:pPr>
      <w:r>
        <w:rPr>
          <w:rFonts w:ascii="Arial" w:cs="Arial" w:eastAsia="Arial" w:hAnsi="Arial"/>
          <w:color w:val="1A1A1A"/>
          <w:sz w:val="22"/>
          <w:szCs w:val="22"/>
        </w:rPr>
        <w:t xml:space="preserve">SOC Analysts — manage active hypotheses, contribute evidence, run hunts, and track resolution</w:t>
      </w:r>
    </w:p>
    <w:p>
      <w:pPr>
        <w:pStyle w:val="ListParagraph"/>
        <w:numPr>
          <w:ilvl w:val="0"/>
          <w:numId w:val="2"/>
        </w:numPr>
        <w:spacing w:after="60" w:before="60" w:line="260"/>
      </w:pPr>
      <w:r>
        <w:rPr>
          <w:rFonts w:ascii="Arial" w:cs="Arial" w:eastAsia="Arial" w:hAnsi="Arial"/>
          <w:color w:val="1A1A1A"/>
          <w:sz w:val="22"/>
          <w:szCs w:val="22"/>
        </w:rPr>
        <w:t xml:space="preserve">Threat Intelligence Teams — ingest structured intel, map to ATT&amp;CK, generate and score hypotheses from feeds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Core Capabilities</w:t>
      </w:r>
    </w:p>
    <w:p>
      <w:pPr>
        <w:pStyle w:val="ListParagraph"/>
        <w:numPr>
          <w:ilvl w:val="0"/>
          <w:numId w:val="2"/>
        </w:numPr>
        <w:spacing w:after="60" w:before="60" w:line="260"/>
      </w:pPr>
      <w:r>
        <w:rPr>
          <w:rFonts w:ascii="Arial" w:cs="Arial" w:eastAsia="Arial" w:hAnsi="Arial"/>
          <w:color w:val="1A1A1A"/>
          <w:sz w:val="22"/>
          <w:szCs w:val="22"/>
        </w:rPr>
        <w:t xml:space="preserve">Full hypothesis lifecycle management: Draft → Active → In-Hunt → Validated → Closed</w:t>
      </w:r>
    </w:p>
    <w:p>
      <w:pPr>
        <w:pStyle w:val="ListParagraph"/>
        <w:numPr>
          <w:ilvl w:val="0"/>
          <w:numId w:val="2"/>
        </w:numPr>
        <w:spacing w:after="60" w:before="60" w:line="260"/>
      </w:pPr>
      <w:r>
        <w:rPr>
          <w:rFonts w:ascii="Arial" w:cs="Arial" w:eastAsia="Arial" w:hAnsi="Arial"/>
          <w:color w:val="1A1A1A"/>
          <w:sz w:val="22"/>
          <w:szCs w:val="22"/>
        </w:rPr>
        <w:t xml:space="preserve">MITRE ATT&amp;CK framework mapping with navigator-style coverage heatmap</w:t>
      </w:r>
    </w:p>
    <w:p>
      <w:pPr>
        <w:pStyle w:val="ListParagraph"/>
        <w:numPr>
          <w:ilvl w:val="0"/>
          <w:numId w:val="2"/>
        </w:numPr>
        <w:spacing w:after="60" w:before="60" w:line="260"/>
      </w:pPr>
      <w:r>
        <w:rPr>
          <w:rFonts w:ascii="Arial" w:cs="Arial" w:eastAsia="Arial" w:hAnsi="Arial"/>
          <w:color w:val="1A1A1A"/>
          <w:sz w:val="22"/>
          <w:szCs w:val="22"/>
        </w:rPr>
        <w:t xml:space="preserve">Elastic Supply Chain Monitor integration for automated hypothesis generation from SCM findings</w:t>
      </w:r>
    </w:p>
    <w:p>
      <w:pPr>
        <w:pStyle w:val="ListParagraph"/>
        <w:numPr>
          <w:ilvl w:val="0"/>
          <w:numId w:val="2"/>
        </w:numPr>
        <w:spacing w:after="60" w:before="60" w:line="260"/>
      </w:pPr>
      <w:r>
        <w:rPr>
          <w:rFonts w:ascii="Arial" w:cs="Arial" w:eastAsia="Arial" w:hAnsi="Arial"/>
          <w:color w:val="1A1A1A"/>
          <w:sz w:val="22"/>
          <w:szCs w:val="22"/>
        </w:rPr>
        <w:t xml:space="preserve">STIX/TAXII ingestion, SIEM connectors, TI platform bridges, and vulnerability scanner feeds</w:t>
      </w:r>
    </w:p>
    <w:p>
      <w:pPr>
        <w:pStyle w:val="ListParagraph"/>
        <w:numPr>
          <w:ilvl w:val="0"/>
          <w:numId w:val="2"/>
        </w:numPr>
        <w:spacing w:after="60" w:before="60" w:line="260"/>
      </w:pPr>
      <w:r>
        <w:rPr>
          <w:rFonts w:ascii="Arial" w:cs="Arial" w:eastAsia="Arial" w:hAnsi="Arial"/>
          <w:color w:val="1A1A1A"/>
          <w:sz w:val="22"/>
          <w:szCs w:val="22"/>
        </w:rPr>
        <w:t xml:space="preserve">Evidence store with immutable artefact versioning</w:t>
      </w:r>
    </w:p>
    <w:p>
      <w:pPr>
        <w:pStyle w:val="ListParagraph"/>
        <w:numPr>
          <w:ilvl w:val="0"/>
          <w:numId w:val="2"/>
        </w:numPr>
        <w:spacing w:after="60" w:before="60" w:line="260"/>
      </w:pPr>
      <w:r>
        <w:rPr>
          <w:rFonts w:ascii="Arial" w:cs="Arial" w:eastAsia="Arial" w:hAnsi="Arial"/>
          <w:color w:val="1A1A1A"/>
          <w:sz w:val="22"/>
          <w:szCs w:val="22"/>
        </w:rPr>
        <w:t xml:space="preserve">Configurable risk and confidence scoring</w:t>
      </w:r>
    </w:p>
    <w:p>
      <w:pPr>
        <w:pStyle w:val="ListParagraph"/>
        <w:numPr>
          <w:ilvl w:val="0"/>
          <w:numId w:val="2"/>
        </w:numPr>
        <w:spacing w:after="60" w:before="60" w:line="260"/>
      </w:pPr>
      <w:r>
        <w:rPr>
          <w:rFonts w:ascii="Arial" w:cs="Arial" w:eastAsia="Arial" w:hAnsi="Arial"/>
          <w:color w:val="1A1A1A"/>
          <w:sz w:val="22"/>
          <w:szCs w:val="22"/>
        </w:rPr>
        <w:t xml:space="preserve">RBAC, SSO (SAML 2.0 / OIDC), and full audit logging</w:t>
      </w:r>
    </w:p>
    <w:p>
      <w:pPr>
        <w:pStyle w:val="ListParagraph"/>
        <w:numPr>
          <w:ilvl w:val="0"/>
          <w:numId w:val="2"/>
        </w:numPr>
        <w:spacing w:after="60" w:before="60" w:line="260"/>
      </w:pPr>
      <w:r>
        <w:rPr>
          <w:rFonts w:ascii="Arial" w:cs="Arial" w:eastAsia="Arial" w:hAnsi="Arial"/>
          <w:color w:val="1A1A1A"/>
          <w:sz w:val="22"/>
          <w:szCs w:val="22"/>
        </w:rPr>
        <w:t xml:space="preserve">STIX 2.1 export, PDF reporting, and REST API</w:t>
      </w:r>
    </w:p>
    <w:p>
      <w:pPr>
        <w:pStyle w:val="ListParagraph"/>
        <w:numPr>
          <w:ilvl w:val="0"/>
          <w:numId w:val="2"/>
        </w:numPr>
        <w:spacing w:after="60" w:before="60" w:line="260"/>
      </w:pPr>
      <w:r>
        <w:rPr>
          <w:rFonts w:ascii="Arial" w:cs="Arial" w:eastAsia="Arial" w:hAnsi="Arial"/>
          <w:color w:val="1A1A1A"/>
          <w:sz w:val="22"/>
          <w:szCs w:val="22"/>
        </w:rPr>
        <w:t xml:space="preserve">Pluggable connector architecture for third-party integrations</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2. System Architecture</w:t>
      </w:r>
    </w:p>
    <w:p>
      <w:pPr>
        <w:spacing w:after="120" w:before="80" w:line="276"/>
      </w:pPr>
      <w:r>
        <w:rPr>
          <w:rFonts w:ascii="Arial" w:cs="Arial" w:eastAsia="Arial" w:hAnsi="Arial"/>
          <w:color w:val="1A1A1A"/>
          <w:sz w:val="22"/>
          <w:szCs w:val="22"/>
        </w:rPr>
        <w:t xml:space="preserve">THMP uses a service-oriented architecture with clearly defined boundaries between ingestion, processing, storage, and presentation layers. All inter-service communication uses a REST/JSON contract with optional async messaging via Redis Streams for high-throughput ingestion scenarios.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2.1 Architectural Layers</w:t>
      </w:r>
    </w:p>
    <w:p>
      <w:pPr>
        <w:pStyle w:val="Heading3"/>
        <w:spacing w:after="120" w:before="240"/>
      </w:pPr>
      <w:r>
        <w:rPr>
          <w:rFonts w:ascii="Arial" w:cs="Arial" w:eastAsia="Arial" w:hAnsi="Arial"/>
          <w:b/>
          <w:bCs/>
          <w:color w:val="444444"/>
          <w:sz w:val="22"/>
          <w:szCs w:val="22"/>
        </w:rPr>
        <w:t xml:space="preserve">Ingestion Layer</w:t>
      </w:r>
    </w:p>
    <w:p>
      <w:pPr>
        <w:spacing w:after="120" w:before="80" w:line="276"/>
      </w:pPr>
      <w:r>
        <w:rPr>
          <w:rFonts w:ascii="Arial" w:cs="Arial" w:eastAsia="Arial" w:hAnsi="Arial"/>
          <w:color w:val="1A1A1A"/>
          <w:sz w:val="22"/>
          <w:szCs w:val="22"/>
        </w:rPr>
        <w:t xml:space="preserve">Handles all inbound data from external systems. Each integration runs as a lightweight adapter service that normalises external formats into THMP's internal data model and publishes events to the message bus. Adapters are stateless and independently scalable.</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Core Platform Services</w:t>
      </w:r>
    </w:p>
    <w:p>
      <w:pPr>
        <w:spacing w:after="120" w:before="80" w:line="276"/>
      </w:pPr>
      <w:r>
        <w:rPr>
          <w:rFonts w:ascii="Arial" w:cs="Arial" w:eastAsia="Arial" w:hAnsi="Arial"/>
          <w:color w:val="1A1A1A"/>
          <w:sz w:val="22"/>
          <w:szCs w:val="22"/>
        </w:rPr>
        <w:t xml:space="preserve">Five domain services form the heart of the platform. Each owns its data model and exposes a versioned REST API. Services communicate exclusively through published interfaces — no direct database sharing.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Data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Hypothesis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CRUD, status transitions, scoring, ownership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Hunt Service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Hunt campaigns, task assignment, timeline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Evidence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Artefact upload, IOC extraction, versioning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 S3/MinIO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ATT&amp;CK Service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Technique sync, mapping, coverage calculation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PostgreSQL + Redis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Reporting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generation, STIX export, dashboards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(read replica)</w:t>
            </w:r>
          </w:p>
        </w:tc>
      </w:tr>
    </w:tbl>
    <w:p>
      <w:pPr>
        <w:spacing w:after="80" w:before="80"/>
      </w:pPr>
      <w:r>
        <w:t xml:space="preserve"/>
      </w:r>
    </w:p>
    <w:p>
      <w:pPr>
        <w:pStyle w:val="Heading3"/>
        <w:spacing w:after="120" w:before="240"/>
      </w:pPr>
      <w:r>
        <w:rPr>
          <w:rFonts w:ascii="Arial" w:cs="Arial" w:eastAsia="Arial" w:hAnsi="Arial"/>
          <w:b/>
          <w:bCs/>
          <w:color w:val="444444"/>
          <w:sz w:val="22"/>
          <w:szCs w:val="22"/>
        </w:rPr>
        <w:t xml:space="preserve">API Gateway</w:t>
      </w:r>
    </w:p>
    <w:p>
      <w:pPr>
        <w:spacing w:after="120" w:before="80" w:line="276"/>
      </w:pPr>
      <w:r>
        <w:rPr>
          <w:rFonts w:ascii="Arial" w:cs="Arial" w:eastAsia="Arial" w:hAnsi="Arial"/>
          <w:color w:val="1A1A1A"/>
          <w:sz w:val="22"/>
          <w:szCs w:val="22"/>
        </w:rPr>
        <w:t xml:space="preserve">A single ingress point for all client traffic. Handles authentication token validation, RBAC enforcement, rate limiting, and request routing. Exposes a unified REST API and a GraphQL endpoint for flexible querying. All requests and responses are logged to the audit service.</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Storage Layer</w:t>
      </w:r>
    </w:p>
    <w:p>
      <w:pPr>
        <w:spacing w:after="120" w:before="80" w:line="276"/>
      </w:pPr>
      <w:r>
        <w:rPr>
          <w:rFonts w:ascii="Arial" w:cs="Arial" w:eastAsia="Arial" w:hAnsi="Arial"/>
          <w:color w:val="1A1A1A"/>
          <w:sz w:val="22"/>
          <w:szCs w:val="22"/>
        </w:rPr>
        <w:t xml:space="preserve">PostgreSQL is the primary data store for all structured data. Elasticsearch provides full-text search across hypotheses, evidence, and finding content. Redis serves as the cache layer and message bus. S3-compatible object storage (MinIO for self-hosted, native S3/Azure Blob/GCS for cloud deployments) holds binary artefacts. The storage layer is fully pluggable — operators can substitute components as long as the interface contract is satisfied.</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Frontend</w:t>
      </w:r>
    </w:p>
    <w:p>
      <w:pPr>
        <w:spacing w:after="120" w:before="80" w:line="276"/>
      </w:pPr>
      <w:r>
        <w:rPr>
          <w:rFonts w:ascii="Arial" w:cs="Arial" w:eastAsia="Arial" w:hAnsi="Arial"/>
          <w:color w:val="1A1A1A"/>
          <w:sz w:val="22"/>
          <w:szCs w:val="22"/>
        </w:rPr>
        <w:t xml:space="preserve">A single-page React application. The application is split into three main workspaces: the Analyst Workspace for hypothesis and hunt management, the ATT&amp;CK Navigator for coverage visualisation, and the Administration Console for user, integration, and system configuration. The frontend communicates exclusively with the API gateway.</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2.2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Compose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services in a single compose manifest, single host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 teams, evaluation, labs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Kubernetes / Helm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Helm chart with configurable replicas, HA PostgreSQL, Redis cluster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ECS Fargate, RDS Aurora, ElastiCache, S3, OpenSearch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Cloud-native AWS enterprises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Azure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AKS, Azure PostgreSQL, Azure Cache for Redis, Blob Storage, Azure OpenSearch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Cloud-native Azure enterprises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GKE, Cloud SQL, Memorystore, GCS, Elastic Cloud on GCP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Cloud-native GCP enterprises</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3.12, 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community standard; excellent async support; contributor-friendly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 queue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Celery + Redis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Reliable async job processing for ingestion pipelines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ACID guarantees; strong JSON support; excellent ecosystem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Search &amp; analytics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Elasticsearch 8 / OpenSearch 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Operator choice; natural fit with Elastic SCM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&amp; messaging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7 Streams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Low-latency cache; lightweight event bus for inter-service events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 storage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MinIO (self-hosted) / S3 API-compatible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Operator-owned artefact storage; zero egress lock-in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18, TypeScript, Vite, Tailwind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Broad contributor pool; strong typing; fast build toolchain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Kong (OSS) or Traefik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Operator choice; both have mature Helm charts and plugin ecosystems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containerd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Universal; Compose for dev, Kubernetes for production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Native to the repository; free for open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Terraform modules (AWS, Azure, GCP)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Reusable, auditable cloud deployments</w:t>
            </w:r>
          </w:p>
        </w:tc>
      </w:tr>
    </w:tbl>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3. Core Data Model</w:t>
      </w:r>
    </w:p>
    <w:p>
      <w:pPr>
        <w:spacing w:after="120" w:before="80" w:line="276"/>
      </w:pPr>
      <w:r>
        <w:rPr>
          <w:rFonts w:ascii="Arial" w:cs="Arial" w:eastAsia="Arial" w:hAnsi="Arial"/>
          <w:color w:val="1A1A1A"/>
          <w:sz w:val="22"/>
          <w:szCs w:val="22"/>
        </w:rPr>
        <w:t xml:space="preserve">The data model is the most important design decision in the platform. All integrations, workflows, and views are derived from it. The model must be defined and stabilised in Phase 1 before any other component is built.</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3.1 Hypothesis</w:t>
      </w:r>
    </w:p>
    <w:p>
      <w:pPr>
        <w:spacing w:after="120" w:before="80" w:line="276"/>
      </w:pPr>
      <w:r>
        <w:rPr>
          <w:rFonts w:ascii="Arial" w:cs="Arial" w:eastAsia="Arial" w:hAnsi="Arial"/>
          <w:color w:val="1A1A1A"/>
          <w:sz w:val="22"/>
          <w:szCs w:val="22"/>
        </w:rPr>
        <w:t xml:space="preserve">The central entity. Every other entity in the platform is related to a Hypothesis.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 (256)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Short descriptive title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narrative 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draft | active | in_hunt | validated | closed | archived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confidence_score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 (0–1)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 composite confidence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severity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informational | low | medium | high | 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(FK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Currently responsible analyst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workspace_id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 (FK Workspace)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Multi-tenancy boundary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 intel_feed | scm | siem | vuln_scanner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source_ref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Reference to originating external alert/finding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attack_technique_ids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 MITRE ATT&amp;CK technique IDs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tags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Free-form categorisation tags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due_date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target resolution date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created_by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 (FK User)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Creation 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Last modification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until terminal status reached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metadata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Extensible connector-specific metadata</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3.2 Hunt</w:t>
      </w:r>
    </w:p>
    <w:p>
      <w:pPr>
        <w:spacing w:after="120" w:before="80" w:line="276"/>
      </w:pPr>
      <w:r>
        <w:rPr>
          <w:rFonts w:ascii="Arial" w:cs="Arial" w:eastAsia="Arial" w:hAnsi="Arial"/>
          <w:color w:val="1A1A1A"/>
          <w:sz w:val="22"/>
          <w:szCs w:val="22"/>
        </w:rPr>
        <w:t xml:space="preserve">A Hunt groups one or more Hypotheses into an investigation campaign with explicit scope, timeline, and assigned analysts.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Hunt campaign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Scope and objectives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planned | active | completed | cancelled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(FK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Hunt lead analyst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assigned_analyst_ids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analysts on this hunt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hypothesis_ids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Hypotheses being investigated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start_date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Planned or actual start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 or actual end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workspace_id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Multi-tenancy boundary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 / 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timestamps</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3.3 Evidence</w:t>
      </w:r>
    </w:p>
    <w:p>
      <w:pPr>
        <w:spacing w:after="120" w:before="80" w:line="276"/>
      </w:pPr>
      <w:r>
        <w:rPr>
          <w:rFonts w:ascii="Arial" w:cs="Arial" w:eastAsia="Arial" w:hAnsi="Arial"/>
          <w:color w:val="1A1A1A"/>
          <w:sz w:val="22"/>
          <w:szCs w:val="22"/>
        </w:rPr>
        <w:t xml:space="preserve">An Evidence item is any artefact, observation, or data point that supports or refutes a Hypothesis. Evidence is immutable once committed — new versions create new records.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hypothesis_id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 (FK)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Parent hypothesis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 ioc | log_snippet | siem_query | screenshot | network_capture | note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Short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Inline content (for ioc, log_snippet, note types)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storage_key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S3 object key (for file 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mime_type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MIME type of stored file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iocs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Extracted IOCs (ip, domain, hash, url,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supports_hypothesis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Does this evidence support or refute?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weight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Float (0–1)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Analyst-assigned evidential weight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 counter (immutable; new content = new record)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submitted_by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 (FK User)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Submitter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Submission timestamp</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3.4 Finding</w:t>
      </w:r>
    </w:p>
    <w:p>
      <w:pPr>
        <w:spacing w:after="120" w:before="80" w:line="276"/>
      </w:pPr>
      <w:r>
        <w:rPr>
          <w:rFonts w:ascii="Arial" w:cs="Arial" w:eastAsia="Arial" w:hAnsi="Arial"/>
          <w:color w:val="1A1A1A"/>
          <w:sz w:val="22"/>
          <w:szCs w:val="22"/>
        </w:rPr>
        <w:t xml:space="preserve">A Finding is the formal outcome of a completed Hunt. It records what was confirmed, what was ruled out, and any recommended actions. Findings are the primary export artefact.</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3.5 ATT&amp;CK Technique</w:t>
      </w:r>
    </w:p>
    <w:p>
      <w:pPr>
        <w:spacing w:after="120" w:before="80" w:line="276"/>
      </w:pPr>
      <w:r>
        <w:rPr>
          <w:rFonts w:ascii="Arial" w:cs="Arial" w:eastAsia="Arial" w:hAnsi="Arial"/>
          <w:color w:val="1A1A1A"/>
          <w:sz w:val="22"/>
          <w:szCs w:val="22"/>
        </w:rPr>
        <w:t xml:space="preserve">A local copy of the MITRE ATT&amp;CK technique catalogue, synced from the official STIX bundle on a configurable schedule. Hypotheses hold a many-to-many relationship with Techniques.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3.6 Audit Log</w:t>
      </w:r>
    </w:p>
    <w:p>
      <w:pPr>
        <w:spacing w:after="120" w:before="80" w:line="276"/>
      </w:pPr>
      <w:r>
        <w:rPr>
          <w:rFonts w:ascii="Arial" w:cs="Arial" w:eastAsia="Arial" w:hAnsi="Arial"/>
          <w:color w:val="1A1A1A"/>
          <w:sz w:val="22"/>
          <w:szCs w:val="22"/>
        </w:rPr>
        <w:t xml:space="preserve">An immutable append-only ledger recording every state-changing operation: who performed it, when, what entity was affected, and a JSON diff of the before/after state. Written asynchronously to a separate audit database to prevent modification by application-layer code.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3.7 Supporting Entities</w:t>
      </w:r>
    </w:p>
    <w:p>
      <w:pPr>
        <w:pStyle w:val="ListParagraph"/>
        <w:numPr>
          <w:ilvl w:val="0"/>
          <w:numId w:val="2"/>
        </w:numPr>
        <w:spacing w:after="60" w:before="60" w:line="260"/>
      </w:pPr>
      <w:r>
        <w:rPr>
          <w:rFonts w:ascii="Arial" w:cs="Arial" w:eastAsia="Arial" w:hAnsi="Arial"/>
          <w:color w:val="1A1A1A"/>
          <w:sz w:val="22"/>
          <w:szCs w:val="22"/>
        </w:rPr>
        <w:t xml:space="preserve">User — identity record with role assignments and workspace memberships</w:t>
      </w:r>
    </w:p>
    <w:p>
      <w:pPr>
        <w:pStyle w:val="ListParagraph"/>
        <w:numPr>
          <w:ilvl w:val="0"/>
          <w:numId w:val="2"/>
        </w:numPr>
        <w:spacing w:after="60" w:before="60" w:line="260"/>
      </w:pPr>
      <w:r>
        <w:rPr>
          <w:rFonts w:ascii="Arial" w:cs="Arial" w:eastAsia="Arial" w:hAnsi="Arial"/>
          <w:color w:val="1A1A1A"/>
          <w:sz w:val="22"/>
          <w:szCs w:val="22"/>
        </w:rPr>
        <w:t xml:space="preserve">Workspace — multi-tenancy boundary; a team or business unit owns a workspace</w:t>
      </w:r>
    </w:p>
    <w:p>
      <w:pPr>
        <w:pStyle w:val="ListParagraph"/>
        <w:numPr>
          <w:ilvl w:val="0"/>
          <w:numId w:val="2"/>
        </w:numPr>
        <w:spacing w:after="60" w:before="60" w:line="260"/>
      </w:pPr>
      <w:r>
        <w:rPr>
          <w:rFonts w:ascii="Arial" w:cs="Arial" w:eastAsia="Arial" w:hAnsi="Arial"/>
          <w:color w:val="1A1A1A"/>
          <w:sz w:val="22"/>
          <w:szCs w:val="22"/>
        </w:rPr>
        <w:t xml:space="preserve">Role — named permission set (Analyst, Hunt Lead, TI Analyst, Manager, Admin)</w:t>
      </w:r>
    </w:p>
    <w:p>
      <w:pPr>
        <w:pStyle w:val="ListParagraph"/>
        <w:numPr>
          <w:ilvl w:val="0"/>
          <w:numId w:val="2"/>
        </w:numPr>
        <w:spacing w:after="60" w:before="60" w:line="260"/>
      </w:pPr>
      <w:r>
        <w:rPr>
          <w:rFonts w:ascii="Arial" w:cs="Arial" w:eastAsia="Arial" w:hAnsi="Arial"/>
          <w:color w:val="1A1A1A"/>
          <w:sz w:val="22"/>
          <w:szCs w:val="22"/>
        </w:rPr>
        <w:t xml:space="preserve">Integration Config — per-workspace connector configuration with encrypted credential storage</w:t>
      </w:r>
    </w:p>
    <w:p>
      <w:pPr>
        <w:pStyle w:val="ListParagraph"/>
        <w:numPr>
          <w:ilvl w:val="0"/>
          <w:numId w:val="2"/>
        </w:numPr>
        <w:spacing w:after="60" w:before="60" w:line="260"/>
      </w:pPr>
      <w:r>
        <w:rPr>
          <w:rFonts w:ascii="Arial" w:cs="Arial" w:eastAsia="Arial" w:hAnsi="Arial"/>
          <w:color w:val="1A1A1A"/>
          <w:sz w:val="22"/>
          <w:szCs w:val="22"/>
        </w:rPr>
        <w:t xml:space="preserve">Notification Rule — per-workspace rules mapping events to notification destinations</w:t>
      </w:r>
    </w:p>
    <w:p>
      <w:pPr>
        <w:pStyle w:val="ListParagraph"/>
        <w:numPr>
          <w:ilvl w:val="0"/>
          <w:numId w:val="2"/>
        </w:numPr>
        <w:spacing w:after="60" w:before="60" w:line="260"/>
      </w:pPr>
      <w:r>
        <w:rPr>
          <w:rFonts w:ascii="Arial" w:cs="Arial" w:eastAsia="Arial" w:hAnsi="Arial"/>
          <w:color w:val="1A1A1A"/>
          <w:sz w:val="22"/>
          <w:szCs w:val="22"/>
        </w:rPr>
        <w:t xml:space="preserve">Report Template — custom PDF/export templates</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4. MITRE ATT&amp;CK Integration</w:t>
      </w:r>
    </w:p>
    <w:p>
      <w:pPr>
        <w:spacing w:after="120" w:before="80" w:line="276"/>
      </w:pPr>
      <w:r>
        <w:rPr>
          <w:rFonts w:ascii="Arial" w:cs="Arial" w:eastAsia="Arial" w:hAnsi="Arial"/>
          <w:color w:val="1A1A1A"/>
          <w:sz w:val="22"/>
          <w:szCs w:val="22"/>
        </w:rPr>
        <w:t xml:space="preserve">MITRE ATT&amp;CK integration is a first-class feature, not an afterthought. The platform maintains a live, searchable copy of the full ATT&amp;CK knowledge base and uses it throughout the hypothesis and reporting workflows.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4.1 ATT&amp;CK Data Sync</w:t>
      </w:r>
    </w:p>
    <w:p>
      <w:pPr>
        <w:spacing w:after="120" w:before="80" w:line="276"/>
      </w:pPr>
      <w:r>
        <w:rPr>
          <w:rFonts w:ascii="Arial" w:cs="Arial" w:eastAsia="Arial" w:hAnsi="Arial"/>
          <w:color w:val="1A1A1A"/>
          <w:sz w:val="22"/>
          <w:szCs w:val="22"/>
        </w:rPr>
        <w:t xml:space="preserve">At startup and on a configurable cron schedule (default: daily), the ATT&amp;CK Service pulls the latest STIX 2.1 bundle from MITRE's public repository (https://github.com/mitre/cti). The bundle is parsed and upserted into the local ATT&amp;CK table, preserving existing technique-to-hypothesis links. This means the platform stays current with ATT&amp;CK version releases without requiring a software update.</w:t>
      </w:r>
    </w:p>
    <w:p>
      <w:pPr>
        <w:spacing w:after="80" w:before="80"/>
      </w:pPr>
      <w:r>
        <w:t xml:space="preserve"/>
      </w:r>
    </w:p>
    <w:p>
      <w:pPr>
        <w:spacing w:after="120" w:before="80" w:line="276"/>
      </w:pPr>
      <w:r>
        <w:rPr>
          <w:rFonts w:ascii="Arial" w:cs="Arial" w:eastAsia="Arial" w:hAnsi="Arial"/>
          <w:color w:val="1A1A1A"/>
          <w:sz w:val="22"/>
          <w:szCs w:val="22"/>
        </w:rPr>
        <w:t xml:space="preserve">The ATT&amp;CK Service maintains the full hierarchy: Matrices &gt; Tactics &gt; Techniques &gt; Sub-techniques. It also stores technique descriptions, platform applicability, data source mappings, and the official STIX IDs, which are used as stable external references in STIX exports.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4.2 Technique Mapping Workflow</w:t>
      </w:r>
    </w:p>
    <w:p>
      <w:pPr>
        <w:spacing w:after="120" w:before="80" w:line="276"/>
      </w:pPr>
      <w:r>
        <w:rPr>
          <w:rFonts w:ascii="Arial" w:cs="Arial" w:eastAsia="Arial" w:hAnsi="Arial"/>
          <w:color w:val="1A1A1A"/>
          <w:sz w:val="22"/>
          <w:szCs w:val="22"/>
        </w:rPr>
        <w:t xml:space="preserve">Analysts can attach one or more ATT&amp;CK techniques to any Hypothesis at any point in its lifecycle. The UI presents a searchable, filterable technique picker with typeahead search across technique IDs, names, and descriptions. Techniques are grouped by tactic in the picker to assist with structured thinking.</w:t>
      </w:r>
    </w:p>
    <w:p>
      <w:pPr>
        <w:spacing w:after="80" w:before="80"/>
      </w:pPr>
      <w:r>
        <w:t xml:space="preserve"/>
      </w:r>
    </w:p>
    <w:p>
      <w:pPr>
        <w:spacing w:after="120" w:before="80" w:line="276"/>
      </w:pPr>
      <w:r>
        <w:rPr>
          <w:rFonts w:ascii="Arial" w:cs="Arial" w:eastAsia="Arial" w:hAnsi="Arial"/>
          <w:color w:val="1A1A1A"/>
          <w:sz w:val="22"/>
          <w:szCs w:val="22"/>
        </w:rPr>
        <w:t xml:space="preserve">Auto-suggestion is available when creating or editing a Hypothesis. A lightweight semantic similarity model (sentence-transformers, running locally as a sidecar service) compares the hypothesis description against ATT&amp;CK technique descriptions and returns a ranked list of suggested techniques. Analysts can accept, reject, or modify suggestions. Auto-suggestions are logged separately from manual assignments for traceability.</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4.3 Navigator Coverage View</w:t>
      </w:r>
    </w:p>
    <w:p>
      <w:pPr>
        <w:spacing w:after="120" w:before="80" w:line="276"/>
      </w:pPr>
      <w:r>
        <w:rPr>
          <w:rFonts w:ascii="Arial" w:cs="Arial" w:eastAsia="Arial" w:hAnsi="Arial"/>
          <w:color w:val="1A1A1A"/>
          <w:sz w:val="22"/>
          <w:szCs w:val="22"/>
        </w:rPr>
        <w:t xml:space="preserve">A dedicated ATT&amp;CK Navigator view renders the full ATT&amp;CK matrix as a heatmap. Cell colour intensity is driven by the number of active hypotheses mapped to each technique. Analysts can filter the heatmap by status, severity, workspace, time range, and analyst. The view answers two critical questions at a glance: where are we hunting, and where are our gaps.</w:t>
      </w:r>
    </w:p>
    <w:p>
      <w:pPr>
        <w:spacing w:after="80" w:before="80"/>
      </w:pPr>
      <w:r>
        <w:t xml:space="preserve"/>
      </w:r>
    </w:p>
    <w:p>
      <w:pPr>
        <w:spacing w:after="120" w:before="80" w:line="276"/>
      </w:pPr>
      <w:r>
        <w:rPr>
          <w:rFonts w:ascii="Arial" w:cs="Arial" w:eastAsia="Arial" w:hAnsi="Arial"/>
          <w:color w:val="1A1A1A"/>
          <w:sz w:val="22"/>
          <w:szCs w:val="22"/>
        </w:rPr>
        <w:t xml:space="preserve">The Navigator view supports export as a JSON layer file compatible with the official MITRE ATT&amp;CK Navigator tool, allowing teams to combine THMP coverage data with other Navigator layers they may already maintain.</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4.4 Coverage Reporting</w:t>
      </w:r>
    </w:p>
    <w:p>
      <w:pPr>
        <w:spacing w:after="120" w:before="80" w:line="276"/>
      </w:pPr>
      <w:r>
        <w:rPr>
          <w:rFonts w:ascii="Arial" w:cs="Arial" w:eastAsia="Arial" w:hAnsi="Arial"/>
          <w:color w:val="1A1A1A"/>
          <w:sz w:val="22"/>
          <w:szCs w:val="22"/>
        </w:rPr>
        <w:t xml:space="preserve">Coverage reports show ATT&amp;CK coverage broken down by tactic, by platform (Windows, macOS, Linux, Cloud, etc.), and over time. These reports are designed to be included in board-level security posture presentations and answer questions like: which tactics have zero hypothesis coverage, and how has coverage changed quarter over quarter.</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5. Integration Architecture</w:t>
      </w:r>
    </w:p>
    <w:p>
      <w:pPr>
        <w:spacing w:after="120" w:before="80" w:line="276"/>
      </w:pPr>
      <w:r>
        <w:rPr>
          <w:rFonts w:ascii="Arial" w:cs="Arial" w:eastAsia="Arial" w:hAnsi="Arial"/>
          <w:color w:val="1A1A1A"/>
          <w:sz w:val="22"/>
          <w:szCs w:val="22"/>
        </w:rPr>
        <w:t xml:space="preserve">All integrations are implemented as adapter services that conform to a published Connector Specification (connector-spec.md in the repository). This means third parties can contribute connectors without modifying core platform code. Each connector is a Python package with a defined interface: it must implement a normalise() method that converts the external system's data format into THMP's internal Hypothesis, Evidence, or IOC schema.</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5.1 Elastic Supply Chain Monitor</w:t>
      </w:r>
    </w:p>
    <w:p>
      <w:pPr>
        <w:spacing w:after="120" w:before="80" w:line="276"/>
      </w:pPr>
      <w:r>
        <w:rPr>
          <w:rFonts w:ascii="Arial" w:cs="Arial" w:eastAsia="Arial" w:hAnsi="Arial"/>
          <w:color w:val="1A1A1A"/>
          <w:sz w:val="22"/>
          <w:szCs w:val="22"/>
        </w:rPr>
        <w:t xml:space="preserve">The Elastic Supply Chain Monitor (github.com/elastic/supply-chain-monitor) generates findings about software supply chain risks: malicious packages, dependency anomalies, provenance violations, and CI/CD pipeline tampering indicators. This is the primary and most deeply integrated connector in THMP.</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Integration Approach</w:t>
      </w:r>
    </w:p>
    <w:p>
      <w:pPr>
        <w:pStyle w:val="ListParagraph"/>
        <w:numPr>
          <w:ilvl w:val="0"/>
          <w:numId w:val="2"/>
        </w:numPr>
        <w:spacing w:after="60" w:before="60" w:line="260"/>
      </w:pPr>
      <w:r>
        <w:rPr>
          <w:rFonts w:ascii="Arial" w:cs="Arial" w:eastAsia="Arial" w:hAnsi="Arial"/>
          <w:color w:val="1A1A1A"/>
          <w:sz w:val="22"/>
          <w:szCs w:val="22"/>
        </w:rPr>
        <w:t xml:space="preserve">Pull mode: THMP polls the SCM's findings API on a configurable interval (default: every 15 minutes)</w:t>
      </w:r>
    </w:p>
    <w:p>
      <w:pPr>
        <w:pStyle w:val="ListParagraph"/>
        <w:numPr>
          <w:ilvl w:val="0"/>
          <w:numId w:val="2"/>
        </w:numPr>
        <w:spacing w:after="60" w:before="60" w:line="260"/>
      </w:pPr>
      <w:r>
        <w:rPr>
          <w:rFonts w:ascii="Arial" w:cs="Arial" w:eastAsia="Arial" w:hAnsi="Arial"/>
          <w:color w:val="1A1A1A"/>
          <w:sz w:val="22"/>
          <w:szCs w:val="22"/>
        </w:rPr>
        <w:t xml:space="preserve">Push mode: SCM webhooks POST new findings directly to THMP's ingestion endpoint for near-real-time delivery</w:t>
      </w:r>
    </w:p>
    <w:p>
      <w:pPr>
        <w:pStyle w:val="ListParagraph"/>
        <w:numPr>
          <w:ilvl w:val="0"/>
          <w:numId w:val="2"/>
        </w:numPr>
        <w:spacing w:after="60" w:before="60" w:line="260"/>
      </w:pPr>
      <w:r>
        <w:rPr>
          <w:rFonts w:ascii="Arial" w:cs="Arial" w:eastAsia="Arial" w:hAnsi="Arial"/>
          <w:color w:val="1A1A1A"/>
          <w:sz w:val="22"/>
          <w:szCs w:val="22"/>
        </w:rPr>
        <w:t xml:space="preserve">High-confidence SCM findings (severity high/critical) automatically create draft Hypotheses with the SCM finding attached as Evidence and relevant ATT&amp;CK techniques pre-suggested (T1195 Supply Chain Compromise and sub-techniques)</w:t>
      </w:r>
    </w:p>
    <w:p>
      <w:pPr>
        <w:pStyle w:val="ListParagraph"/>
        <w:numPr>
          <w:ilvl w:val="0"/>
          <w:numId w:val="2"/>
        </w:numPr>
        <w:spacing w:after="60" w:before="60" w:line="260"/>
      </w:pPr>
      <w:r>
        <w:rPr>
          <w:rFonts w:ascii="Arial" w:cs="Arial" w:eastAsia="Arial" w:hAnsi="Arial"/>
          <w:color w:val="1A1A1A"/>
          <w:sz w:val="22"/>
          <w:szCs w:val="22"/>
        </w:rPr>
        <w:t xml:space="preserve">Lower-confidence SCM findings are surfaced in an Ingestion Queue for analyst triage rather than auto-creating hypotheses</w:t>
      </w:r>
    </w:p>
    <w:p>
      <w:pPr>
        <w:pStyle w:val="ListParagraph"/>
        <w:numPr>
          <w:ilvl w:val="0"/>
          <w:numId w:val="2"/>
        </w:numPr>
        <w:spacing w:after="60" w:before="60" w:line="260"/>
      </w:pPr>
      <w:r>
        <w:rPr>
          <w:rFonts w:ascii="Arial" w:cs="Arial" w:eastAsia="Arial" w:hAnsi="Arial"/>
          <w:color w:val="1A1A1A"/>
          <w:sz w:val="22"/>
          <w:szCs w:val="22"/>
        </w:rPr>
        <w:t xml:space="preserve">SCM finding metadata (affected package, repository, pipeline stage) is preserved in the Hypothesis metadata field and displayed in the UI</w:t>
      </w:r>
    </w:p>
    <w:p>
      <w:pPr>
        <w:pStyle w:val="ListParagraph"/>
        <w:numPr>
          <w:ilvl w:val="0"/>
          <w:numId w:val="2"/>
        </w:numPr>
        <w:spacing w:after="60" w:before="60" w:line="260"/>
      </w:pPr>
      <w:r>
        <w:rPr>
          <w:rFonts w:ascii="Arial" w:cs="Arial" w:eastAsia="Arial" w:hAnsi="Arial"/>
          <w:color w:val="1A1A1A"/>
          <w:sz w:val="22"/>
          <w:szCs w:val="22"/>
        </w:rPr>
        <w:t xml:space="preserve">Bidirectional: when a THMP Hypothesis derived from an SCM finding is validated, THMP can optionally POST a confirmation event back to SCM to close the loop</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5.2 STIX/TAXII Threat Intelligence Feeds</w:t>
      </w:r>
    </w:p>
    <w:p>
      <w:pPr>
        <w:spacing w:after="120" w:before="80" w:line="276"/>
      </w:pPr>
      <w:r>
        <w:rPr>
          <w:rFonts w:ascii="Arial" w:cs="Arial" w:eastAsia="Arial" w:hAnsi="Arial"/>
          <w:color w:val="1A1A1A"/>
          <w:sz w:val="22"/>
          <w:szCs w:val="22"/>
        </w:rPr>
        <w:t xml:space="preserve">STIX 2.1 over TAXII 2.1 is the primary structured threat intelligence ingestion protocol. THMP includes a built-in TAXII client that operators can configure with any number of TAXII collection endpoints.</w:t>
      </w:r>
    </w:p>
    <w:p>
      <w:pPr>
        <w:spacing w:after="80" w:before="80"/>
      </w:pPr>
      <w:r>
        <w:t xml:space="preserve"/>
      </w:r>
    </w:p>
    <w:p>
      <w:pPr>
        <w:pStyle w:val="ListParagraph"/>
        <w:numPr>
          <w:ilvl w:val="0"/>
          <w:numId w:val="2"/>
        </w:numPr>
        <w:spacing w:after="60" w:before="60" w:line="260"/>
      </w:pPr>
      <w:r>
        <w:rPr>
          <w:rFonts w:ascii="Arial" w:cs="Arial" w:eastAsia="Arial" w:hAnsi="Arial"/>
          <w:color w:val="1A1A1A"/>
          <w:sz w:val="22"/>
          <w:szCs w:val="22"/>
        </w:rPr>
        <w:t xml:space="preserve">Supports TAXII 2.1 collection discovery and polling</w:t>
      </w:r>
    </w:p>
    <w:p>
      <w:pPr>
        <w:pStyle w:val="ListParagraph"/>
        <w:numPr>
          <w:ilvl w:val="0"/>
          <w:numId w:val="2"/>
        </w:numPr>
        <w:spacing w:after="60" w:before="60" w:line="260"/>
      </w:pPr>
      <w:r>
        <w:rPr>
          <w:rFonts w:ascii="Arial" w:cs="Arial" w:eastAsia="Arial" w:hAnsi="Arial"/>
          <w:color w:val="1A1A1A"/>
          <w:sz w:val="22"/>
          <w:szCs w:val="22"/>
        </w:rPr>
        <w:t xml:space="preserve">Ingests STIX bundles containing Indicators, Threat Actors, Campaigns, Malware, Attack Patterns, and Relationships</w:t>
      </w:r>
    </w:p>
    <w:p>
      <w:pPr>
        <w:pStyle w:val="ListParagraph"/>
        <w:numPr>
          <w:ilvl w:val="0"/>
          <w:numId w:val="2"/>
        </w:numPr>
        <w:spacing w:after="60" w:before="60" w:line="260"/>
      </w:pPr>
      <w:r>
        <w:rPr>
          <w:rFonts w:ascii="Arial" w:cs="Arial" w:eastAsia="Arial" w:hAnsi="Arial"/>
          <w:color w:val="1A1A1A"/>
          <w:sz w:val="22"/>
          <w:szCs w:val="22"/>
        </w:rPr>
        <w:t xml:space="preserve">STIX Attack Patterns are automatically mapped to ATT&amp;CK techniques using the STIX external_references field</w:t>
      </w:r>
    </w:p>
    <w:p>
      <w:pPr>
        <w:pStyle w:val="ListParagraph"/>
        <w:numPr>
          <w:ilvl w:val="0"/>
          <w:numId w:val="2"/>
        </w:numPr>
        <w:spacing w:after="60" w:before="60" w:line="260"/>
      </w:pPr>
      <w:r>
        <w:rPr>
          <w:rFonts w:ascii="Arial" w:cs="Arial" w:eastAsia="Arial" w:hAnsi="Arial"/>
          <w:color w:val="1A1A1A"/>
          <w:sz w:val="22"/>
          <w:szCs w:val="22"/>
        </w:rPr>
        <w:t xml:space="preserve">High-fidelity indicators from trusted collections (configurable trust score threshold) create draft hypotheses</w:t>
      </w:r>
    </w:p>
    <w:p>
      <w:pPr>
        <w:pStyle w:val="ListParagraph"/>
        <w:numPr>
          <w:ilvl w:val="0"/>
          <w:numId w:val="2"/>
        </w:numPr>
        <w:spacing w:after="60" w:before="60" w:line="260"/>
      </w:pPr>
      <w:r>
        <w:rPr>
          <w:rFonts w:ascii="Arial" w:cs="Arial" w:eastAsia="Arial" w:hAnsi="Arial"/>
          <w:color w:val="1A1A1A"/>
          <w:sz w:val="22"/>
          <w:szCs w:val="22"/>
        </w:rPr>
        <w:t xml:space="preserve">IOCs extracted from STIX Indicator objects are stored in the Evidence store for use across multiple hypotheses</w:t>
      </w:r>
    </w:p>
    <w:p>
      <w:pPr>
        <w:pStyle w:val="ListParagraph"/>
        <w:numPr>
          <w:ilvl w:val="0"/>
          <w:numId w:val="2"/>
        </w:numPr>
        <w:spacing w:after="60" w:before="60" w:line="260"/>
      </w:pPr>
      <w:r>
        <w:rPr>
          <w:rFonts w:ascii="Arial" w:cs="Arial" w:eastAsia="Arial" w:hAnsi="Arial"/>
          <w:color w:val="1A1A1A"/>
          <w:sz w:val="22"/>
          <w:szCs w:val="22"/>
        </w:rPr>
        <w:t xml:space="preserve">Compatible with major feeds: MISP feeds exported as STIX, OpenCTI TAXII endpoint, Mandiant Threat Intelligence, Recorded Future, CISA AIS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5.3 SIEM Platforms</w:t>
      </w:r>
    </w:p>
    <w:p>
      <w:pPr>
        <w:pStyle w:val="Heading3"/>
        <w:spacing w:after="120" w:before="240"/>
      </w:pPr>
      <w:r>
        <w:rPr>
          <w:rFonts w:ascii="Arial" w:cs="Arial" w:eastAsia="Arial" w:hAnsi="Arial"/>
          <w:b/>
          <w:bCs/>
          <w:color w:val="444444"/>
          <w:sz w:val="22"/>
          <w:szCs w:val="22"/>
        </w:rPr>
        <w:t xml:space="preserve">Splunk</w:t>
      </w:r>
    </w:p>
    <w:p>
      <w:pPr>
        <w:pStyle w:val="ListParagraph"/>
        <w:numPr>
          <w:ilvl w:val="0"/>
          <w:numId w:val="2"/>
        </w:numPr>
        <w:spacing w:after="60" w:before="60" w:line="260"/>
      </w:pPr>
      <w:r>
        <w:rPr>
          <w:rFonts w:ascii="Arial" w:cs="Arial" w:eastAsia="Arial" w:hAnsi="Arial"/>
          <w:color w:val="1A1A1A"/>
          <w:sz w:val="22"/>
          <w:szCs w:val="22"/>
        </w:rPr>
        <w:t xml:space="preserve">REST API integration using the Splunk Enterprise Security API</w:t>
      </w:r>
    </w:p>
    <w:p>
      <w:pPr>
        <w:pStyle w:val="ListParagraph"/>
        <w:numPr>
          <w:ilvl w:val="0"/>
          <w:numId w:val="2"/>
        </w:numPr>
        <w:spacing w:after="60" w:before="60" w:line="260"/>
      </w:pPr>
      <w:r>
        <w:rPr>
          <w:rFonts w:ascii="Arial" w:cs="Arial" w:eastAsia="Arial" w:hAnsi="Arial"/>
          <w:color w:val="1A1A1A"/>
          <w:sz w:val="22"/>
          <w:szCs w:val="22"/>
        </w:rPr>
        <w:t xml:space="preserve">Pull notable events and Splunk ES findings as hypothesis candidates</w:t>
      </w:r>
    </w:p>
    <w:p>
      <w:pPr>
        <w:pStyle w:val="ListParagraph"/>
        <w:numPr>
          <w:ilvl w:val="0"/>
          <w:numId w:val="2"/>
        </w:numPr>
        <w:spacing w:after="60" w:before="60" w:line="260"/>
      </w:pPr>
      <w:r>
        <w:rPr>
          <w:rFonts w:ascii="Arial" w:cs="Arial" w:eastAsia="Arial" w:hAnsi="Arial"/>
          <w:color w:val="1A1A1A"/>
          <w:sz w:val="22"/>
          <w:szCs w:val="22"/>
        </w:rPr>
        <w:t xml:space="preserve">Link Splunk saved searches as evidence items in THMP hypotheses</w:t>
      </w:r>
    </w:p>
    <w:p>
      <w:pPr>
        <w:pStyle w:val="ListParagraph"/>
        <w:numPr>
          <w:ilvl w:val="0"/>
          <w:numId w:val="2"/>
        </w:numPr>
        <w:spacing w:after="60" w:before="60" w:line="260"/>
      </w:pPr>
      <w:r>
        <w:rPr>
          <w:rFonts w:ascii="Arial" w:cs="Arial" w:eastAsia="Arial" w:hAnsi="Arial"/>
          <w:color w:val="1A1A1A"/>
          <w:sz w:val="22"/>
          <w:szCs w:val="22"/>
        </w:rPr>
        <w:t xml:space="preserve">Write-back: create Splunk notables from validated THMP findings</w:t>
      </w:r>
    </w:p>
    <w:p>
      <w:pPr>
        <w:pStyle w:val="ListParagraph"/>
        <w:numPr>
          <w:ilvl w:val="0"/>
          <w:numId w:val="2"/>
        </w:numPr>
        <w:spacing w:after="60" w:before="60" w:line="260"/>
      </w:pPr>
      <w:r>
        <w:rPr>
          <w:rFonts w:ascii="Arial" w:cs="Arial" w:eastAsia="Arial" w:hAnsi="Arial"/>
          <w:color w:val="1A1A1A"/>
          <w:sz w:val="22"/>
          <w:szCs w:val="22"/>
        </w:rPr>
        <w:t xml:space="preserve">Supports both Splunk Enterprise and Splunk Cloud</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Microsoft Sentinel</w:t>
      </w:r>
    </w:p>
    <w:p>
      <w:pPr>
        <w:pStyle w:val="ListParagraph"/>
        <w:numPr>
          <w:ilvl w:val="0"/>
          <w:numId w:val="2"/>
        </w:numPr>
        <w:spacing w:after="60" w:before="60" w:line="260"/>
      </w:pPr>
      <w:r>
        <w:rPr>
          <w:rFonts w:ascii="Arial" w:cs="Arial" w:eastAsia="Arial" w:hAnsi="Arial"/>
          <w:color w:val="1A1A1A"/>
          <w:sz w:val="22"/>
          <w:szCs w:val="22"/>
        </w:rPr>
        <w:t xml:space="preserve">Azure Monitor / Sentinel API integration via OAuth 2.0 client credentials</w:t>
      </w:r>
    </w:p>
    <w:p>
      <w:pPr>
        <w:pStyle w:val="ListParagraph"/>
        <w:numPr>
          <w:ilvl w:val="0"/>
          <w:numId w:val="2"/>
        </w:numPr>
        <w:spacing w:after="60" w:before="60" w:line="260"/>
      </w:pPr>
      <w:r>
        <w:rPr>
          <w:rFonts w:ascii="Arial" w:cs="Arial" w:eastAsia="Arial" w:hAnsi="Arial"/>
          <w:color w:val="1A1A1A"/>
          <w:sz w:val="22"/>
          <w:szCs w:val="22"/>
        </w:rPr>
        <w:t xml:space="preserve">Pull Sentinel incidents and alerts as hypothesis candidates</w:t>
      </w:r>
    </w:p>
    <w:p>
      <w:pPr>
        <w:pStyle w:val="ListParagraph"/>
        <w:numPr>
          <w:ilvl w:val="0"/>
          <w:numId w:val="2"/>
        </w:numPr>
        <w:spacing w:after="60" w:before="60" w:line="260"/>
      </w:pPr>
      <w:r>
        <w:rPr>
          <w:rFonts w:ascii="Arial" w:cs="Arial" w:eastAsia="Arial" w:hAnsi="Arial"/>
          <w:color w:val="1A1A1A"/>
          <w:sz w:val="22"/>
          <w:szCs w:val="22"/>
        </w:rPr>
        <w:t xml:space="preserve">Link Sentinel hunting queries (KQL) as evidence references</w:t>
      </w:r>
    </w:p>
    <w:p>
      <w:pPr>
        <w:pStyle w:val="ListParagraph"/>
        <w:numPr>
          <w:ilvl w:val="0"/>
          <w:numId w:val="2"/>
        </w:numPr>
        <w:spacing w:after="60" w:before="60" w:line="260"/>
      </w:pPr>
      <w:r>
        <w:rPr>
          <w:rFonts w:ascii="Arial" w:cs="Arial" w:eastAsia="Arial" w:hAnsi="Arial"/>
          <w:color w:val="1A1A1A"/>
          <w:sz w:val="22"/>
          <w:szCs w:val="22"/>
        </w:rPr>
        <w:t xml:space="preserve">Write-back: create Sentinel incidents from THMP validated findings</w:t>
      </w:r>
    </w:p>
    <w:p>
      <w:pPr>
        <w:pStyle w:val="ListParagraph"/>
        <w:numPr>
          <w:ilvl w:val="0"/>
          <w:numId w:val="2"/>
        </w:numPr>
        <w:spacing w:after="60" w:before="60" w:line="260"/>
      </w:pPr>
      <w:r>
        <w:rPr>
          <w:rFonts w:ascii="Arial" w:cs="Arial" w:eastAsia="Arial" w:hAnsi="Arial"/>
          <w:color w:val="1A1A1A"/>
          <w:sz w:val="22"/>
          <w:szCs w:val="22"/>
        </w:rPr>
        <w:t xml:space="preserve">Supports Sentinel workspaces across multiple Azure subscriptions</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IBM QRadar</w:t>
      </w:r>
    </w:p>
    <w:p>
      <w:pPr>
        <w:pStyle w:val="ListParagraph"/>
        <w:numPr>
          <w:ilvl w:val="0"/>
          <w:numId w:val="2"/>
        </w:numPr>
        <w:spacing w:after="60" w:before="60" w:line="260"/>
      </w:pPr>
      <w:r>
        <w:rPr>
          <w:rFonts w:ascii="Arial" w:cs="Arial" w:eastAsia="Arial" w:hAnsi="Arial"/>
          <w:color w:val="1A1A1A"/>
          <w:sz w:val="22"/>
          <w:szCs w:val="22"/>
        </w:rPr>
        <w:t xml:space="preserve">QRadar REST API integration for pulling offences and custom rules</w:t>
      </w:r>
    </w:p>
    <w:p>
      <w:pPr>
        <w:pStyle w:val="ListParagraph"/>
        <w:numPr>
          <w:ilvl w:val="0"/>
          <w:numId w:val="2"/>
        </w:numPr>
        <w:spacing w:after="60" w:before="60" w:line="260"/>
      </w:pPr>
      <w:r>
        <w:rPr>
          <w:rFonts w:ascii="Arial" w:cs="Arial" w:eastAsia="Arial" w:hAnsi="Arial"/>
          <w:color w:val="1A1A1A"/>
          <w:sz w:val="22"/>
          <w:szCs w:val="22"/>
        </w:rPr>
        <w:t xml:space="preserve">Bi-directional: THMP can update QRadar offence status when a hypothesis is closed</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Elastic SIEM / Elastic Security</w:t>
      </w:r>
    </w:p>
    <w:p>
      <w:pPr>
        <w:pStyle w:val="ListParagraph"/>
        <w:numPr>
          <w:ilvl w:val="0"/>
          <w:numId w:val="2"/>
        </w:numPr>
        <w:spacing w:after="60" w:before="60" w:line="260"/>
      </w:pPr>
      <w:r>
        <w:rPr>
          <w:rFonts w:ascii="Arial" w:cs="Arial" w:eastAsia="Arial" w:hAnsi="Arial"/>
          <w:color w:val="1A1A1A"/>
          <w:sz w:val="22"/>
          <w:szCs w:val="22"/>
        </w:rPr>
        <w:t xml:space="preserve">Native integration given the Elastic ecosystem relationship</w:t>
      </w:r>
    </w:p>
    <w:p>
      <w:pPr>
        <w:pStyle w:val="ListParagraph"/>
        <w:numPr>
          <w:ilvl w:val="0"/>
          <w:numId w:val="2"/>
        </w:numPr>
        <w:spacing w:after="60" w:before="60" w:line="260"/>
      </w:pPr>
      <w:r>
        <w:rPr>
          <w:rFonts w:ascii="Arial" w:cs="Arial" w:eastAsia="Arial" w:hAnsi="Arial"/>
          <w:color w:val="1A1A1A"/>
          <w:sz w:val="22"/>
          <w:szCs w:val="22"/>
        </w:rPr>
        <w:t xml:space="preserve">Pull detection rule alerts and cases from Elastic Security</w:t>
      </w:r>
    </w:p>
    <w:p>
      <w:pPr>
        <w:pStyle w:val="ListParagraph"/>
        <w:numPr>
          <w:ilvl w:val="0"/>
          <w:numId w:val="2"/>
        </w:numPr>
        <w:spacing w:after="60" w:before="60" w:line="260"/>
      </w:pPr>
      <w:r>
        <w:rPr>
          <w:rFonts w:ascii="Arial" w:cs="Arial" w:eastAsia="Arial" w:hAnsi="Arial"/>
          <w:color w:val="1A1A1A"/>
          <w:sz w:val="22"/>
          <w:szCs w:val="22"/>
        </w:rPr>
        <w:t xml:space="preserve">Link Elasticsearch queries and Timeline entries as evidence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5.4 Threat Intelligence Platforms</w:t>
      </w:r>
    </w:p>
    <w:p>
      <w:pPr>
        <w:pStyle w:val="Heading3"/>
        <w:spacing w:after="120" w:before="240"/>
      </w:pPr>
      <w:r>
        <w:rPr>
          <w:rFonts w:ascii="Arial" w:cs="Arial" w:eastAsia="Arial" w:hAnsi="Arial"/>
          <w:b/>
          <w:bCs/>
          <w:color w:val="444444"/>
          <w:sz w:val="22"/>
          <w:szCs w:val="22"/>
        </w:rPr>
        <w:t xml:space="preserve">MISP</w:t>
      </w:r>
    </w:p>
    <w:p>
      <w:pPr>
        <w:pStyle w:val="ListParagraph"/>
        <w:numPr>
          <w:ilvl w:val="0"/>
          <w:numId w:val="2"/>
        </w:numPr>
        <w:spacing w:after="60" w:before="60" w:line="260"/>
      </w:pPr>
      <w:r>
        <w:rPr>
          <w:rFonts w:ascii="Arial" w:cs="Arial" w:eastAsia="Arial" w:hAnsi="Arial"/>
          <w:color w:val="1A1A1A"/>
          <w:sz w:val="22"/>
          <w:szCs w:val="22"/>
        </w:rPr>
        <w:t xml:space="preserve">REST API integration with MISP instance (supports MISP 2.4+)</w:t>
      </w:r>
    </w:p>
    <w:p>
      <w:pPr>
        <w:pStyle w:val="ListParagraph"/>
        <w:numPr>
          <w:ilvl w:val="0"/>
          <w:numId w:val="2"/>
        </w:numPr>
        <w:spacing w:after="60" w:before="60" w:line="260"/>
      </w:pPr>
      <w:r>
        <w:rPr>
          <w:rFonts w:ascii="Arial" w:cs="Arial" w:eastAsia="Arial" w:hAnsi="Arial"/>
          <w:color w:val="1A1A1A"/>
          <w:sz w:val="22"/>
          <w:szCs w:val="22"/>
        </w:rPr>
        <w:t xml:space="preserve">Pull events, attributes, and objects from configured MISP feeds</w:t>
      </w:r>
    </w:p>
    <w:p>
      <w:pPr>
        <w:pStyle w:val="ListParagraph"/>
        <w:numPr>
          <w:ilvl w:val="0"/>
          <w:numId w:val="2"/>
        </w:numPr>
        <w:spacing w:after="60" w:before="60" w:line="260"/>
      </w:pPr>
      <w:r>
        <w:rPr>
          <w:rFonts w:ascii="Arial" w:cs="Arial" w:eastAsia="Arial" w:hAnsi="Arial"/>
          <w:color w:val="1A1A1A"/>
          <w:sz w:val="22"/>
          <w:szCs w:val="22"/>
        </w:rPr>
        <w:t xml:space="preserve">Import MISP galaxy cluster tags as ATT&amp;CK technique hints</w:t>
      </w:r>
    </w:p>
    <w:p>
      <w:pPr>
        <w:pStyle w:val="ListParagraph"/>
        <w:numPr>
          <w:ilvl w:val="0"/>
          <w:numId w:val="2"/>
        </w:numPr>
        <w:spacing w:after="60" w:before="60" w:line="260"/>
      </w:pPr>
      <w:r>
        <w:rPr>
          <w:rFonts w:ascii="Arial" w:cs="Arial" w:eastAsia="Arial" w:hAnsi="Arial"/>
          <w:color w:val="1A1A1A"/>
          <w:sz w:val="22"/>
          <w:szCs w:val="22"/>
        </w:rPr>
        <w:t xml:space="preserve">Export validated THMP findings back to MISP as events for community sharing</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OpenCTI</w:t>
      </w:r>
    </w:p>
    <w:p>
      <w:pPr>
        <w:pStyle w:val="ListParagraph"/>
        <w:numPr>
          <w:ilvl w:val="0"/>
          <w:numId w:val="2"/>
        </w:numPr>
        <w:spacing w:after="60" w:before="60" w:line="260"/>
      </w:pPr>
      <w:r>
        <w:rPr>
          <w:rFonts w:ascii="Arial" w:cs="Arial" w:eastAsia="Arial" w:hAnsi="Arial"/>
          <w:color w:val="1A1A1A"/>
          <w:sz w:val="22"/>
          <w:szCs w:val="22"/>
        </w:rPr>
        <w:t xml:space="preserve">GraphQL API integration with OpenCTI instance</w:t>
      </w:r>
    </w:p>
    <w:p>
      <w:pPr>
        <w:pStyle w:val="ListParagraph"/>
        <w:numPr>
          <w:ilvl w:val="0"/>
          <w:numId w:val="2"/>
        </w:numPr>
        <w:spacing w:after="60" w:before="60" w:line="260"/>
      </w:pPr>
      <w:r>
        <w:rPr>
          <w:rFonts w:ascii="Arial" w:cs="Arial" w:eastAsia="Arial" w:hAnsi="Arial"/>
          <w:color w:val="1A1A1A"/>
          <w:sz w:val="22"/>
          <w:szCs w:val="22"/>
        </w:rPr>
        <w:t xml:space="preserve">Pull Reports, Indicators, Threat Actors, and Malware entities</w:t>
      </w:r>
    </w:p>
    <w:p>
      <w:pPr>
        <w:pStyle w:val="ListParagraph"/>
        <w:numPr>
          <w:ilvl w:val="0"/>
          <w:numId w:val="2"/>
        </w:numPr>
        <w:spacing w:after="60" w:before="60" w:line="260"/>
      </w:pPr>
      <w:r>
        <w:rPr>
          <w:rFonts w:ascii="Arial" w:cs="Arial" w:eastAsia="Arial" w:hAnsi="Arial"/>
          <w:color w:val="1A1A1A"/>
          <w:sz w:val="22"/>
          <w:szCs w:val="22"/>
        </w:rPr>
        <w:t xml:space="preserve">Map OpenCTI kill chain phases to ATT&amp;CK tactics</w:t>
      </w:r>
    </w:p>
    <w:p>
      <w:pPr>
        <w:pStyle w:val="ListParagraph"/>
        <w:numPr>
          <w:ilvl w:val="0"/>
          <w:numId w:val="2"/>
        </w:numPr>
        <w:spacing w:after="60" w:before="60" w:line="260"/>
      </w:pPr>
      <w:r>
        <w:rPr>
          <w:rFonts w:ascii="Arial" w:cs="Arial" w:eastAsia="Arial" w:hAnsi="Arial"/>
          <w:color w:val="1A1A1A"/>
          <w:sz w:val="22"/>
          <w:szCs w:val="22"/>
        </w:rPr>
        <w:t xml:space="preserve">Export findings as OpenCTI Reports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5.5 Vulnerability Management</w:t>
      </w:r>
    </w:p>
    <w:p>
      <w:pPr>
        <w:pStyle w:val="Heading3"/>
        <w:spacing w:after="120" w:before="240"/>
      </w:pPr>
      <w:r>
        <w:rPr>
          <w:rFonts w:ascii="Arial" w:cs="Arial" w:eastAsia="Arial" w:hAnsi="Arial"/>
          <w:b/>
          <w:bCs/>
          <w:color w:val="444444"/>
          <w:sz w:val="22"/>
          <w:szCs w:val="22"/>
        </w:rPr>
        <w:t xml:space="preserve">Tenable.io / Tenable.sc</w:t>
      </w:r>
    </w:p>
    <w:p>
      <w:pPr>
        <w:pStyle w:val="ListParagraph"/>
        <w:numPr>
          <w:ilvl w:val="0"/>
          <w:numId w:val="2"/>
        </w:numPr>
        <w:spacing w:after="60" w:before="60" w:line="260"/>
      </w:pPr>
      <w:r>
        <w:rPr>
          <w:rFonts w:ascii="Arial" w:cs="Arial" w:eastAsia="Arial" w:hAnsi="Arial"/>
          <w:color w:val="1A1A1A"/>
          <w:sz w:val="22"/>
          <w:szCs w:val="22"/>
        </w:rPr>
        <w:t xml:space="preserve">REST API integration pulling asset vulnerability data</w:t>
      </w:r>
    </w:p>
    <w:p>
      <w:pPr>
        <w:pStyle w:val="ListParagraph"/>
        <w:numPr>
          <w:ilvl w:val="0"/>
          <w:numId w:val="2"/>
        </w:numPr>
        <w:spacing w:after="60" w:before="60" w:line="260"/>
      </w:pPr>
      <w:r>
        <w:rPr>
          <w:rFonts w:ascii="Arial" w:cs="Arial" w:eastAsia="Arial" w:hAnsi="Arial"/>
          <w:color w:val="1A1A1A"/>
          <w:sz w:val="22"/>
          <w:szCs w:val="22"/>
        </w:rPr>
        <w:t xml:space="preserve">Enrich hypotheses with asset vulnerability context: if a hypothesis targets an asset, surface its active CVEs</w:t>
      </w:r>
    </w:p>
    <w:p>
      <w:pPr>
        <w:pStyle w:val="ListParagraph"/>
        <w:numPr>
          <w:ilvl w:val="0"/>
          <w:numId w:val="2"/>
        </w:numPr>
        <w:spacing w:after="60" w:before="60" w:line="260"/>
      </w:pPr>
      <w:r>
        <w:rPr>
          <w:rFonts w:ascii="Arial" w:cs="Arial" w:eastAsia="Arial" w:hAnsi="Arial"/>
          <w:color w:val="1A1A1A"/>
          <w:sz w:val="22"/>
          <w:szCs w:val="22"/>
        </w:rPr>
        <w:t xml:space="preserve">Automatically suggest CVE-exploitation ATT&amp;CK techniques (T1190, T1203) when critical CVEs are present on targeted assets</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Qualys</w:t>
      </w:r>
    </w:p>
    <w:p>
      <w:pPr>
        <w:pStyle w:val="ListParagraph"/>
        <w:numPr>
          <w:ilvl w:val="0"/>
          <w:numId w:val="2"/>
        </w:numPr>
        <w:spacing w:after="60" w:before="60" w:line="260"/>
      </w:pPr>
      <w:r>
        <w:rPr>
          <w:rFonts w:ascii="Arial" w:cs="Arial" w:eastAsia="Arial" w:hAnsi="Arial"/>
          <w:color w:val="1A1A1A"/>
          <w:sz w:val="22"/>
          <w:szCs w:val="22"/>
        </w:rPr>
        <w:t xml:space="preserve">REST API integration pulling vulnerability management data</w:t>
      </w:r>
    </w:p>
    <w:p>
      <w:pPr>
        <w:pStyle w:val="ListParagraph"/>
        <w:numPr>
          <w:ilvl w:val="0"/>
          <w:numId w:val="2"/>
        </w:numPr>
        <w:spacing w:after="60" w:before="60" w:line="260"/>
      </w:pPr>
      <w:r>
        <w:rPr>
          <w:rFonts w:ascii="Arial" w:cs="Arial" w:eastAsia="Arial" w:hAnsi="Arial"/>
          <w:color w:val="1A1A1A"/>
          <w:sz w:val="22"/>
          <w:szCs w:val="22"/>
        </w:rPr>
        <w:t xml:space="preserve">Same enrichment workflow as Tenable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5.6 SOAR Platforms</w:t>
      </w:r>
    </w:p>
    <w:p>
      <w:pPr>
        <w:pStyle w:val="Heading3"/>
        <w:spacing w:after="120" w:before="240"/>
      </w:pPr>
      <w:r>
        <w:rPr>
          <w:rFonts w:ascii="Arial" w:cs="Arial" w:eastAsia="Arial" w:hAnsi="Arial"/>
          <w:b/>
          <w:bCs/>
          <w:color w:val="444444"/>
          <w:sz w:val="22"/>
          <w:szCs w:val="22"/>
        </w:rPr>
        <w:t xml:space="preserve">Palo Alto XSOAR / Cortex XSOAR</w:t>
      </w:r>
    </w:p>
    <w:p>
      <w:pPr>
        <w:pStyle w:val="ListParagraph"/>
        <w:numPr>
          <w:ilvl w:val="0"/>
          <w:numId w:val="2"/>
        </w:numPr>
        <w:spacing w:after="60" w:before="60" w:line="260"/>
      </w:pPr>
      <w:r>
        <w:rPr>
          <w:rFonts w:ascii="Arial" w:cs="Arial" w:eastAsia="Arial" w:hAnsi="Arial"/>
          <w:color w:val="1A1A1A"/>
          <w:sz w:val="22"/>
          <w:szCs w:val="22"/>
        </w:rPr>
        <w:t xml:space="preserve">Playbook trigger integration: THMP can fire XSOAR playbooks when a hypothesis moves to in_hunt status</w:t>
      </w:r>
    </w:p>
    <w:p>
      <w:pPr>
        <w:pStyle w:val="ListParagraph"/>
        <w:numPr>
          <w:ilvl w:val="0"/>
          <w:numId w:val="2"/>
        </w:numPr>
        <w:spacing w:after="60" w:before="60" w:line="260"/>
      </w:pPr>
      <w:r>
        <w:rPr>
          <w:rFonts w:ascii="Arial" w:cs="Arial" w:eastAsia="Arial" w:hAnsi="Arial"/>
          <w:color w:val="1A1A1A"/>
          <w:sz w:val="22"/>
          <w:szCs w:val="22"/>
        </w:rPr>
        <w:t xml:space="preserve">Pull XSOAR incident context back into THMP as evidence</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Splunk SOAR (Phantom)</w:t>
      </w:r>
    </w:p>
    <w:p>
      <w:pPr>
        <w:pStyle w:val="ListParagraph"/>
        <w:numPr>
          <w:ilvl w:val="0"/>
          <w:numId w:val="2"/>
        </w:numPr>
        <w:spacing w:after="60" w:before="60" w:line="260"/>
      </w:pPr>
      <w:r>
        <w:rPr>
          <w:rFonts w:ascii="Arial" w:cs="Arial" w:eastAsia="Arial" w:hAnsi="Arial"/>
          <w:color w:val="1A1A1A"/>
          <w:sz w:val="22"/>
          <w:szCs w:val="22"/>
        </w:rPr>
        <w:t xml:space="preserve">REST API integration for bidirectional incident data exchange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5.7 Ticketing and ITSM</w:t>
      </w:r>
    </w:p>
    <w:p>
      <w:pPr>
        <w:pStyle w:val="Heading3"/>
        <w:spacing w:after="120" w:before="240"/>
      </w:pPr>
      <w:r>
        <w:rPr>
          <w:rFonts w:ascii="Arial" w:cs="Arial" w:eastAsia="Arial" w:hAnsi="Arial"/>
          <w:b/>
          <w:bCs/>
          <w:color w:val="444444"/>
          <w:sz w:val="22"/>
          <w:szCs w:val="22"/>
        </w:rPr>
        <w:t xml:space="preserve">Jira</w:t>
      </w:r>
    </w:p>
    <w:p>
      <w:pPr>
        <w:pStyle w:val="ListParagraph"/>
        <w:numPr>
          <w:ilvl w:val="0"/>
          <w:numId w:val="2"/>
        </w:numPr>
        <w:spacing w:after="60" w:before="60" w:line="260"/>
      </w:pPr>
      <w:r>
        <w:rPr>
          <w:rFonts w:ascii="Arial" w:cs="Arial" w:eastAsia="Arial" w:hAnsi="Arial"/>
          <w:color w:val="1A1A1A"/>
          <w:sz w:val="22"/>
          <w:szCs w:val="22"/>
        </w:rPr>
        <w:t xml:space="preserve">OAuth 2.0 integration with Jira Cloud and Jira Data Center</w:t>
      </w:r>
    </w:p>
    <w:p>
      <w:pPr>
        <w:pStyle w:val="ListParagraph"/>
        <w:numPr>
          <w:ilvl w:val="0"/>
          <w:numId w:val="2"/>
        </w:numPr>
        <w:spacing w:after="60" w:before="60" w:line="260"/>
      </w:pPr>
      <w:r>
        <w:rPr>
          <w:rFonts w:ascii="Arial" w:cs="Arial" w:eastAsia="Arial" w:hAnsi="Arial"/>
          <w:color w:val="1A1A1A"/>
          <w:sz w:val="22"/>
          <w:szCs w:val="22"/>
        </w:rPr>
        <w:t xml:space="preserve">Configurable per-workspace: create a Jira issue when a hunt is created, update status on transitions</w:t>
      </w:r>
    </w:p>
    <w:p>
      <w:pPr>
        <w:pStyle w:val="ListParagraph"/>
        <w:numPr>
          <w:ilvl w:val="0"/>
          <w:numId w:val="2"/>
        </w:numPr>
        <w:spacing w:after="60" w:before="60" w:line="260"/>
      </w:pPr>
      <w:r>
        <w:rPr>
          <w:rFonts w:ascii="Arial" w:cs="Arial" w:eastAsia="Arial" w:hAnsi="Arial"/>
          <w:color w:val="1A1A1A"/>
          <w:sz w:val="22"/>
          <w:szCs w:val="22"/>
        </w:rPr>
        <w:t xml:space="preserve">Sync Jira issue comments back to THMP hunt timeline</w:t>
      </w:r>
    </w:p>
    <w:p>
      <w:pPr>
        <w:pStyle w:val="ListParagraph"/>
        <w:numPr>
          <w:ilvl w:val="0"/>
          <w:numId w:val="2"/>
        </w:numPr>
        <w:spacing w:after="60" w:before="60" w:line="260"/>
      </w:pPr>
      <w:r>
        <w:rPr>
          <w:rFonts w:ascii="Arial" w:cs="Arial" w:eastAsia="Arial" w:hAnsi="Arial"/>
          <w:color w:val="1A1A1A"/>
          <w:sz w:val="22"/>
          <w:szCs w:val="22"/>
        </w:rPr>
        <w:t xml:space="preserve">Supports custom field mapping for enterprise Jira configurations</w:t>
      </w:r>
    </w:p>
    <w:p>
      <w:pPr>
        <w:spacing w:after="80" w:before="80"/>
      </w:pPr>
      <w:r>
        <w:t xml:space="preserve"/>
      </w:r>
    </w:p>
    <w:p>
      <w:pPr>
        <w:pStyle w:val="Heading3"/>
        <w:spacing w:after="120" w:before="240"/>
      </w:pPr>
      <w:r>
        <w:rPr>
          <w:rFonts w:ascii="Arial" w:cs="Arial" w:eastAsia="Arial" w:hAnsi="Arial"/>
          <w:b/>
          <w:bCs/>
          <w:color w:val="444444"/>
          <w:sz w:val="22"/>
          <w:szCs w:val="22"/>
        </w:rPr>
        <w:t xml:space="preserve">ServiceNow</w:t>
      </w:r>
    </w:p>
    <w:p>
      <w:pPr>
        <w:pStyle w:val="ListParagraph"/>
        <w:numPr>
          <w:ilvl w:val="0"/>
          <w:numId w:val="2"/>
        </w:numPr>
        <w:spacing w:after="60" w:before="60" w:line="260"/>
      </w:pPr>
      <w:r>
        <w:rPr>
          <w:rFonts w:ascii="Arial" w:cs="Arial" w:eastAsia="Arial" w:hAnsi="Arial"/>
          <w:color w:val="1A1A1A"/>
          <w:sz w:val="22"/>
          <w:szCs w:val="22"/>
        </w:rPr>
        <w:t xml:space="preserve">REST API integration with ServiceNow Security Incident Response module</w:t>
      </w:r>
    </w:p>
    <w:p>
      <w:pPr>
        <w:pStyle w:val="ListParagraph"/>
        <w:numPr>
          <w:ilvl w:val="0"/>
          <w:numId w:val="2"/>
        </w:numPr>
        <w:spacing w:after="60" w:before="60" w:line="260"/>
      </w:pPr>
      <w:r>
        <w:rPr>
          <w:rFonts w:ascii="Arial" w:cs="Arial" w:eastAsia="Arial" w:hAnsi="Arial"/>
          <w:color w:val="1A1A1A"/>
          <w:sz w:val="22"/>
          <w:szCs w:val="22"/>
        </w:rPr>
        <w:t xml:space="preserve">Create and update security incidents from THMP findings</w:t>
      </w:r>
    </w:p>
    <w:p>
      <w:pPr>
        <w:pStyle w:val="ListParagraph"/>
        <w:numPr>
          <w:ilvl w:val="0"/>
          <w:numId w:val="2"/>
        </w:numPr>
        <w:spacing w:after="60" w:before="60" w:line="260"/>
      </w:pPr>
      <w:r>
        <w:rPr>
          <w:rFonts w:ascii="Arial" w:cs="Arial" w:eastAsia="Arial" w:hAnsi="Arial"/>
          <w:color w:val="1A1A1A"/>
          <w:sz w:val="22"/>
          <w:szCs w:val="22"/>
        </w:rPr>
        <w:t xml:space="preserve">Bi-directional status synchronisation</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5.8 Notification Channels</w:t>
      </w:r>
    </w:p>
    <w:p>
      <w:pPr>
        <w:pStyle w:val="ListParagraph"/>
        <w:numPr>
          <w:ilvl w:val="0"/>
          <w:numId w:val="2"/>
        </w:numPr>
        <w:spacing w:after="60" w:before="60" w:line="260"/>
      </w:pPr>
      <w:r>
        <w:rPr>
          <w:rFonts w:ascii="Arial" w:cs="Arial" w:eastAsia="Arial" w:hAnsi="Arial"/>
          <w:color w:val="1A1A1A"/>
          <w:sz w:val="22"/>
          <w:szCs w:val="22"/>
        </w:rPr>
        <w:t xml:space="preserve">Slack: incoming webhooks with configurable event triggers and channel routing</w:t>
      </w:r>
    </w:p>
    <w:p>
      <w:pPr>
        <w:pStyle w:val="ListParagraph"/>
        <w:numPr>
          <w:ilvl w:val="0"/>
          <w:numId w:val="2"/>
        </w:numPr>
        <w:spacing w:after="60" w:before="60" w:line="260"/>
      </w:pPr>
      <w:r>
        <w:rPr>
          <w:rFonts w:ascii="Arial" w:cs="Arial" w:eastAsia="Arial" w:hAnsi="Arial"/>
          <w:color w:val="1A1A1A"/>
          <w:sz w:val="22"/>
          <w:szCs w:val="22"/>
        </w:rPr>
        <w:t xml:space="preserve">Microsoft Teams: Adaptive Card notifications via incoming webhooks</w:t>
      </w:r>
    </w:p>
    <w:p>
      <w:pPr>
        <w:pStyle w:val="ListParagraph"/>
        <w:numPr>
          <w:ilvl w:val="0"/>
          <w:numId w:val="2"/>
        </w:numPr>
        <w:spacing w:after="60" w:before="60" w:line="260"/>
      </w:pPr>
      <w:r>
        <w:rPr>
          <w:rFonts w:ascii="Arial" w:cs="Arial" w:eastAsia="Arial" w:hAnsi="Arial"/>
          <w:color w:val="1A1A1A"/>
          <w:sz w:val="22"/>
          <w:szCs w:val="22"/>
        </w:rPr>
        <w:t xml:space="preserve">PagerDuty: event API integration for critical finding escalation</w:t>
      </w:r>
    </w:p>
    <w:p>
      <w:pPr>
        <w:pStyle w:val="ListParagraph"/>
        <w:numPr>
          <w:ilvl w:val="0"/>
          <w:numId w:val="2"/>
        </w:numPr>
        <w:spacing w:after="60" w:before="60" w:line="260"/>
      </w:pPr>
      <w:r>
        <w:rPr>
          <w:rFonts w:ascii="Arial" w:cs="Arial" w:eastAsia="Arial" w:hAnsi="Arial"/>
          <w:color w:val="1A1A1A"/>
          <w:sz w:val="22"/>
          <w:szCs w:val="22"/>
        </w:rPr>
        <w:t xml:space="preserve">Email: SMTP with configurable templates for digest and alert notifications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5.9 Connector Development Kit</w:t>
      </w:r>
    </w:p>
    <w:p>
      <w:pPr>
        <w:spacing w:after="120" w:before="80" w:line="276"/>
      </w:pPr>
      <w:r>
        <w:rPr>
          <w:rFonts w:ascii="Arial" w:cs="Arial" w:eastAsia="Arial" w:hAnsi="Arial"/>
          <w:color w:val="1A1A1A"/>
          <w:sz w:val="22"/>
          <w:szCs w:val="22"/>
        </w:rPr>
        <w:t xml:space="preserve">To enable community contributions, THMP publishes a Connector Development Kit (CDK) as a separate package. The CDK provides base classes, test fixtures, a local mock platform server, and documentation. A connector can be developed and tested entirely without a running THMP instance. Connectors are distributed as Python packages and installed via the platform's plugin manager.</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6. Analyst Workflow Features</w:t>
      </w:r>
    </w:p>
    <w:p>
      <w:pPr>
        <w:pStyle w:val="Heading2"/>
        <w:spacing w:after="160" w:before="320"/>
      </w:pPr>
      <w:r>
        <w:rPr>
          <w:rFonts w:ascii="Arial" w:cs="Arial" w:eastAsia="Arial" w:hAnsi="Arial"/>
          <w:b/>
          <w:bCs/>
          <w:color w:val="2E6DA4"/>
          <w:sz w:val="26"/>
          <w:szCs w:val="26"/>
        </w:rPr>
        <w:t xml:space="preserve">6.1 Hypothesis Lifecycle</w:t>
      </w:r>
    </w:p>
    <w:p>
      <w:pPr>
        <w:spacing w:after="120" w:before="80" w:line="276"/>
      </w:pPr>
      <w:r>
        <w:rPr>
          <w:rFonts w:ascii="Arial" w:cs="Arial" w:eastAsia="Arial" w:hAnsi="Arial"/>
          <w:color w:val="1A1A1A"/>
          <w:sz w:val="22"/>
          <w:szCs w:val="22"/>
        </w:rPr>
        <w:t xml:space="preserve">Each Hypothesis moves through a defined status workflow with explicit transition rules. Not all transitions are permitted from all states — for example, a Hypothesis cannot move from draft directly to validated. The workflow enforces that an analyst has actively hunted before a finding can be confirmed.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 Can Transition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 but not yet assigned or active. May be auto-created by an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analyst; integrations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Assigned to an analyst and under active consideration.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Analyst; Hunt Lead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in_hunt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Actively being investigated as part of a named Hunt.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Hunt Lead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Hunt complete; hypothesis confirmed as representing real threat activity.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Hunt Lead; 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Hunt complete; hypothesis ruled out or not actionable.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Hunt Lead; Manager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archived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Historical record; removed from active views.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Admin</w:t>
            </w:r>
          </w:p>
        </w:tc>
      </w:tr>
    </w:tbl>
    <w:p>
      <w:pPr>
        <w:spacing w:after="80" w:before="80"/>
      </w:pPr>
      <w:r>
        <w:t xml:space="preserve"/>
      </w:r>
    </w:p>
    <w:p>
      <w:pPr>
        <w:spacing w:after="120" w:before="80" w:line="276"/>
      </w:pPr>
      <w:r>
        <w:rPr>
          <w:rFonts w:ascii="Arial" w:cs="Arial" w:eastAsia="Arial" w:hAnsi="Arial"/>
          <w:color w:val="1A1A1A"/>
          <w:sz w:val="22"/>
          <w:szCs w:val="22"/>
        </w:rPr>
        <w:t xml:space="preserve">Every status transition requires a mandatory comment explaining the reasoning. This creates a narrative audit trail that is invaluable for post-incident review, regulatory audit, and knowledge transfer when analysts change teams.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6.2 Collaboration</w:t>
      </w:r>
    </w:p>
    <w:p>
      <w:pPr>
        <w:pStyle w:val="ListParagraph"/>
        <w:numPr>
          <w:ilvl w:val="0"/>
          <w:numId w:val="2"/>
        </w:numPr>
        <w:spacing w:after="60" w:before="60" w:line="260"/>
      </w:pPr>
      <w:r>
        <w:rPr>
          <w:rFonts w:ascii="Arial" w:cs="Arial" w:eastAsia="Arial" w:hAnsi="Arial"/>
          <w:color w:val="1A1A1A"/>
          <w:sz w:val="22"/>
          <w:szCs w:val="22"/>
        </w:rPr>
        <w:t xml:space="preserve">Threaded comments on hypotheses with @mention support (notifies via configured channels)</w:t>
      </w:r>
    </w:p>
    <w:p>
      <w:pPr>
        <w:pStyle w:val="ListParagraph"/>
        <w:numPr>
          <w:ilvl w:val="0"/>
          <w:numId w:val="2"/>
        </w:numPr>
        <w:spacing w:after="60" w:before="60" w:line="260"/>
      </w:pPr>
      <w:r>
        <w:rPr>
          <w:rFonts w:ascii="Arial" w:cs="Arial" w:eastAsia="Arial" w:hAnsi="Arial"/>
          <w:color w:val="1A1A1A"/>
          <w:sz w:val="22"/>
          <w:szCs w:val="22"/>
        </w:rPr>
        <w:t xml:space="preserve">Multiple analysts can co-own a hypothesis with explicit role assignments (lead, contributor, reviewer)</w:t>
      </w:r>
    </w:p>
    <w:p>
      <w:pPr>
        <w:pStyle w:val="ListParagraph"/>
        <w:numPr>
          <w:ilvl w:val="0"/>
          <w:numId w:val="2"/>
        </w:numPr>
        <w:spacing w:after="60" w:before="60" w:line="260"/>
      </w:pPr>
      <w:r>
        <w:rPr>
          <w:rFonts w:ascii="Arial" w:cs="Arial" w:eastAsia="Arial" w:hAnsi="Arial"/>
          <w:color w:val="1A1A1A"/>
          <w:sz w:val="22"/>
          <w:szCs w:val="22"/>
        </w:rPr>
        <w:t xml:space="preserve">Activity feed on each hypothesis showing all changes, comments, evidence additions, and status transitions in chronological order</w:t>
      </w:r>
    </w:p>
    <w:p>
      <w:pPr>
        <w:pStyle w:val="ListParagraph"/>
        <w:numPr>
          <w:ilvl w:val="0"/>
          <w:numId w:val="2"/>
        </w:numPr>
        <w:spacing w:after="60" w:before="60" w:line="260"/>
      </w:pPr>
      <w:r>
        <w:rPr>
          <w:rFonts w:ascii="Arial" w:cs="Arial" w:eastAsia="Arial" w:hAnsi="Arial"/>
          <w:color w:val="1A1A1A"/>
          <w:sz w:val="22"/>
          <w:szCs w:val="22"/>
        </w:rPr>
        <w:t xml:space="preserve">Conflict detection: if two analysts attempt to modify the same hypothesis simultaneously, the second writer receives a warning and sees a diff of the conflicting change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6.3 Hunt Board</w:t>
      </w:r>
    </w:p>
    <w:p>
      <w:pPr>
        <w:spacing w:after="120" w:before="80" w:line="276"/>
      </w:pPr>
      <w:r>
        <w:rPr>
          <w:rFonts w:ascii="Arial" w:cs="Arial" w:eastAsia="Arial" w:hAnsi="Arial"/>
          <w:color w:val="1A1A1A"/>
          <w:sz w:val="22"/>
          <w:szCs w:val="22"/>
        </w:rPr>
        <w:t xml:space="preserve">The Hunt Board is a Kanban-style workspace view. Hypotheses are presented as cards grouped in columns by status. Cards display the hypothesis title, severity badge, owner avatar, ATT&amp;CK technique count, and evidence count. Analysts can drag cards between columns to trigger status transitions (subject to permission rules).</w:t>
      </w:r>
    </w:p>
    <w:p>
      <w:pPr>
        <w:spacing w:after="80" w:before="80"/>
      </w:pPr>
      <w:r>
        <w:t xml:space="preserve"/>
      </w:r>
    </w:p>
    <w:p>
      <w:pPr>
        <w:spacing w:after="120" w:before="80" w:line="276"/>
      </w:pPr>
      <w:r>
        <w:rPr>
          <w:rFonts w:ascii="Arial" w:cs="Arial" w:eastAsia="Arial" w:hAnsi="Arial"/>
          <w:color w:val="1A1A1A"/>
          <w:sz w:val="22"/>
          <w:szCs w:val="22"/>
        </w:rPr>
        <w:t xml:space="preserve">Hunt Board views are per-workspace and can be filtered by analyst, severity, ATT&amp;CK tactic, source integration, and date range. Saved filter presets allow teams to create personalised views (e.g. a SOC shift lead's view showing all in_hunt hypotheses assigned to their team).</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6.4 Evidence Management</w:t>
      </w:r>
    </w:p>
    <w:p>
      <w:pPr>
        <w:pStyle w:val="ListParagraph"/>
        <w:numPr>
          <w:ilvl w:val="0"/>
          <w:numId w:val="2"/>
        </w:numPr>
        <w:spacing w:after="60" w:before="60" w:line="260"/>
      </w:pPr>
      <w:r>
        <w:rPr>
          <w:rFonts w:ascii="Arial" w:cs="Arial" w:eastAsia="Arial" w:hAnsi="Arial"/>
          <w:color w:val="1A1A1A"/>
          <w:sz w:val="22"/>
          <w:szCs w:val="22"/>
        </w:rPr>
        <w:t xml:space="preserve">Drag-and-drop file upload with client-side preview for images and text files</w:t>
      </w:r>
    </w:p>
    <w:p>
      <w:pPr>
        <w:pStyle w:val="ListParagraph"/>
        <w:numPr>
          <w:ilvl w:val="0"/>
          <w:numId w:val="2"/>
        </w:numPr>
        <w:spacing w:after="60" w:before="60" w:line="260"/>
      </w:pPr>
      <w:r>
        <w:rPr>
          <w:rFonts w:ascii="Arial" w:cs="Arial" w:eastAsia="Arial" w:hAnsi="Arial"/>
          <w:color w:val="1A1A1A"/>
          <w:sz w:val="22"/>
          <w:szCs w:val="22"/>
        </w:rPr>
        <w:t xml:space="preserve">IOC extraction: paste raw text (logs, emails, reports) and the platform automatically extracts IPs, domains, file hashes, URLs, and email addresses</w:t>
      </w:r>
    </w:p>
    <w:p>
      <w:pPr>
        <w:pStyle w:val="ListParagraph"/>
        <w:numPr>
          <w:ilvl w:val="0"/>
          <w:numId w:val="2"/>
        </w:numPr>
        <w:spacing w:after="60" w:before="60" w:line="260"/>
      </w:pPr>
      <w:r>
        <w:rPr>
          <w:rFonts w:ascii="Arial" w:cs="Arial" w:eastAsia="Arial" w:hAnsi="Arial"/>
          <w:color w:val="1A1A1A"/>
          <w:sz w:val="22"/>
          <w:szCs w:val="22"/>
        </w:rPr>
        <w:t xml:space="preserve">SIEM query linking: reference a saved SIEM search by URL or ID; the evidence item displays the query text and a link back to the SIEM</w:t>
      </w:r>
    </w:p>
    <w:p>
      <w:pPr>
        <w:pStyle w:val="ListParagraph"/>
        <w:numPr>
          <w:ilvl w:val="0"/>
          <w:numId w:val="2"/>
        </w:numPr>
        <w:spacing w:after="60" w:before="60" w:line="260"/>
      </w:pPr>
      <w:r>
        <w:rPr>
          <w:rFonts w:ascii="Arial" w:cs="Arial" w:eastAsia="Arial" w:hAnsi="Arial"/>
          <w:color w:val="1A1A1A"/>
          <w:sz w:val="22"/>
          <w:szCs w:val="22"/>
        </w:rPr>
        <w:t xml:space="preserve">Log snippet capture: paste raw log lines with automatic timestamp parsing and source labelling</w:t>
      </w:r>
    </w:p>
    <w:p>
      <w:pPr>
        <w:pStyle w:val="ListParagraph"/>
        <w:numPr>
          <w:ilvl w:val="0"/>
          <w:numId w:val="2"/>
        </w:numPr>
        <w:spacing w:after="60" w:before="60" w:line="260"/>
      </w:pPr>
      <w:r>
        <w:rPr>
          <w:rFonts w:ascii="Arial" w:cs="Arial" w:eastAsia="Arial" w:hAnsi="Arial"/>
          <w:color w:val="1A1A1A"/>
          <w:sz w:val="22"/>
          <w:szCs w:val="22"/>
        </w:rPr>
        <w:t xml:space="preserve">Screenshot annotation: basic browser-side annotation tools (rectangle, arrow, text label) before upload</w:t>
      </w:r>
    </w:p>
    <w:p>
      <w:pPr>
        <w:pStyle w:val="ListParagraph"/>
        <w:numPr>
          <w:ilvl w:val="0"/>
          <w:numId w:val="2"/>
        </w:numPr>
        <w:spacing w:after="60" w:before="60" w:line="260"/>
      </w:pPr>
      <w:r>
        <w:rPr>
          <w:rFonts w:ascii="Arial" w:cs="Arial" w:eastAsia="Arial" w:hAnsi="Arial"/>
          <w:color w:val="1A1A1A"/>
          <w:sz w:val="22"/>
          <w:szCs w:val="22"/>
        </w:rPr>
        <w:t xml:space="preserve">Evidence versioning: all evidence is immutable. Submitting updated evidence creates a new version record linked to the original. Old versions are retained and visible in the evidence history</w:t>
      </w:r>
    </w:p>
    <w:p>
      <w:pPr>
        <w:pStyle w:val="ListParagraph"/>
        <w:numPr>
          <w:ilvl w:val="0"/>
          <w:numId w:val="2"/>
        </w:numPr>
        <w:spacing w:after="60" w:before="60" w:line="260"/>
      </w:pPr>
      <w:r>
        <w:rPr>
          <w:rFonts w:ascii="Arial" w:cs="Arial" w:eastAsia="Arial" w:hAnsi="Arial"/>
          <w:color w:val="1A1A1A"/>
          <w:sz w:val="22"/>
          <w:szCs w:val="22"/>
        </w:rPr>
        <w:t xml:space="preserve">Evidence weight: analysts assign a weight (decisive, supporting, weak, refuting) to each evidence item; the hypothesis scoring model uses these weights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6.5 Scoring Model</w:t>
      </w:r>
    </w:p>
    <w:p>
      <w:pPr>
        <w:spacing w:after="120" w:before="80" w:line="276"/>
      </w:pPr>
      <w:r>
        <w:rPr>
          <w:rFonts w:ascii="Arial" w:cs="Arial" w:eastAsia="Arial" w:hAnsi="Arial"/>
          <w:color w:val="1A1A1A"/>
          <w:sz w:val="22"/>
          <w:szCs w:val="22"/>
        </w:rPr>
        <w:t xml:space="preserve">The hypothesis confidence score is a composite of three weighted factors, configurable per workspace. Default weighting is: analyst confidence 40%, evidence quality 40%, signal strength 20%.</w:t>
      </w:r>
    </w:p>
    <w:p>
      <w:pPr>
        <w:spacing w:after="80" w:before="80"/>
      </w:pPr>
      <w:r>
        <w:t xml:space="preserve"/>
      </w:r>
    </w:p>
    <w:p>
      <w:pPr>
        <w:pStyle w:val="ListParagraph"/>
        <w:numPr>
          <w:ilvl w:val="0"/>
          <w:numId w:val="2"/>
        </w:numPr>
        <w:spacing w:after="60" w:before="60" w:line="260"/>
      </w:pPr>
      <w:r>
        <w:rPr>
          <w:rFonts w:ascii="Arial" w:cs="Arial" w:eastAsia="Arial" w:hAnsi="Arial"/>
          <w:color w:val="1A1A1A"/>
          <w:sz w:val="22"/>
          <w:szCs w:val="22"/>
        </w:rPr>
        <w:t xml:space="preserve">Analyst confidence: a 1–5 rating set manually by the assigned analyst based on their professional judgement</w:t>
      </w:r>
    </w:p>
    <w:p>
      <w:pPr>
        <w:pStyle w:val="ListParagraph"/>
        <w:numPr>
          <w:ilvl w:val="0"/>
          <w:numId w:val="2"/>
        </w:numPr>
        <w:spacing w:after="60" w:before="60" w:line="260"/>
      </w:pPr>
      <w:r>
        <w:rPr>
          <w:rFonts w:ascii="Arial" w:cs="Arial" w:eastAsia="Arial" w:hAnsi="Arial"/>
          <w:color w:val="1A1A1A"/>
          <w:sz w:val="22"/>
          <w:szCs w:val="22"/>
        </w:rPr>
        <w:t xml:space="preserve">Evidence quality: computed from the count, type, and analyst-assigned weight of attached evidence items. Decisive evidence items contribute more than weak ones; corroborating evidence of multiple independent types scores higher than multiple items of the same type</w:t>
      </w:r>
    </w:p>
    <w:p>
      <w:pPr>
        <w:pStyle w:val="ListParagraph"/>
        <w:numPr>
          <w:ilvl w:val="0"/>
          <w:numId w:val="2"/>
        </w:numPr>
        <w:spacing w:after="60" w:before="60" w:line="260"/>
      </w:pPr>
      <w:r>
        <w:rPr>
          <w:rFonts w:ascii="Arial" w:cs="Arial" w:eastAsia="Arial" w:hAnsi="Arial"/>
          <w:color w:val="1A1A1A"/>
          <w:sz w:val="22"/>
          <w:szCs w:val="22"/>
        </w:rPr>
        <w:t xml:space="preserve">Signal strength: a normalised score from the originating integration (e.g. Elastic SCM risk score, SIEM rule severity, STIX confidence value)</w:t>
      </w:r>
    </w:p>
    <w:p>
      <w:pPr>
        <w:spacing w:after="80" w:before="80"/>
      </w:pPr>
      <w:r>
        <w:t xml:space="preserve"/>
      </w:r>
    </w:p>
    <w:p>
      <w:pPr>
        <w:spacing w:after="120" w:before="80" w:line="276"/>
      </w:pPr>
      <w:r>
        <w:rPr>
          <w:rFonts w:ascii="Arial" w:cs="Arial" w:eastAsia="Arial" w:hAnsi="Arial"/>
          <w:color w:val="1A1A1A"/>
          <w:sz w:val="22"/>
          <w:szCs w:val="22"/>
        </w:rPr>
        <w:t xml:space="preserve">Workspace administrators can adjust the factor weights, set threshold values that trigger severity re-evaluation, and define custom scoring rules using a simple expression language.</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7. API, Authentication and Access Control</w:t>
      </w:r>
    </w:p>
    <w:p>
      <w:pPr>
        <w:pStyle w:val="Heading2"/>
        <w:spacing w:after="160" w:before="320"/>
      </w:pPr>
      <w:r>
        <w:rPr>
          <w:rFonts w:ascii="Arial" w:cs="Arial" w:eastAsia="Arial" w:hAnsi="Arial"/>
          <w:b/>
          <w:bCs/>
          <w:color w:val="2E6DA4"/>
          <w:sz w:val="26"/>
          <w:szCs w:val="26"/>
        </w:rPr>
        <w:t xml:space="preserve">7.1 REST API</w:t>
      </w:r>
    </w:p>
    <w:p>
      <w:pPr>
        <w:spacing w:after="120" w:before="80" w:line="276"/>
      </w:pPr>
      <w:r>
        <w:rPr>
          <w:rFonts w:ascii="Arial" w:cs="Arial" w:eastAsia="Arial" w:hAnsi="Arial"/>
          <w:color w:val="1A1A1A"/>
          <w:sz w:val="22"/>
          <w:szCs w:val="22"/>
        </w:rPr>
        <w:t xml:space="preserve">THMP exposes a comprehensive versioned REST API (v1). All frontend functionality is implemented via the API — there is no private internal route. The API is fully documented using OpenAPI 3.1 and served at /api/docs in every deployment. A Postman collection is maintained alongside the OpenAPI spec.</w:t>
      </w:r>
    </w:p>
    <w:p>
      <w:pPr>
        <w:spacing w:after="80" w:before="80"/>
      </w:pPr>
      <w:r>
        <w:t xml:space="preserve"/>
      </w:r>
    </w:p>
    <w:p>
      <w:pPr>
        <w:spacing w:after="120" w:before="80" w:line="276"/>
      </w:pPr>
      <w:r>
        <w:rPr>
          <w:rFonts w:ascii="Arial" w:cs="Arial" w:eastAsia="Arial" w:hAnsi="Arial"/>
          <w:color w:val="1A1A1A"/>
          <w:sz w:val="22"/>
          <w:szCs w:val="22"/>
        </w:rPr>
        <w:t xml:space="preserve">Key API capabilities: full CRUD for all entities, bulk operations for evidence import and hypothesis ingestion, streaming endpoints for the activity feed and notification stream, and webhook management. The API supports pagination (cursor-based for large result sets), field selection, and filtering on all list endpoints.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7.2 Authentication</w:t>
      </w:r>
    </w:p>
    <w:p>
      <w:pPr>
        <w:pStyle w:val="ListParagraph"/>
        <w:numPr>
          <w:ilvl w:val="0"/>
          <w:numId w:val="2"/>
        </w:numPr>
        <w:spacing w:after="60" w:before="60" w:line="260"/>
      </w:pPr>
      <w:r>
        <w:rPr>
          <w:rFonts w:ascii="Arial" w:cs="Arial" w:eastAsia="Arial" w:hAnsi="Arial"/>
          <w:color w:val="1A1A1A"/>
          <w:sz w:val="22"/>
          <w:szCs w:val="22"/>
        </w:rPr>
        <w:t xml:space="preserve">JWT-based stateless authentication with short-lived access tokens (15 minutes) and long-lived refresh tokens (7 days, rotated on use)</w:t>
      </w:r>
    </w:p>
    <w:p>
      <w:pPr>
        <w:pStyle w:val="ListParagraph"/>
        <w:numPr>
          <w:ilvl w:val="0"/>
          <w:numId w:val="2"/>
        </w:numPr>
        <w:spacing w:after="60" w:before="60" w:line="260"/>
      </w:pPr>
      <w:r>
        <w:rPr>
          <w:rFonts w:ascii="Arial" w:cs="Arial" w:eastAsia="Arial" w:hAnsi="Arial"/>
          <w:color w:val="1A1A1A"/>
          <w:sz w:val="22"/>
          <w:szCs w:val="22"/>
        </w:rPr>
        <w:t xml:space="preserve">SAML 2.0 for enterprise SSO — supports any compliant IdP (Okta, Azure AD, Ping, Google Workspace, ADFS)</w:t>
      </w:r>
    </w:p>
    <w:p>
      <w:pPr>
        <w:pStyle w:val="ListParagraph"/>
        <w:numPr>
          <w:ilvl w:val="0"/>
          <w:numId w:val="2"/>
        </w:numPr>
        <w:spacing w:after="60" w:before="60" w:line="260"/>
      </w:pPr>
      <w:r>
        <w:rPr>
          <w:rFonts w:ascii="Arial" w:cs="Arial" w:eastAsia="Arial" w:hAnsi="Arial"/>
          <w:color w:val="1A1A1A"/>
          <w:sz w:val="22"/>
          <w:szCs w:val="22"/>
        </w:rPr>
        <w:t xml:space="preserve">OIDC / OAuth 2.0 for modern IdP integration</w:t>
      </w:r>
    </w:p>
    <w:p>
      <w:pPr>
        <w:pStyle w:val="ListParagraph"/>
        <w:numPr>
          <w:ilvl w:val="0"/>
          <w:numId w:val="2"/>
        </w:numPr>
        <w:spacing w:after="60" w:before="60" w:line="260"/>
      </w:pPr>
      <w:r>
        <w:rPr>
          <w:rFonts w:ascii="Arial" w:cs="Arial" w:eastAsia="Arial" w:hAnsi="Arial"/>
          <w:color w:val="1A1A1A"/>
          <w:sz w:val="22"/>
          <w:szCs w:val="22"/>
        </w:rPr>
        <w:t xml:space="preserve">Local username/password for installations without SSO (bcrypt hashing, HIBP breach check on password set)</w:t>
      </w:r>
    </w:p>
    <w:p>
      <w:pPr>
        <w:pStyle w:val="ListParagraph"/>
        <w:numPr>
          <w:ilvl w:val="0"/>
          <w:numId w:val="2"/>
        </w:numPr>
        <w:spacing w:after="60" w:before="60" w:line="260"/>
      </w:pPr>
      <w:r>
        <w:rPr>
          <w:rFonts w:ascii="Arial" w:cs="Arial" w:eastAsia="Arial" w:hAnsi="Arial"/>
          <w:color w:val="1A1A1A"/>
          <w:sz w:val="22"/>
          <w:szCs w:val="22"/>
        </w:rPr>
        <w:t xml:space="preserve">Per-user API key generation for service account and CLI usage</w:t>
      </w:r>
    </w:p>
    <w:p>
      <w:pPr>
        <w:pStyle w:val="ListParagraph"/>
        <w:numPr>
          <w:ilvl w:val="0"/>
          <w:numId w:val="2"/>
        </w:numPr>
        <w:spacing w:after="60" w:before="60" w:line="260"/>
      </w:pPr>
      <w:r>
        <w:rPr>
          <w:rFonts w:ascii="Arial" w:cs="Arial" w:eastAsia="Arial" w:hAnsi="Arial"/>
          <w:color w:val="1A1A1A"/>
          <w:sz w:val="22"/>
          <w:szCs w:val="22"/>
        </w:rPr>
        <w:t xml:space="preserve">MFA support via TOTP (RFC 6238) with backup codes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7.3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edit, comment on hypotheses in assigned workspace. Submit evidence. View hunts.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Hunt Lead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Analyst capabilities. Create and manage hunts. Transition hypothesis status. Assign analysts.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 Analyst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Analyst capabilities. Manage integration configurations. Import/export STIX.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Hunt Lead capabilities. Access workspace dashboards. Export reports. Archive hypotheses.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platform access. Manage users, workspaces, roles, and global integrations. Access audit logs.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Read Only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View-only access to all entities in assigned workspace. No write operations.</w:t>
            </w:r>
          </w:p>
        </w:tc>
      </w:tr>
    </w:tbl>
    <w:p>
      <w:pPr>
        <w:spacing w:after="80" w:before="80"/>
      </w:pPr>
      <w:r>
        <w:t xml:space="preserve"/>
      </w:r>
    </w:p>
    <w:p>
      <w:pPr>
        <w:spacing w:after="120" w:before="80" w:line="276"/>
      </w:pPr>
      <w:r>
        <w:rPr>
          <w:rFonts w:ascii="Arial" w:cs="Arial" w:eastAsia="Arial" w:hAnsi="Arial"/>
          <w:color w:val="1A1A1A"/>
          <w:sz w:val="22"/>
          <w:szCs w:val="22"/>
        </w:rPr>
        <w:t xml:space="preserve">Roles are assigned per workspace — an analyst can be a Hunt Lead in one workspace and a Read Only viewer in another. This supports use cases like shared red team/blue team visibility with asymmetric write permissions.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7.4 Audit Logging</w:t>
      </w:r>
    </w:p>
    <w:p>
      <w:pPr>
        <w:spacing w:after="120" w:before="80" w:line="276"/>
      </w:pPr>
      <w:r>
        <w:rPr>
          <w:rFonts w:ascii="Arial" w:cs="Arial" w:eastAsia="Arial" w:hAnsi="Arial"/>
          <w:color w:val="1A1A1A"/>
          <w:sz w:val="22"/>
          <w:szCs w:val="22"/>
        </w:rPr>
        <w:t xml:space="preserve">Every API mutation is recorded in the audit log with the authenticated user identity, timestamp, source IP, endpoint, entity type and ID, and a JSON diff showing the exact fields changed. The audit log is append-only at the application layer. Attempts to modify audit log records are themselves logged.</w:t>
      </w:r>
    </w:p>
    <w:p>
      <w:pPr>
        <w:spacing w:after="80" w:before="80"/>
      </w:pPr>
      <w:r>
        <w:t xml:space="preserve"/>
      </w:r>
    </w:p>
    <w:p>
      <w:pPr>
        <w:spacing w:after="120" w:before="80" w:line="276"/>
      </w:pPr>
      <w:r>
        <w:rPr>
          <w:rFonts w:ascii="Arial" w:cs="Arial" w:eastAsia="Arial" w:hAnsi="Arial"/>
          <w:color w:val="1A1A1A"/>
          <w:sz w:val="22"/>
          <w:szCs w:val="22"/>
        </w:rPr>
        <w:t xml:space="preserve">The audit log is queryable by Admins through a dedicated UI and API endpoint with filtering by user, entity type, time range, and action type. Audit log exports are available in JSON and CSV for compliance reporting. The audit log retention period is configurable (default: 2 years).</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8. Reporting and Export</w:t>
      </w:r>
    </w:p>
    <w:p>
      <w:pPr>
        <w:pStyle w:val="Heading2"/>
        <w:spacing w:after="160" w:before="320"/>
      </w:pPr>
      <w:r>
        <w:rPr>
          <w:rFonts w:ascii="Arial" w:cs="Arial" w:eastAsia="Arial" w:hAnsi="Arial"/>
          <w:b/>
          <w:bCs/>
          <w:color w:val="2E6DA4"/>
          <w:sz w:val="26"/>
          <w:szCs w:val="26"/>
        </w:rPr>
        <w:t xml:space="preserve">8.1 PDF Reports</w:t>
      </w:r>
    </w:p>
    <w:p>
      <w:pPr>
        <w:spacing w:after="120" w:before="80" w:line="276"/>
      </w:pPr>
      <w:r>
        <w:rPr>
          <w:rFonts w:ascii="Arial" w:cs="Arial" w:eastAsia="Arial" w:hAnsi="Arial"/>
          <w:color w:val="1A1A1A"/>
          <w:sz w:val="22"/>
          <w:szCs w:val="22"/>
        </w:rPr>
        <w:t xml:space="preserve">The Reporting Service generates structured PDF reports using a template engine. Templates are customisable per workspace to include organisation branding (logo, colour scheme, header/footer text). Standard report types include:</w:t>
      </w:r>
    </w:p>
    <w:p>
      <w:pPr>
        <w:spacing w:after="80" w:before="80"/>
      </w:pPr>
      <w:r>
        <w:t xml:space="preserve"/>
      </w:r>
    </w:p>
    <w:p>
      <w:pPr>
        <w:pStyle w:val="ListParagraph"/>
        <w:numPr>
          <w:ilvl w:val="0"/>
          <w:numId w:val="2"/>
        </w:numPr>
        <w:spacing w:after="60" w:before="60" w:line="260"/>
      </w:pPr>
      <w:r>
        <w:rPr>
          <w:rFonts w:ascii="Arial" w:cs="Arial" w:eastAsia="Arial" w:hAnsi="Arial"/>
          <w:color w:val="1A1A1A"/>
          <w:sz w:val="22"/>
          <w:szCs w:val="22"/>
        </w:rPr>
        <w:t xml:space="preserve">Hypothesis Report: full detail for a single hypothesis including description, timeline, evidence summary, ATT&amp;CK mapping, and finding narrative</w:t>
      </w:r>
    </w:p>
    <w:p>
      <w:pPr>
        <w:pStyle w:val="ListParagraph"/>
        <w:numPr>
          <w:ilvl w:val="0"/>
          <w:numId w:val="2"/>
        </w:numPr>
        <w:spacing w:after="60" w:before="60" w:line="260"/>
      </w:pPr>
      <w:r>
        <w:rPr>
          <w:rFonts w:ascii="Arial" w:cs="Arial" w:eastAsia="Arial" w:hAnsi="Arial"/>
          <w:color w:val="1A1A1A"/>
          <w:sz w:val="22"/>
          <w:szCs w:val="22"/>
        </w:rPr>
        <w:t xml:space="preserve">Hunt Report: summary of a completed hunt including all hypotheses, outcomes, and recommended actions</w:t>
      </w:r>
    </w:p>
    <w:p>
      <w:pPr>
        <w:pStyle w:val="ListParagraph"/>
        <w:numPr>
          <w:ilvl w:val="0"/>
          <w:numId w:val="2"/>
        </w:numPr>
        <w:spacing w:after="60" w:before="60" w:line="260"/>
      </w:pPr>
      <w:r>
        <w:rPr>
          <w:rFonts w:ascii="Arial" w:cs="Arial" w:eastAsia="Arial" w:hAnsi="Arial"/>
          <w:color w:val="1A1A1A"/>
          <w:sz w:val="22"/>
          <w:szCs w:val="22"/>
        </w:rPr>
        <w:t xml:space="preserve">Coverage Report: ATT&amp;CK coverage analysis with heatmap, gap analysis, and trend data</w:t>
      </w:r>
    </w:p>
    <w:p>
      <w:pPr>
        <w:pStyle w:val="ListParagraph"/>
        <w:numPr>
          <w:ilvl w:val="0"/>
          <w:numId w:val="2"/>
        </w:numPr>
        <w:spacing w:after="60" w:before="60" w:line="260"/>
      </w:pPr>
      <w:r>
        <w:rPr>
          <w:rFonts w:ascii="Arial" w:cs="Arial" w:eastAsia="Arial" w:hAnsi="Arial"/>
          <w:color w:val="1A1A1A"/>
          <w:sz w:val="22"/>
          <w:szCs w:val="22"/>
        </w:rPr>
        <w:t xml:space="preserve">Weekly/Monthly Summary: configurable digest of hypothesis activity, new validations, and coverage changes over a period</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8.2 STIX 2.1 Export</w:t>
      </w:r>
    </w:p>
    <w:p>
      <w:pPr>
        <w:spacing w:after="120" w:before="80" w:line="276"/>
      </w:pPr>
      <w:r>
        <w:rPr>
          <w:rFonts w:ascii="Arial" w:cs="Arial" w:eastAsia="Arial" w:hAnsi="Arial"/>
          <w:color w:val="1A1A1A"/>
          <w:sz w:val="22"/>
          <w:szCs w:val="22"/>
        </w:rPr>
        <w:t xml:space="preserve">Validated Hypotheses and Findings can be exported as STIX 2.1 bundles. The export maps THMP entities to STIX objects: Findings become Reports, mapped ATT&amp;CK techniques become Attack Patterns with MITRE external references, IOCs become Indicators with pattern expressions, and Threat Actor context (if present) becomes a Threat Actor object.</w:t>
      </w:r>
    </w:p>
    <w:p>
      <w:pPr>
        <w:spacing w:after="80" w:before="80"/>
      </w:pPr>
      <w:r>
        <w:t xml:space="preserve"/>
      </w:r>
    </w:p>
    <w:p>
      <w:pPr>
        <w:spacing w:after="120" w:before="80" w:line="276"/>
      </w:pPr>
      <w:r>
        <w:rPr>
          <w:rFonts w:ascii="Arial" w:cs="Arial" w:eastAsia="Arial" w:hAnsi="Arial"/>
          <w:color w:val="1A1A1A"/>
          <w:sz w:val="22"/>
          <w:szCs w:val="22"/>
        </w:rPr>
        <w:t xml:space="preserve">STIX exports can be imported into any STIX-compatible platform — MISP, OpenCTI, Splunk, Sentinel — for downstream use. This enables THMP to act as a structured threat intelligence production tool, not just a consumption tool.</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8.3 API-Driven Export</w:t>
      </w:r>
    </w:p>
    <w:p>
      <w:pPr>
        <w:spacing w:after="120" w:before="80" w:line="276"/>
      </w:pPr>
      <w:r>
        <w:rPr>
          <w:rFonts w:ascii="Arial" w:cs="Arial" w:eastAsia="Arial" w:hAnsi="Arial"/>
          <w:color w:val="1A1A1A"/>
          <w:sz w:val="22"/>
          <w:szCs w:val="22"/>
        </w:rPr>
        <w:t xml:space="preserve">All report data is available via API endpoints returning structured JSON, enabling integration with data warehouses, BI tools (Grafana, Kibana, PowerBI), and automated reporting pipelines.</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9. Deployment and Operations</w:t>
      </w:r>
    </w:p>
    <w:p>
      <w:pPr>
        <w:pStyle w:val="Heading2"/>
        <w:spacing w:after="160" w:before="320"/>
      </w:pPr>
      <w:r>
        <w:rPr>
          <w:rFonts w:ascii="Arial" w:cs="Arial" w:eastAsia="Arial" w:hAnsi="Arial"/>
          <w:b/>
          <w:bCs/>
          <w:color w:val="2E6DA4"/>
          <w:sz w:val="26"/>
          <w:szCs w:val="26"/>
        </w:rPr>
        <w:t xml:space="preserve">9.1 Docker Compose (Self-Hosted Single Host)</w:t>
      </w:r>
    </w:p>
    <w:p>
      <w:pPr>
        <w:spacing w:after="120" w:before="80" w:line="276"/>
      </w:pPr>
      <w:r>
        <w:rPr>
          <w:rFonts w:ascii="Arial" w:cs="Arial" w:eastAsia="Arial" w:hAnsi="Arial"/>
          <w:color w:val="1A1A1A"/>
          <w:sz w:val="22"/>
          <w:szCs w:val="22"/>
        </w:rPr>
        <w:t xml:space="preserve">The primary getting-started path. A single docker-compose.yml at the repository root starts all services: the five platform services, API gateway, PostgreSQL, Elasticsearch/OpenSearch, Redis, MinIO, and the frontend static file server. Configured via a .env file with sensible defaults. Expected startup time on a modern server: under 2 minutes.</w:t>
      </w:r>
    </w:p>
    <w:p>
      <w:pPr>
        <w:spacing w:after="80" w:before="80"/>
      </w:pPr>
      <w:r>
        <w:t xml:space="preserve"/>
      </w:r>
    </w:p>
    <w:p>
      <w:pPr>
        <w:spacing w:after="120" w:before="80" w:line="276"/>
      </w:pPr>
      <w:r>
        <w:rPr>
          <w:rFonts w:ascii="Arial" w:cs="Arial" w:eastAsia="Arial" w:hAnsi="Arial"/>
          <w:color w:val="1A1A1A"/>
          <w:sz w:val="22"/>
          <w:szCs w:val="22"/>
        </w:rPr>
        <w:t xml:space="preserve">Recommended minimum spec for a production-grade single-host deployment: 8 vCPU, 32 GB RAM, 500 GB SSD. Suitable for organisations with up to approximately 50 concurrent users and moderate ingestion volumes.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9.2 Kubernetes / Helm</w:t>
      </w:r>
    </w:p>
    <w:p>
      <w:pPr>
        <w:spacing w:after="120" w:before="80" w:line="276"/>
      </w:pPr>
      <w:r>
        <w:rPr>
          <w:rFonts w:ascii="Arial" w:cs="Arial" w:eastAsia="Arial" w:hAnsi="Arial"/>
          <w:color w:val="1A1A1A"/>
          <w:sz w:val="22"/>
          <w:szCs w:val="22"/>
        </w:rPr>
        <w:t xml:space="preserve">The production path for enterprise deployments. A fully parameterised Helm chart is provided with the repository. Key features:</w:t>
      </w:r>
    </w:p>
    <w:p>
      <w:pPr>
        <w:spacing w:after="80" w:before="80"/>
      </w:pPr>
      <w:r>
        <w:t xml:space="preserve"/>
      </w:r>
    </w:p>
    <w:p>
      <w:pPr>
        <w:pStyle w:val="ListParagraph"/>
        <w:numPr>
          <w:ilvl w:val="0"/>
          <w:numId w:val="2"/>
        </w:numPr>
        <w:spacing w:after="60" w:before="60" w:line="260"/>
      </w:pPr>
      <w:r>
        <w:rPr>
          <w:rFonts w:ascii="Arial" w:cs="Arial" w:eastAsia="Arial" w:hAnsi="Arial"/>
          <w:color w:val="1A1A1A"/>
          <w:sz w:val="22"/>
          <w:szCs w:val="22"/>
        </w:rPr>
        <w:t xml:space="preserve">Horizontal Pod Autoscaler (HPA) configuration for all stateless services</w:t>
      </w:r>
    </w:p>
    <w:p>
      <w:pPr>
        <w:pStyle w:val="ListParagraph"/>
        <w:numPr>
          <w:ilvl w:val="0"/>
          <w:numId w:val="2"/>
        </w:numPr>
        <w:spacing w:after="60" w:before="60" w:line="260"/>
      </w:pPr>
      <w:r>
        <w:rPr>
          <w:rFonts w:ascii="Arial" w:cs="Arial" w:eastAsia="Arial" w:hAnsi="Arial"/>
          <w:color w:val="1A1A1A"/>
          <w:sz w:val="22"/>
          <w:szCs w:val="22"/>
        </w:rPr>
        <w:t xml:space="preserve">PostgreSQL high availability using Bitnami PostgreSQL HA chart or Zalando Postgres Operator</w:t>
      </w:r>
    </w:p>
    <w:p>
      <w:pPr>
        <w:pStyle w:val="ListParagraph"/>
        <w:numPr>
          <w:ilvl w:val="0"/>
          <w:numId w:val="2"/>
        </w:numPr>
        <w:spacing w:after="60" w:before="60" w:line="260"/>
      </w:pPr>
      <w:r>
        <w:rPr>
          <w:rFonts w:ascii="Arial" w:cs="Arial" w:eastAsia="Arial" w:hAnsi="Arial"/>
          <w:color w:val="1A1A1A"/>
          <w:sz w:val="22"/>
          <w:szCs w:val="22"/>
        </w:rPr>
        <w:t xml:space="preserve">Redis Cluster mode with Sentinel failover</w:t>
      </w:r>
    </w:p>
    <w:p>
      <w:pPr>
        <w:pStyle w:val="ListParagraph"/>
        <w:numPr>
          <w:ilvl w:val="0"/>
          <w:numId w:val="2"/>
        </w:numPr>
        <w:spacing w:after="60" w:before="60" w:line="260"/>
      </w:pPr>
      <w:r>
        <w:rPr>
          <w:rFonts w:ascii="Arial" w:cs="Arial" w:eastAsia="Arial" w:hAnsi="Arial"/>
          <w:color w:val="1A1A1A"/>
          <w:sz w:val="22"/>
          <w:szCs w:val="22"/>
        </w:rPr>
        <w:t xml:space="preserve">Ingress configuration for NGINX and Traefik with TLS termination</w:t>
      </w:r>
    </w:p>
    <w:p>
      <w:pPr>
        <w:pStyle w:val="ListParagraph"/>
        <w:numPr>
          <w:ilvl w:val="0"/>
          <w:numId w:val="2"/>
        </w:numPr>
        <w:spacing w:after="60" w:before="60" w:line="260"/>
      </w:pPr>
      <w:r>
        <w:rPr>
          <w:rFonts w:ascii="Arial" w:cs="Arial" w:eastAsia="Arial" w:hAnsi="Arial"/>
          <w:color w:val="1A1A1A"/>
          <w:sz w:val="22"/>
          <w:szCs w:val="22"/>
        </w:rPr>
        <w:t xml:space="preserve">Pod Disruption Budgets ensuring zero-downtime deployments</w:t>
      </w:r>
    </w:p>
    <w:p>
      <w:pPr>
        <w:pStyle w:val="ListParagraph"/>
        <w:numPr>
          <w:ilvl w:val="0"/>
          <w:numId w:val="2"/>
        </w:numPr>
        <w:spacing w:after="60" w:before="60" w:line="260"/>
      </w:pPr>
      <w:r>
        <w:rPr>
          <w:rFonts w:ascii="Arial" w:cs="Arial" w:eastAsia="Arial" w:hAnsi="Arial"/>
          <w:color w:val="1A1A1A"/>
          <w:sz w:val="22"/>
          <w:szCs w:val="22"/>
        </w:rPr>
        <w:t xml:space="preserve">NetworkPolicy manifests for network-level service isolation</w:t>
      </w:r>
    </w:p>
    <w:p>
      <w:pPr>
        <w:pStyle w:val="ListParagraph"/>
        <w:numPr>
          <w:ilvl w:val="0"/>
          <w:numId w:val="2"/>
        </w:numPr>
        <w:spacing w:after="60" w:before="60" w:line="260"/>
      </w:pPr>
      <w:r>
        <w:rPr>
          <w:rFonts w:ascii="Arial" w:cs="Arial" w:eastAsia="Arial" w:hAnsi="Arial"/>
          <w:color w:val="1A1A1A"/>
          <w:sz w:val="22"/>
          <w:szCs w:val="22"/>
        </w:rPr>
        <w:t xml:space="preserve">Helm values files for common deployment profiles: small (2–10 users), medium (10–100 users), large (100+ users)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9.3 Cloud-Native Deployments</w:t>
      </w:r>
    </w:p>
    <w:p>
      <w:pPr>
        <w:spacing w:after="120" w:before="80" w:line="276"/>
      </w:pPr>
      <w:r>
        <w:rPr>
          <w:rFonts w:ascii="Arial" w:cs="Arial" w:eastAsia="Arial" w:hAnsi="Arial"/>
          <w:color w:val="1A1A1A"/>
          <w:sz w:val="22"/>
          <w:szCs w:val="22"/>
        </w:rPr>
        <w:t xml:space="preserve">Terraform modules are provided for AWS, Azure, and GCP. Each module provisions managed equivalents of the self-hosted storage stack, reducing operational burden for cloud-native enterprises. Detailed documentation covers the service mappings and any behaviour differences from the self-hosted stack.</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9.4 Configuration Management</w:t>
      </w:r>
    </w:p>
    <w:p>
      <w:pPr>
        <w:spacing w:after="120" w:before="80" w:line="276"/>
      </w:pPr>
      <w:r>
        <w:rPr>
          <w:rFonts w:ascii="Arial" w:cs="Arial" w:eastAsia="Arial" w:hAnsi="Arial"/>
          <w:color w:val="1A1A1A"/>
          <w:sz w:val="22"/>
          <w:szCs w:val="22"/>
        </w:rPr>
        <w:t xml:space="preserve">All platform configuration is managed through environment variables following the Twelve-Factor App pattern. Sensitive values (database passwords, API keys, encryption keys) are never stored in environment variables directly in production — the platform supports reading secrets from Kubernetes Secrets, HashiCorp Vault, AWS Secrets Manager, Azure Key Vault, and GCP Secret Manager.</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9.5 Upgrades</w:t>
      </w:r>
    </w:p>
    <w:p>
      <w:pPr>
        <w:spacing w:after="120" w:before="80" w:line="276"/>
      </w:pPr>
      <w:r>
        <w:rPr>
          <w:rFonts w:ascii="Arial" w:cs="Arial" w:eastAsia="Arial" w:hAnsi="Arial"/>
          <w:color w:val="1A1A1A"/>
          <w:sz w:val="22"/>
          <w:szCs w:val="22"/>
        </w:rPr>
        <w:t xml:space="preserve">Database schema changes are managed with Alembic (SQLAlchemy migrations). All migrations are written to be backward-compatible with the previous minor version, enabling zero-downtime rolling upgrades. A migration dry-run mode is available to preview changes before application. The changelog documents the migration steps required for each release.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9.6 Observability</w:t>
      </w:r>
    </w:p>
    <w:p>
      <w:pPr>
        <w:pStyle w:val="ListParagraph"/>
        <w:numPr>
          <w:ilvl w:val="0"/>
          <w:numId w:val="2"/>
        </w:numPr>
        <w:spacing w:after="60" w:before="60" w:line="260"/>
      </w:pPr>
      <w:r>
        <w:rPr>
          <w:rFonts w:ascii="Arial" w:cs="Arial" w:eastAsia="Arial" w:hAnsi="Arial"/>
          <w:color w:val="1A1A1A"/>
          <w:sz w:val="22"/>
          <w:szCs w:val="22"/>
        </w:rPr>
        <w:t xml:space="preserve">Structured JSON logging to stdout (12-Factor) with configurable log levels per service</w:t>
      </w:r>
    </w:p>
    <w:p>
      <w:pPr>
        <w:pStyle w:val="ListParagraph"/>
        <w:numPr>
          <w:ilvl w:val="0"/>
          <w:numId w:val="2"/>
        </w:numPr>
        <w:spacing w:after="60" w:before="60" w:line="260"/>
      </w:pPr>
      <w:r>
        <w:rPr>
          <w:rFonts w:ascii="Arial" w:cs="Arial" w:eastAsia="Arial" w:hAnsi="Arial"/>
          <w:color w:val="1A1A1A"/>
          <w:sz w:val="22"/>
          <w:szCs w:val="22"/>
        </w:rPr>
        <w:t xml:space="preserve">Prometheus metrics endpoint on all services (/metrics) with a bundled Grafana dashboard JSON</w:t>
      </w:r>
    </w:p>
    <w:p>
      <w:pPr>
        <w:pStyle w:val="ListParagraph"/>
        <w:numPr>
          <w:ilvl w:val="0"/>
          <w:numId w:val="2"/>
        </w:numPr>
        <w:spacing w:after="60" w:before="60" w:line="260"/>
      </w:pPr>
      <w:r>
        <w:rPr>
          <w:rFonts w:ascii="Arial" w:cs="Arial" w:eastAsia="Arial" w:hAnsi="Arial"/>
          <w:color w:val="1A1A1A"/>
          <w:sz w:val="22"/>
          <w:szCs w:val="22"/>
        </w:rPr>
        <w:t xml:space="preserve">Distributed tracing via OpenTelemetry with Jaeger-compatible export</w:t>
      </w:r>
    </w:p>
    <w:p>
      <w:pPr>
        <w:pStyle w:val="ListParagraph"/>
        <w:numPr>
          <w:ilvl w:val="0"/>
          <w:numId w:val="2"/>
        </w:numPr>
        <w:spacing w:after="60" w:before="60" w:line="260"/>
      </w:pPr>
      <w:r>
        <w:rPr>
          <w:rFonts w:ascii="Arial" w:cs="Arial" w:eastAsia="Arial" w:hAnsi="Arial"/>
          <w:color w:val="1A1A1A"/>
          <w:sz w:val="22"/>
          <w:szCs w:val="22"/>
        </w:rPr>
        <w:t xml:space="preserve">Health check endpoints (/health/live and /health/ready) for Kubernetes probes</w:t>
      </w:r>
    </w:p>
    <w:p>
      <w:pPr>
        <w:pStyle w:val="ListParagraph"/>
        <w:numPr>
          <w:ilvl w:val="0"/>
          <w:numId w:val="2"/>
        </w:numPr>
        <w:spacing w:after="60" w:before="60" w:line="260"/>
      </w:pPr>
      <w:r>
        <w:rPr>
          <w:rFonts w:ascii="Arial" w:cs="Arial" w:eastAsia="Arial" w:hAnsi="Arial"/>
          <w:color w:val="1A1A1A"/>
          <w:sz w:val="22"/>
          <w:szCs w:val="22"/>
        </w:rPr>
        <w:t xml:space="preserve">Alert rules for critical conditions: service down, database connection pool exhaustion, ingestion queue depth, failed authentication rate</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10. Security Posture</w:t>
      </w:r>
    </w:p>
    <w:p>
      <w:pPr>
        <w:spacing w:after="120" w:before="80" w:line="276"/>
      </w:pPr>
      <w:r>
        <w:rPr>
          <w:rFonts w:ascii="Arial" w:cs="Arial" w:eastAsia="Arial" w:hAnsi="Arial"/>
          <w:color w:val="1A1A1A"/>
          <w:sz w:val="22"/>
          <w:szCs w:val="22"/>
        </w:rPr>
        <w:t xml:space="preserve">For a platform storing sensitive threat intelligence and security findings, the security of the platform itself is non-negotiable.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10.1 Data Security</w:t>
      </w:r>
    </w:p>
    <w:p>
      <w:pPr>
        <w:pStyle w:val="ListParagraph"/>
        <w:numPr>
          <w:ilvl w:val="0"/>
          <w:numId w:val="2"/>
        </w:numPr>
        <w:spacing w:after="60" w:before="60" w:line="260"/>
      </w:pPr>
      <w:r>
        <w:rPr>
          <w:rFonts w:ascii="Arial" w:cs="Arial" w:eastAsia="Arial" w:hAnsi="Arial"/>
          <w:color w:val="1A1A1A"/>
          <w:sz w:val="22"/>
          <w:szCs w:val="22"/>
        </w:rPr>
        <w:t xml:space="preserve">All data at rest encrypted using AES-256. PostgreSQL: tablespace encryption or storage-level encryption. MinIO: SSE-S3 or SSE-C.</w:t>
      </w:r>
    </w:p>
    <w:p>
      <w:pPr>
        <w:pStyle w:val="ListParagraph"/>
        <w:numPr>
          <w:ilvl w:val="0"/>
          <w:numId w:val="2"/>
        </w:numPr>
        <w:spacing w:after="60" w:before="60" w:line="260"/>
      </w:pPr>
      <w:r>
        <w:rPr>
          <w:rFonts w:ascii="Arial" w:cs="Arial" w:eastAsia="Arial" w:hAnsi="Arial"/>
          <w:color w:val="1A1A1A"/>
          <w:sz w:val="22"/>
          <w:szCs w:val="22"/>
        </w:rPr>
        <w:t xml:space="preserve">All data in transit over TLS 1.2+ minimum. Internal service-to-service traffic uses mTLS in Kubernetes deployments.</w:t>
      </w:r>
    </w:p>
    <w:p>
      <w:pPr>
        <w:pStyle w:val="ListParagraph"/>
        <w:numPr>
          <w:ilvl w:val="0"/>
          <w:numId w:val="2"/>
        </w:numPr>
        <w:spacing w:after="60" w:before="60" w:line="260"/>
      </w:pPr>
      <w:r>
        <w:rPr>
          <w:rFonts w:ascii="Arial" w:cs="Arial" w:eastAsia="Arial" w:hAnsi="Arial"/>
          <w:color w:val="1A1A1A"/>
          <w:sz w:val="22"/>
          <w:szCs w:val="22"/>
        </w:rPr>
        <w:t xml:space="preserve">Integration credentials stored encrypted at rest using application-level envelope encryption (AES-256-GCM with a key stored in the configured secrets manager)</w:t>
      </w:r>
    </w:p>
    <w:p>
      <w:pPr>
        <w:pStyle w:val="ListParagraph"/>
        <w:numPr>
          <w:ilvl w:val="0"/>
          <w:numId w:val="2"/>
        </w:numPr>
        <w:spacing w:after="60" w:before="60" w:line="260"/>
      </w:pPr>
      <w:r>
        <w:rPr>
          <w:rFonts w:ascii="Arial" w:cs="Arial" w:eastAsia="Arial" w:hAnsi="Arial"/>
          <w:color w:val="1A1A1A"/>
          <w:sz w:val="22"/>
          <w:szCs w:val="22"/>
        </w:rPr>
        <w:t xml:space="preserve">PII in user profiles is treated as sensitive and excluded from log output by default</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10.2 Application Security</w:t>
      </w:r>
    </w:p>
    <w:p>
      <w:pPr>
        <w:pStyle w:val="ListParagraph"/>
        <w:numPr>
          <w:ilvl w:val="0"/>
          <w:numId w:val="2"/>
        </w:numPr>
        <w:spacing w:after="60" w:before="60" w:line="260"/>
      </w:pPr>
      <w:r>
        <w:rPr>
          <w:rFonts w:ascii="Arial" w:cs="Arial" w:eastAsia="Arial" w:hAnsi="Arial"/>
          <w:color w:val="1A1A1A"/>
          <w:sz w:val="22"/>
          <w:szCs w:val="22"/>
        </w:rPr>
        <w:t xml:space="preserve">Input validation and sanitisation on all API endpoints using Pydantic models</w:t>
      </w:r>
    </w:p>
    <w:p>
      <w:pPr>
        <w:pStyle w:val="ListParagraph"/>
        <w:numPr>
          <w:ilvl w:val="0"/>
          <w:numId w:val="2"/>
        </w:numPr>
        <w:spacing w:after="60" w:before="60" w:line="260"/>
      </w:pPr>
      <w:r>
        <w:rPr>
          <w:rFonts w:ascii="Arial" w:cs="Arial" w:eastAsia="Arial" w:hAnsi="Arial"/>
          <w:color w:val="1A1A1A"/>
          <w:sz w:val="22"/>
          <w:szCs w:val="22"/>
        </w:rPr>
        <w:t xml:space="preserve">SQL injection prevention via SQLAlchemy parameterised queries exclusively — no raw SQL string concatenation</w:t>
      </w:r>
    </w:p>
    <w:p>
      <w:pPr>
        <w:pStyle w:val="ListParagraph"/>
        <w:numPr>
          <w:ilvl w:val="0"/>
          <w:numId w:val="2"/>
        </w:numPr>
        <w:spacing w:after="60" w:before="60" w:line="260"/>
      </w:pPr>
      <w:r>
        <w:rPr>
          <w:rFonts w:ascii="Arial" w:cs="Arial" w:eastAsia="Arial" w:hAnsi="Arial"/>
          <w:color w:val="1A1A1A"/>
          <w:sz w:val="22"/>
          <w:szCs w:val="22"/>
        </w:rPr>
        <w:t xml:space="preserve">CSRF protection on all state-changing endpoints</w:t>
      </w:r>
    </w:p>
    <w:p>
      <w:pPr>
        <w:pStyle w:val="ListParagraph"/>
        <w:numPr>
          <w:ilvl w:val="0"/>
          <w:numId w:val="2"/>
        </w:numPr>
        <w:spacing w:after="60" w:before="60" w:line="260"/>
      </w:pPr>
      <w:r>
        <w:rPr>
          <w:rFonts w:ascii="Arial" w:cs="Arial" w:eastAsia="Arial" w:hAnsi="Arial"/>
          <w:color w:val="1A1A1A"/>
          <w:sz w:val="22"/>
          <w:szCs w:val="22"/>
        </w:rPr>
        <w:t xml:space="preserve">Rate limiting at the API gateway layer, configurable per endpoint and per user</w:t>
      </w:r>
    </w:p>
    <w:p>
      <w:pPr>
        <w:pStyle w:val="ListParagraph"/>
        <w:numPr>
          <w:ilvl w:val="0"/>
          <w:numId w:val="2"/>
        </w:numPr>
        <w:spacing w:after="60" w:before="60" w:line="260"/>
      </w:pPr>
      <w:r>
        <w:rPr>
          <w:rFonts w:ascii="Arial" w:cs="Arial" w:eastAsia="Arial" w:hAnsi="Arial"/>
          <w:color w:val="1A1A1A"/>
          <w:sz w:val="22"/>
          <w:szCs w:val="22"/>
        </w:rPr>
        <w:t xml:space="preserve">File upload scanning: all uploaded evidence files are scanned using ClamAV (bundled as an optional sidecar) before storage</w:t>
      </w:r>
    </w:p>
    <w:p>
      <w:pPr>
        <w:pStyle w:val="ListParagraph"/>
        <w:numPr>
          <w:ilvl w:val="0"/>
          <w:numId w:val="2"/>
        </w:numPr>
        <w:spacing w:after="60" w:before="60" w:line="260"/>
      </w:pPr>
      <w:r>
        <w:rPr>
          <w:rFonts w:ascii="Arial" w:cs="Arial" w:eastAsia="Arial" w:hAnsi="Arial"/>
          <w:color w:val="1A1A1A"/>
          <w:sz w:val="22"/>
          <w:szCs w:val="22"/>
        </w:rPr>
        <w:t xml:space="preserve">Content Security Policy headers on all frontend responses</w:t>
      </w:r>
    </w:p>
    <w:p>
      <w:pPr>
        <w:pStyle w:val="ListParagraph"/>
        <w:numPr>
          <w:ilvl w:val="0"/>
          <w:numId w:val="2"/>
        </w:numPr>
        <w:spacing w:after="60" w:before="60" w:line="260"/>
      </w:pPr>
      <w:r>
        <w:rPr>
          <w:rFonts w:ascii="Arial" w:cs="Arial" w:eastAsia="Arial" w:hAnsi="Arial"/>
          <w:color w:val="1A1A1A"/>
          <w:sz w:val="22"/>
          <w:szCs w:val="22"/>
        </w:rPr>
        <w:t xml:space="preserve">Regular automated dependency vulnerability scanning via Dependabot and Safety (Python) / npm audit (JavaScript) in CI</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10.3 Supply Chain Security (Practising What We Preach)</w:t>
      </w:r>
    </w:p>
    <w:p>
      <w:pPr>
        <w:pStyle w:val="ListParagraph"/>
        <w:numPr>
          <w:ilvl w:val="0"/>
          <w:numId w:val="2"/>
        </w:numPr>
        <w:spacing w:after="60" w:before="60" w:line="260"/>
      </w:pPr>
      <w:r>
        <w:rPr>
          <w:rFonts w:ascii="Arial" w:cs="Arial" w:eastAsia="Arial" w:hAnsi="Arial"/>
          <w:color w:val="1A1A1A"/>
          <w:sz w:val="22"/>
          <w:szCs w:val="22"/>
        </w:rPr>
        <w:t xml:space="preserve">All container images built from pinned base image digests, not mutable tags</w:t>
      </w:r>
    </w:p>
    <w:p>
      <w:pPr>
        <w:pStyle w:val="ListParagraph"/>
        <w:numPr>
          <w:ilvl w:val="0"/>
          <w:numId w:val="2"/>
        </w:numPr>
        <w:spacing w:after="60" w:before="60" w:line="260"/>
      </w:pPr>
      <w:r>
        <w:rPr>
          <w:rFonts w:ascii="Arial" w:cs="Arial" w:eastAsia="Arial" w:hAnsi="Arial"/>
          <w:color w:val="1A1A1A"/>
          <w:sz w:val="22"/>
          <w:szCs w:val="22"/>
        </w:rPr>
        <w:t xml:space="preserve">SBOM (Software Bill of Materials) generated for all release builds using Syft</w:t>
      </w:r>
    </w:p>
    <w:p>
      <w:pPr>
        <w:pStyle w:val="ListParagraph"/>
        <w:numPr>
          <w:ilvl w:val="0"/>
          <w:numId w:val="2"/>
        </w:numPr>
        <w:spacing w:after="60" w:before="60" w:line="260"/>
      </w:pPr>
      <w:r>
        <w:rPr>
          <w:rFonts w:ascii="Arial" w:cs="Arial" w:eastAsia="Arial" w:hAnsi="Arial"/>
          <w:color w:val="1A1A1A"/>
          <w:sz w:val="22"/>
          <w:szCs w:val="22"/>
        </w:rPr>
        <w:t xml:space="preserve">Container images signed using Sigstore/Cosign</w:t>
      </w:r>
    </w:p>
    <w:p>
      <w:pPr>
        <w:pStyle w:val="ListParagraph"/>
        <w:numPr>
          <w:ilvl w:val="0"/>
          <w:numId w:val="2"/>
        </w:numPr>
        <w:spacing w:after="60" w:before="60" w:line="260"/>
      </w:pPr>
      <w:r>
        <w:rPr>
          <w:rFonts w:ascii="Arial" w:cs="Arial" w:eastAsia="Arial" w:hAnsi="Arial"/>
          <w:color w:val="1A1A1A"/>
          <w:sz w:val="22"/>
          <w:szCs w:val="22"/>
        </w:rPr>
        <w:t xml:space="preserve">GitHub Actions workflows use pinned action SHAs</w:t>
      </w:r>
    </w:p>
    <w:p>
      <w:pPr>
        <w:pStyle w:val="ListParagraph"/>
        <w:numPr>
          <w:ilvl w:val="0"/>
          <w:numId w:val="2"/>
        </w:numPr>
        <w:spacing w:after="60" w:before="60" w:line="260"/>
      </w:pPr>
      <w:r>
        <w:rPr>
          <w:rFonts w:ascii="Arial" w:cs="Arial" w:eastAsia="Arial" w:hAnsi="Arial"/>
          <w:color w:val="1A1A1A"/>
          <w:sz w:val="22"/>
          <w:szCs w:val="22"/>
        </w:rPr>
        <w:t xml:space="preserve">Dependency review on all pull requests</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11.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1A3A5C"/>
                <w:sz w:val="22"/>
                <w:szCs w:val="22"/>
              </w:rPr>
              <w:t xml:space="preserve">Scope Note</w:t>
            </w:r>
          </w:p>
          <w:p>
            <w:pPr>
              <w:spacing w:after="0" w:before="0"/>
            </w:pPr>
            <w:r>
              <w:rPr>
                <w:rFonts w:ascii="Arial" w:cs="Arial" w:eastAsia="Arial" w:hAnsi="Arial"/>
                <w:color w:val="3D3D3A"/>
                <w:sz w:val="20"/>
                <w:szCs w:val="20"/>
              </w:rPr>
              <w:t xml:space="preserve">This plan covers the full platform build from zero. All phases run to completion before the platform is considered release-ready. Phase timelines assume a core team of 3–5 engineers.</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Phase 1 — Foundation (Months 1–3)</w:t>
      </w:r>
    </w:p>
    <w:p>
      <w:pPr>
        <w:pStyle w:val="Heading3"/>
        <w:spacing w:after="120" w:before="240"/>
      </w:pPr>
      <w:r>
        <w:rPr>
          <w:rFonts w:ascii="Arial" w:cs="Arial" w:eastAsia="Arial" w:hAnsi="Arial"/>
          <w:b/>
          <w:bCs/>
          <w:color w:val="444444"/>
          <w:sz w:val="22"/>
          <w:szCs w:val="22"/>
        </w:rPr>
        <w:t xml:space="preserve">Infrastructure and Core Services</w:t>
      </w:r>
    </w:p>
    <w:p>
      <w:pPr>
        <w:pStyle w:val="ListParagraph"/>
        <w:numPr>
          <w:ilvl w:val="0"/>
          <w:numId w:val="2"/>
        </w:numPr>
        <w:spacing w:after="60" w:before="60" w:line="260"/>
      </w:pPr>
      <w:r>
        <w:rPr>
          <w:rFonts w:ascii="Arial" w:cs="Arial" w:eastAsia="Arial" w:hAnsi="Arial"/>
          <w:color w:val="1A1A1A"/>
          <w:sz w:val="22"/>
          <w:szCs w:val="22"/>
        </w:rPr>
        <w:t xml:space="preserve">Repository setup: monorepo structure, GitHub Actions CI, linting, testing framework, branch protection rules</w:t>
      </w:r>
    </w:p>
    <w:p>
      <w:pPr>
        <w:pStyle w:val="ListParagraph"/>
        <w:numPr>
          <w:ilvl w:val="0"/>
          <w:numId w:val="2"/>
        </w:numPr>
        <w:spacing w:after="60" w:before="60" w:line="260"/>
      </w:pPr>
      <w:r>
        <w:rPr>
          <w:rFonts w:ascii="Arial" w:cs="Arial" w:eastAsia="Arial" w:hAnsi="Arial"/>
          <w:color w:val="1A1A1A"/>
          <w:sz w:val="22"/>
          <w:szCs w:val="22"/>
        </w:rPr>
        <w:t xml:space="preserve">Docker Compose development environment with hot-reload for all services</w:t>
      </w:r>
    </w:p>
    <w:p>
      <w:pPr>
        <w:pStyle w:val="ListParagraph"/>
        <w:numPr>
          <w:ilvl w:val="0"/>
          <w:numId w:val="2"/>
        </w:numPr>
        <w:spacing w:after="60" w:before="60" w:line="260"/>
      </w:pPr>
      <w:r>
        <w:rPr>
          <w:rFonts w:ascii="Arial" w:cs="Arial" w:eastAsia="Arial" w:hAnsi="Arial"/>
          <w:color w:val="1A1A1A"/>
          <w:sz w:val="22"/>
          <w:szCs w:val="22"/>
        </w:rPr>
        <w:t xml:space="preserve">Database schema design and Alembic migration framework</w:t>
      </w:r>
    </w:p>
    <w:p>
      <w:pPr>
        <w:pStyle w:val="ListParagraph"/>
        <w:numPr>
          <w:ilvl w:val="0"/>
          <w:numId w:val="2"/>
        </w:numPr>
        <w:spacing w:after="60" w:before="60" w:line="260"/>
      </w:pPr>
      <w:r>
        <w:rPr>
          <w:rFonts w:ascii="Arial" w:cs="Arial" w:eastAsia="Arial" w:hAnsi="Arial"/>
          <w:color w:val="1A1A1A"/>
          <w:sz w:val="22"/>
          <w:szCs w:val="22"/>
        </w:rPr>
        <w:t xml:space="preserve">Core data model implementation: Hypothesis, Hunt, Evidence, Finding, User, Workspace, Role</w:t>
      </w:r>
    </w:p>
    <w:p>
      <w:pPr>
        <w:pStyle w:val="ListParagraph"/>
        <w:numPr>
          <w:ilvl w:val="0"/>
          <w:numId w:val="2"/>
        </w:numPr>
        <w:spacing w:after="60" w:before="60" w:line="260"/>
      </w:pPr>
      <w:r>
        <w:rPr>
          <w:rFonts w:ascii="Arial" w:cs="Arial" w:eastAsia="Arial" w:hAnsi="Arial"/>
          <w:color w:val="1A1A1A"/>
          <w:sz w:val="22"/>
          <w:szCs w:val="22"/>
        </w:rPr>
        <w:t xml:space="preserve">Hypothesis Service: full CRUD, status machine, ownership assignment</w:t>
      </w:r>
    </w:p>
    <w:p>
      <w:pPr>
        <w:pStyle w:val="ListParagraph"/>
        <w:numPr>
          <w:ilvl w:val="0"/>
          <w:numId w:val="2"/>
        </w:numPr>
        <w:spacing w:after="60" w:before="60" w:line="260"/>
      </w:pPr>
      <w:r>
        <w:rPr>
          <w:rFonts w:ascii="Arial" w:cs="Arial" w:eastAsia="Arial" w:hAnsi="Arial"/>
          <w:color w:val="1A1A1A"/>
          <w:sz w:val="22"/>
          <w:szCs w:val="22"/>
        </w:rPr>
        <w:t xml:space="preserve">User Service: registration, authentication (local + OIDC), JWT issuance, RBAC enforcement</w:t>
      </w:r>
    </w:p>
    <w:p>
      <w:pPr>
        <w:pStyle w:val="ListParagraph"/>
        <w:numPr>
          <w:ilvl w:val="0"/>
          <w:numId w:val="2"/>
        </w:numPr>
        <w:spacing w:after="60" w:before="60" w:line="260"/>
      </w:pPr>
      <w:r>
        <w:rPr>
          <w:rFonts w:ascii="Arial" w:cs="Arial" w:eastAsia="Arial" w:hAnsi="Arial"/>
          <w:color w:val="1A1A1A"/>
          <w:sz w:val="22"/>
          <w:szCs w:val="22"/>
        </w:rPr>
        <w:t xml:space="preserve">API gateway setup with route configuration and JWT validation middleware</w:t>
      </w:r>
    </w:p>
    <w:p>
      <w:pPr>
        <w:pStyle w:val="ListParagraph"/>
        <w:numPr>
          <w:ilvl w:val="0"/>
          <w:numId w:val="2"/>
        </w:numPr>
        <w:spacing w:after="60" w:before="60" w:line="260"/>
      </w:pPr>
      <w:r>
        <w:rPr>
          <w:rFonts w:ascii="Arial" w:cs="Arial" w:eastAsia="Arial" w:hAnsi="Arial"/>
          <w:color w:val="1A1A1A"/>
          <w:sz w:val="22"/>
          <w:szCs w:val="22"/>
        </w:rPr>
        <w:t xml:space="preserve">Basic React frontend scaffold: routing, auth flow, design system tokens</w:t>
      </w:r>
    </w:p>
    <w:p>
      <w:pPr>
        <w:pStyle w:val="ListParagraph"/>
        <w:numPr>
          <w:ilvl w:val="0"/>
          <w:numId w:val="2"/>
        </w:numPr>
        <w:spacing w:after="60" w:before="60" w:line="260"/>
      </w:pPr>
      <w:r>
        <w:rPr>
          <w:rFonts w:ascii="Arial" w:cs="Arial" w:eastAsia="Arial" w:hAnsi="Arial"/>
          <w:color w:val="1A1A1A"/>
          <w:sz w:val="22"/>
          <w:szCs w:val="22"/>
        </w:rPr>
        <w:t xml:space="preserve">Audit log service: event capture, storage, basic query API</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Phase 2 — ATT&amp;CK Integration (Months 2–3, parallel with Phase 1)</w:t>
      </w:r>
    </w:p>
    <w:p>
      <w:pPr>
        <w:pStyle w:val="ListParagraph"/>
        <w:numPr>
          <w:ilvl w:val="0"/>
          <w:numId w:val="2"/>
        </w:numPr>
        <w:spacing w:after="60" w:before="60" w:line="260"/>
      </w:pPr>
      <w:r>
        <w:rPr>
          <w:rFonts w:ascii="Arial" w:cs="Arial" w:eastAsia="Arial" w:hAnsi="Arial"/>
          <w:color w:val="1A1A1A"/>
          <w:sz w:val="22"/>
          <w:szCs w:val="22"/>
        </w:rPr>
        <w:t xml:space="preserve">ATT&amp;CK Service: STIX bundle ingestion, technique sync, tactic/technique/sub-technique hierarchy</w:t>
      </w:r>
    </w:p>
    <w:p>
      <w:pPr>
        <w:pStyle w:val="ListParagraph"/>
        <w:numPr>
          <w:ilvl w:val="0"/>
          <w:numId w:val="2"/>
        </w:numPr>
        <w:spacing w:after="60" w:before="60" w:line="260"/>
      </w:pPr>
      <w:r>
        <w:rPr>
          <w:rFonts w:ascii="Arial" w:cs="Arial" w:eastAsia="Arial" w:hAnsi="Arial"/>
          <w:color w:val="1A1A1A"/>
          <w:sz w:val="22"/>
          <w:szCs w:val="22"/>
        </w:rPr>
        <w:t xml:space="preserve">Technique picker UI component with typeahead search</w:t>
      </w:r>
    </w:p>
    <w:p>
      <w:pPr>
        <w:pStyle w:val="ListParagraph"/>
        <w:numPr>
          <w:ilvl w:val="0"/>
          <w:numId w:val="2"/>
        </w:numPr>
        <w:spacing w:after="60" w:before="60" w:line="260"/>
      </w:pPr>
      <w:r>
        <w:rPr>
          <w:rFonts w:ascii="Arial" w:cs="Arial" w:eastAsia="Arial" w:hAnsi="Arial"/>
          <w:color w:val="1A1A1A"/>
          <w:sz w:val="22"/>
          <w:szCs w:val="22"/>
        </w:rPr>
        <w:t xml:space="preserve">Hypothesis-to-technique many-to-many association</w:t>
      </w:r>
    </w:p>
    <w:p>
      <w:pPr>
        <w:pStyle w:val="ListParagraph"/>
        <w:numPr>
          <w:ilvl w:val="0"/>
          <w:numId w:val="2"/>
        </w:numPr>
        <w:spacing w:after="60" w:before="60" w:line="260"/>
      </w:pPr>
      <w:r>
        <w:rPr>
          <w:rFonts w:ascii="Arial" w:cs="Arial" w:eastAsia="Arial" w:hAnsi="Arial"/>
          <w:color w:val="1A1A1A"/>
          <w:sz w:val="22"/>
          <w:szCs w:val="22"/>
        </w:rPr>
        <w:t xml:space="preserve">ATT&amp;CK Navigator coverage view: heatmap rendering, filter controls</w:t>
      </w:r>
    </w:p>
    <w:p>
      <w:pPr>
        <w:pStyle w:val="ListParagraph"/>
        <w:numPr>
          <w:ilvl w:val="0"/>
          <w:numId w:val="2"/>
        </w:numPr>
        <w:spacing w:after="60" w:before="60" w:line="260"/>
      </w:pPr>
      <w:r>
        <w:rPr>
          <w:rFonts w:ascii="Arial" w:cs="Arial" w:eastAsia="Arial" w:hAnsi="Arial"/>
          <w:color w:val="1A1A1A"/>
          <w:sz w:val="22"/>
          <w:szCs w:val="22"/>
        </w:rPr>
        <w:t xml:space="preserve">Auto-suggestion service: sentence-transformers model serving, suggestion API, analyst accept/reject flow</w:t>
      </w:r>
    </w:p>
    <w:p>
      <w:pPr>
        <w:pStyle w:val="ListParagraph"/>
        <w:numPr>
          <w:ilvl w:val="0"/>
          <w:numId w:val="2"/>
        </w:numPr>
        <w:spacing w:after="60" w:before="60" w:line="260"/>
      </w:pPr>
      <w:r>
        <w:rPr>
          <w:rFonts w:ascii="Arial" w:cs="Arial" w:eastAsia="Arial" w:hAnsi="Arial"/>
          <w:color w:val="1A1A1A"/>
          <w:sz w:val="22"/>
          <w:szCs w:val="22"/>
        </w:rPr>
        <w:t xml:space="preserve">Navigator JSON layer export</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Phase 3 — Integrations (Months 3–6)</w:t>
      </w:r>
    </w:p>
    <w:p>
      <w:pPr>
        <w:pStyle w:val="ListParagraph"/>
        <w:numPr>
          <w:ilvl w:val="0"/>
          <w:numId w:val="2"/>
        </w:numPr>
        <w:spacing w:after="60" w:before="60" w:line="260"/>
      </w:pPr>
      <w:r>
        <w:rPr>
          <w:rFonts w:ascii="Arial" w:cs="Arial" w:eastAsia="Arial" w:hAnsi="Arial"/>
          <w:color w:val="1A1A1A"/>
          <w:sz w:val="22"/>
          <w:szCs w:val="22"/>
        </w:rPr>
        <w:t xml:space="preserve">Connector specification v1.0 published</w:t>
      </w:r>
    </w:p>
    <w:p>
      <w:pPr>
        <w:pStyle w:val="ListParagraph"/>
        <w:numPr>
          <w:ilvl w:val="0"/>
          <w:numId w:val="2"/>
        </w:numPr>
        <w:spacing w:after="60" w:before="60" w:line="260"/>
      </w:pPr>
      <w:r>
        <w:rPr>
          <w:rFonts w:ascii="Arial" w:cs="Arial" w:eastAsia="Arial" w:hAnsi="Arial"/>
          <w:color w:val="1A1A1A"/>
          <w:sz w:val="22"/>
          <w:szCs w:val="22"/>
        </w:rPr>
        <w:t xml:space="preserve">Connector Development Kit (base classes, test fixtures, mock server)</w:t>
      </w:r>
    </w:p>
    <w:p>
      <w:pPr>
        <w:pStyle w:val="ListParagraph"/>
        <w:numPr>
          <w:ilvl w:val="0"/>
          <w:numId w:val="2"/>
        </w:numPr>
        <w:spacing w:after="60" w:before="60" w:line="260"/>
      </w:pPr>
      <w:r>
        <w:rPr>
          <w:rFonts w:ascii="Arial" w:cs="Arial" w:eastAsia="Arial" w:hAnsi="Arial"/>
          <w:color w:val="1A1A1A"/>
          <w:sz w:val="22"/>
          <w:szCs w:val="22"/>
        </w:rPr>
        <w:t xml:space="preserve">Elastic Supply Chain Monitor connector (pull + push modes, bidirectional)</w:t>
      </w:r>
    </w:p>
    <w:p>
      <w:pPr>
        <w:pStyle w:val="ListParagraph"/>
        <w:numPr>
          <w:ilvl w:val="0"/>
          <w:numId w:val="2"/>
        </w:numPr>
        <w:spacing w:after="60" w:before="60" w:line="260"/>
      </w:pPr>
      <w:r>
        <w:rPr>
          <w:rFonts w:ascii="Arial" w:cs="Arial" w:eastAsia="Arial" w:hAnsi="Arial"/>
          <w:color w:val="1A1A1A"/>
          <w:sz w:val="22"/>
          <w:szCs w:val="22"/>
        </w:rPr>
        <w:t xml:space="preserve">STIX/TAXII 2.1 client (collection discovery, polling, bundle parsing)</w:t>
      </w:r>
    </w:p>
    <w:p>
      <w:pPr>
        <w:pStyle w:val="ListParagraph"/>
        <w:numPr>
          <w:ilvl w:val="0"/>
          <w:numId w:val="2"/>
        </w:numPr>
        <w:spacing w:after="60" w:before="60" w:line="260"/>
      </w:pPr>
      <w:r>
        <w:rPr>
          <w:rFonts w:ascii="Arial" w:cs="Arial" w:eastAsia="Arial" w:hAnsi="Arial"/>
          <w:color w:val="1A1A1A"/>
          <w:sz w:val="22"/>
          <w:szCs w:val="22"/>
        </w:rPr>
        <w:t xml:space="preserve">MISP connector (pull events, export findings)</w:t>
      </w:r>
    </w:p>
    <w:p>
      <w:pPr>
        <w:pStyle w:val="ListParagraph"/>
        <w:numPr>
          <w:ilvl w:val="0"/>
          <w:numId w:val="2"/>
        </w:numPr>
        <w:spacing w:after="60" w:before="60" w:line="260"/>
      </w:pPr>
      <w:r>
        <w:rPr>
          <w:rFonts w:ascii="Arial" w:cs="Arial" w:eastAsia="Arial" w:hAnsi="Arial"/>
          <w:color w:val="1A1A1A"/>
          <w:sz w:val="22"/>
          <w:szCs w:val="22"/>
        </w:rPr>
        <w:t xml:space="preserve">OpenCTI connector (GraphQL pull, report export)</w:t>
      </w:r>
    </w:p>
    <w:p>
      <w:pPr>
        <w:pStyle w:val="ListParagraph"/>
        <w:numPr>
          <w:ilvl w:val="0"/>
          <w:numId w:val="2"/>
        </w:numPr>
        <w:spacing w:after="60" w:before="60" w:line="260"/>
      </w:pPr>
      <w:r>
        <w:rPr>
          <w:rFonts w:ascii="Arial" w:cs="Arial" w:eastAsia="Arial" w:hAnsi="Arial"/>
          <w:color w:val="1A1A1A"/>
          <w:sz w:val="22"/>
          <w:szCs w:val="22"/>
        </w:rPr>
        <w:t xml:space="preserve">Splunk connector (ES notable pull, saved search linking, write-back)</w:t>
      </w:r>
    </w:p>
    <w:p>
      <w:pPr>
        <w:pStyle w:val="ListParagraph"/>
        <w:numPr>
          <w:ilvl w:val="0"/>
          <w:numId w:val="2"/>
        </w:numPr>
        <w:spacing w:after="60" w:before="60" w:line="260"/>
      </w:pPr>
      <w:r>
        <w:rPr>
          <w:rFonts w:ascii="Arial" w:cs="Arial" w:eastAsia="Arial" w:hAnsi="Arial"/>
          <w:color w:val="1A1A1A"/>
          <w:sz w:val="22"/>
          <w:szCs w:val="22"/>
        </w:rPr>
        <w:t xml:space="preserve">Microsoft Sentinel connector (incident pull, KQL linking, write-back)</w:t>
      </w:r>
    </w:p>
    <w:p>
      <w:pPr>
        <w:pStyle w:val="ListParagraph"/>
        <w:numPr>
          <w:ilvl w:val="0"/>
          <w:numId w:val="2"/>
        </w:numPr>
        <w:spacing w:after="60" w:before="60" w:line="260"/>
      </w:pPr>
      <w:r>
        <w:rPr>
          <w:rFonts w:ascii="Arial" w:cs="Arial" w:eastAsia="Arial" w:hAnsi="Arial"/>
          <w:color w:val="1A1A1A"/>
          <w:sz w:val="22"/>
          <w:szCs w:val="22"/>
        </w:rPr>
        <w:t xml:space="preserve">Tenable.io connector (asset vulnerability enrichment)</w:t>
      </w:r>
    </w:p>
    <w:p>
      <w:pPr>
        <w:pStyle w:val="ListParagraph"/>
        <w:numPr>
          <w:ilvl w:val="0"/>
          <w:numId w:val="2"/>
        </w:numPr>
        <w:spacing w:after="60" w:before="60" w:line="260"/>
      </w:pPr>
      <w:r>
        <w:rPr>
          <w:rFonts w:ascii="Arial" w:cs="Arial" w:eastAsia="Arial" w:hAnsi="Arial"/>
          <w:color w:val="1A1A1A"/>
          <w:sz w:val="22"/>
          <w:szCs w:val="22"/>
        </w:rPr>
        <w:t xml:space="preserve">Jira connector (issue creation, status sync)</w:t>
      </w:r>
    </w:p>
    <w:p>
      <w:pPr>
        <w:pStyle w:val="ListParagraph"/>
        <w:numPr>
          <w:ilvl w:val="0"/>
          <w:numId w:val="2"/>
        </w:numPr>
        <w:spacing w:after="60" w:before="60" w:line="260"/>
      </w:pPr>
      <w:r>
        <w:rPr>
          <w:rFonts w:ascii="Arial" w:cs="Arial" w:eastAsia="Arial" w:hAnsi="Arial"/>
          <w:color w:val="1A1A1A"/>
          <w:sz w:val="22"/>
          <w:szCs w:val="22"/>
        </w:rPr>
        <w:t xml:space="preserve">Slack + Teams notification connectors</w:t>
      </w:r>
    </w:p>
    <w:p>
      <w:pPr>
        <w:pStyle w:val="ListParagraph"/>
        <w:numPr>
          <w:ilvl w:val="0"/>
          <w:numId w:val="2"/>
        </w:numPr>
        <w:spacing w:after="60" w:before="60" w:line="260"/>
      </w:pPr>
      <w:r>
        <w:rPr>
          <w:rFonts w:ascii="Arial" w:cs="Arial" w:eastAsia="Arial" w:hAnsi="Arial"/>
          <w:color w:val="1A1A1A"/>
          <w:sz w:val="22"/>
          <w:szCs w:val="22"/>
        </w:rPr>
        <w:t xml:space="preserve">IBM QRadar, Qualys, ServiceNow, Palo Alto XSOAR, Splunk SOAR, PagerDuty connectors</w:t>
      </w:r>
    </w:p>
    <w:p>
      <w:pPr>
        <w:pStyle w:val="ListParagraph"/>
        <w:numPr>
          <w:ilvl w:val="0"/>
          <w:numId w:val="2"/>
        </w:numPr>
        <w:spacing w:after="60" w:before="60" w:line="260"/>
      </w:pPr>
      <w:r>
        <w:rPr>
          <w:rFonts w:ascii="Arial" w:cs="Arial" w:eastAsia="Arial" w:hAnsi="Arial"/>
          <w:color w:val="1A1A1A"/>
          <w:sz w:val="22"/>
          <w:szCs w:val="22"/>
        </w:rPr>
        <w:t xml:space="preserve">Integration configuration UI: per-workspace connector management, credential vault, test connection</w:t>
      </w:r>
    </w:p>
    <w:p>
      <w:pPr>
        <w:pStyle w:val="ListParagraph"/>
        <w:numPr>
          <w:ilvl w:val="0"/>
          <w:numId w:val="2"/>
        </w:numPr>
        <w:spacing w:after="60" w:before="60" w:line="260"/>
      </w:pPr>
      <w:r>
        <w:rPr>
          <w:rFonts w:ascii="Arial" w:cs="Arial" w:eastAsia="Arial" w:hAnsi="Arial"/>
          <w:color w:val="1A1A1A"/>
          <w:sz w:val="22"/>
          <w:szCs w:val="22"/>
        </w:rPr>
        <w:t xml:space="preserve">Ingestion Queue UI: triage view for auto-generated hypothesis candidates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Phase 4 — Analyst Workflow (Months 4–6)</w:t>
      </w:r>
    </w:p>
    <w:p>
      <w:pPr>
        <w:pStyle w:val="ListParagraph"/>
        <w:numPr>
          <w:ilvl w:val="0"/>
          <w:numId w:val="2"/>
        </w:numPr>
        <w:spacing w:after="60" w:before="60" w:line="260"/>
      </w:pPr>
      <w:r>
        <w:rPr>
          <w:rFonts w:ascii="Arial" w:cs="Arial" w:eastAsia="Arial" w:hAnsi="Arial"/>
          <w:color w:val="1A1A1A"/>
          <w:sz w:val="22"/>
          <w:szCs w:val="22"/>
        </w:rPr>
        <w:t xml:space="preserve">Hunt management: create, assign, timeline, close</w:t>
      </w:r>
    </w:p>
    <w:p>
      <w:pPr>
        <w:pStyle w:val="ListParagraph"/>
        <w:numPr>
          <w:ilvl w:val="0"/>
          <w:numId w:val="2"/>
        </w:numPr>
        <w:spacing w:after="60" w:before="60" w:line="260"/>
      </w:pPr>
      <w:r>
        <w:rPr>
          <w:rFonts w:ascii="Arial" w:cs="Arial" w:eastAsia="Arial" w:hAnsi="Arial"/>
          <w:color w:val="1A1A1A"/>
          <w:sz w:val="22"/>
          <w:szCs w:val="22"/>
        </w:rPr>
        <w:t xml:space="preserve">Hunt board: Kanban UI, drag-to-transition, filter and save views</w:t>
      </w:r>
    </w:p>
    <w:p>
      <w:pPr>
        <w:pStyle w:val="ListParagraph"/>
        <w:numPr>
          <w:ilvl w:val="0"/>
          <w:numId w:val="2"/>
        </w:numPr>
        <w:spacing w:after="60" w:before="60" w:line="260"/>
      </w:pPr>
      <w:r>
        <w:rPr>
          <w:rFonts w:ascii="Arial" w:cs="Arial" w:eastAsia="Arial" w:hAnsi="Arial"/>
          <w:color w:val="1A1A1A"/>
          <w:sz w:val="22"/>
          <w:szCs w:val="22"/>
        </w:rPr>
        <w:t xml:space="preserve">Evidence management: upload, IOC extraction, SIEM query linking, log snippet capture, versioning</w:t>
      </w:r>
    </w:p>
    <w:p>
      <w:pPr>
        <w:pStyle w:val="ListParagraph"/>
        <w:numPr>
          <w:ilvl w:val="0"/>
          <w:numId w:val="2"/>
        </w:numPr>
        <w:spacing w:after="60" w:before="60" w:line="260"/>
      </w:pPr>
      <w:r>
        <w:rPr>
          <w:rFonts w:ascii="Arial" w:cs="Arial" w:eastAsia="Arial" w:hAnsi="Arial"/>
          <w:color w:val="1A1A1A"/>
          <w:sz w:val="22"/>
          <w:szCs w:val="22"/>
        </w:rPr>
        <w:t xml:space="preserve">Evidence annotation tools (screenshot markup)</w:t>
      </w:r>
    </w:p>
    <w:p>
      <w:pPr>
        <w:pStyle w:val="ListParagraph"/>
        <w:numPr>
          <w:ilvl w:val="0"/>
          <w:numId w:val="2"/>
        </w:numPr>
        <w:spacing w:after="60" w:before="60" w:line="260"/>
      </w:pPr>
      <w:r>
        <w:rPr>
          <w:rFonts w:ascii="Arial" w:cs="Arial" w:eastAsia="Arial" w:hAnsi="Arial"/>
          <w:color w:val="1A1A1A"/>
          <w:sz w:val="22"/>
          <w:szCs w:val="22"/>
        </w:rPr>
        <w:t xml:space="preserve">Collaborative comments with @mentions and notification routing</w:t>
      </w:r>
    </w:p>
    <w:p>
      <w:pPr>
        <w:pStyle w:val="ListParagraph"/>
        <w:numPr>
          <w:ilvl w:val="0"/>
          <w:numId w:val="2"/>
        </w:numPr>
        <w:spacing w:after="60" w:before="60" w:line="260"/>
      </w:pPr>
      <w:r>
        <w:rPr>
          <w:rFonts w:ascii="Arial" w:cs="Arial" w:eastAsia="Arial" w:hAnsi="Arial"/>
          <w:color w:val="1A1A1A"/>
          <w:sz w:val="22"/>
          <w:szCs w:val="22"/>
        </w:rPr>
        <w:t xml:space="preserve">Composite scoring model: factor calculation, workspace configuration UI</w:t>
      </w:r>
    </w:p>
    <w:p>
      <w:pPr>
        <w:pStyle w:val="ListParagraph"/>
        <w:numPr>
          <w:ilvl w:val="0"/>
          <w:numId w:val="2"/>
        </w:numPr>
        <w:spacing w:after="60" w:before="60" w:line="260"/>
      </w:pPr>
      <w:r>
        <w:rPr>
          <w:rFonts w:ascii="Arial" w:cs="Arial" w:eastAsia="Arial" w:hAnsi="Arial"/>
          <w:color w:val="1A1A1A"/>
          <w:sz w:val="22"/>
          <w:szCs w:val="22"/>
        </w:rPr>
        <w:t xml:space="preserve">Activity feed: per-hypothesis chronological event stream</w:t>
      </w:r>
    </w:p>
    <w:p>
      <w:pPr>
        <w:pStyle w:val="ListParagraph"/>
        <w:numPr>
          <w:ilvl w:val="0"/>
          <w:numId w:val="2"/>
        </w:numPr>
        <w:spacing w:after="60" w:before="60" w:line="260"/>
      </w:pPr>
      <w:r>
        <w:rPr>
          <w:rFonts w:ascii="Arial" w:cs="Arial" w:eastAsia="Arial" w:hAnsi="Arial"/>
          <w:color w:val="1A1A1A"/>
          <w:sz w:val="22"/>
          <w:szCs w:val="22"/>
        </w:rPr>
        <w:t xml:space="preserve">Conflict detection on concurrent edits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Phase 5 — Reporting (Months 5–7)</w:t>
      </w:r>
    </w:p>
    <w:p>
      <w:pPr>
        <w:pStyle w:val="ListParagraph"/>
        <w:numPr>
          <w:ilvl w:val="0"/>
          <w:numId w:val="2"/>
        </w:numPr>
        <w:spacing w:after="60" w:before="60" w:line="260"/>
      </w:pPr>
      <w:r>
        <w:rPr>
          <w:rFonts w:ascii="Arial" w:cs="Arial" w:eastAsia="Arial" w:hAnsi="Arial"/>
          <w:color w:val="1A1A1A"/>
          <w:sz w:val="22"/>
          <w:szCs w:val="22"/>
        </w:rPr>
        <w:t xml:space="preserve">PDF report templates: Hypothesis Report, Hunt Report, Coverage Report, Summary Digest</w:t>
      </w:r>
    </w:p>
    <w:p>
      <w:pPr>
        <w:pStyle w:val="ListParagraph"/>
        <w:numPr>
          <w:ilvl w:val="0"/>
          <w:numId w:val="2"/>
        </w:numPr>
        <w:spacing w:after="60" w:before="60" w:line="260"/>
      </w:pPr>
      <w:r>
        <w:rPr>
          <w:rFonts w:ascii="Arial" w:cs="Arial" w:eastAsia="Arial" w:hAnsi="Arial"/>
          <w:color w:val="1A1A1A"/>
          <w:sz w:val="22"/>
          <w:szCs w:val="22"/>
        </w:rPr>
        <w:t xml:space="preserve">Workspace branding customisation: logo, colours, header/footer</w:t>
      </w:r>
    </w:p>
    <w:p>
      <w:pPr>
        <w:pStyle w:val="ListParagraph"/>
        <w:numPr>
          <w:ilvl w:val="0"/>
          <w:numId w:val="2"/>
        </w:numPr>
        <w:spacing w:after="60" w:before="60" w:line="260"/>
      </w:pPr>
      <w:r>
        <w:rPr>
          <w:rFonts w:ascii="Arial" w:cs="Arial" w:eastAsia="Arial" w:hAnsi="Arial"/>
          <w:color w:val="1A1A1A"/>
          <w:sz w:val="22"/>
          <w:szCs w:val="22"/>
        </w:rPr>
        <w:t xml:space="preserve">STIX 2.1 export: Findings as Reports, ATT&amp;CK mapping, IOC Indicators</w:t>
      </w:r>
    </w:p>
    <w:p>
      <w:pPr>
        <w:pStyle w:val="ListParagraph"/>
        <w:numPr>
          <w:ilvl w:val="0"/>
          <w:numId w:val="2"/>
        </w:numPr>
        <w:spacing w:after="60" w:before="60" w:line="260"/>
      </w:pPr>
      <w:r>
        <w:rPr>
          <w:rFonts w:ascii="Arial" w:cs="Arial" w:eastAsia="Arial" w:hAnsi="Arial"/>
          <w:color w:val="1A1A1A"/>
          <w:sz w:val="22"/>
          <w:szCs w:val="22"/>
        </w:rPr>
        <w:t xml:space="preserve">Coverage reports: tactic breakdown, platform breakdown, trend charts</w:t>
      </w:r>
    </w:p>
    <w:p>
      <w:pPr>
        <w:pStyle w:val="ListParagraph"/>
        <w:numPr>
          <w:ilvl w:val="0"/>
          <w:numId w:val="2"/>
        </w:numPr>
        <w:spacing w:after="60" w:before="60" w:line="260"/>
      </w:pPr>
      <w:r>
        <w:rPr>
          <w:rFonts w:ascii="Arial" w:cs="Arial" w:eastAsia="Arial" w:hAnsi="Arial"/>
          <w:color w:val="1A1A1A"/>
          <w:sz w:val="22"/>
          <w:szCs w:val="22"/>
        </w:rPr>
        <w:t xml:space="preserve">Report scheduling: automated digest generation and distribution</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Phase 6 — Enterprise Features (Months 6–9)</w:t>
      </w:r>
    </w:p>
    <w:p>
      <w:pPr>
        <w:pStyle w:val="ListParagraph"/>
        <w:numPr>
          <w:ilvl w:val="0"/>
          <w:numId w:val="2"/>
        </w:numPr>
        <w:spacing w:after="60" w:before="60" w:line="260"/>
      </w:pPr>
      <w:r>
        <w:rPr>
          <w:rFonts w:ascii="Arial" w:cs="Arial" w:eastAsia="Arial" w:hAnsi="Arial"/>
          <w:color w:val="1A1A1A"/>
          <w:sz w:val="22"/>
          <w:szCs w:val="22"/>
        </w:rPr>
        <w:t xml:space="preserve">SAML 2.0 SSO: IdP configuration, attribute mapping, JIT provisioning</w:t>
      </w:r>
    </w:p>
    <w:p>
      <w:pPr>
        <w:pStyle w:val="ListParagraph"/>
        <w:numPr>
          <w:ilvl w:val="0"/>
          <w:numId w:val="2"/>
        </w:numPr>
        <w:spacing w:after="60" w:before="60" w:line="260"/>
      </w:pPr>
      <w:r>
        <w:rPr>
          <w:rFonts w:ascii="Arial" w:cs="Arial" w:eastAsia="Arial" w:hAnsi="Arial"/>
          <w:color w:val="1A1A1A"/>
          <w:sz w:val="22"/>
          <w:szCs w:val="22"/>
        </w:rPr>
        <w:t xml:space="preserve">MFA: TOTP implementation, backup codes, enforcement policy</w:t>
      </w:r>
    </w:p>
    <w:p>
      <w:pPr>
        <w:pStyle w:val="ListParagraph"/>
        <w:numPr>
          <w:ilvl w:val="0"/>
          <w:numId w:val="2"/>
        </w:numPr>
        <w:spacing w:after="60" w:before="60" w:line="260"/>
      </w:pPr>
      <w:r>
        <w:rPr>
          <w:rFonts w:ascii="Arial" w:cs="Arial" w:eastAsia="Arial" w:hAnsi="Arial"/>
          <w:color w:val="1A1A1A"/>
          <w:sz w:val="22"/>
          <w:szCs w:val="22"/>
        </w:rPr>
        <w:t xml:space="preserve">Multi-workspace management: workspace creation, user membership, cross-workspace admin view</w:t>
      </w:r>
    </w:p>
    <w:p>
      <w:pPr>
        <w:pStyle w:val="ListParagraph"/>
        <w:numPr>
          <w:ilvl w:val="0"/>
          <w:numId w:val="2"/>
        </w:numPr>
        <w:spacing w:after="60" w:before="60" w:line="260"/>
      </w:pPr>
      <w:r>
        <w:rPr>
          <w:rFonts w:ascii="Arial" w:cs="Arial" w:eastAsia="Arial" w:hAnsi="Arial"/>
          <w:color w:val="1A1A1A"/>
          <w:sz w:val="22"/>
          <w:szCs w:val="22"/>
        </w:rPr>
        <w:t xml:space="preserve">Advanced RBAC: custom role creation, per-workspace role assignments</w:t>
      </w:r>
    </w:p>
    <w:p>
      <w:pPr>
        <w:pStyle w:val="ListParagraph"/>
        <w:numPr>
          <w:ilvl w:val="0"/>
          <w:numId w:val="2"/>
        </w:numPr>
        <w:spacing w:after="60" w:before="60" w:line="260"/>
      </w:pPr>
      <w:r>
        <w:rPr>
          <w:rFonts w:ascii="Arial" w:cs="Arial" w:eastAsia="Arial" w:hAnsi="Arial"/>
          <w:color w:val="1A1A1A"/>
          <w:sz w:val="22"/>
          <w:szCs w:val="22"/>
        </w:rPr>
        <w:t xml:space="preserve">Audit log UI: full query interface, compliance exports</w:t>
      </w:r>
    </w:p>
    <w:p>
      <w:pPr>
        <w:pStyle w:val="ListParagraph"/>
        <w:numPr>
          <w:ilvl w:val="0"/>
          <w:numId w:val="2"/>
        </w:numPr>
        <w:spacing w:after="60" w:before="60" w:line="260"/>
      </w:pPr>
      <w:r>
        <w:rPr>
          <w:rFonts w:ascii="Arial" w:cs="Arial" w:eastAsia="Arial" w:hAnsi="Arial"/>
          <w:color w:val="1A1A1A"/>
          <w:sz w:val="22"/>
          <w:szCs w:val="22"/>
        </w:rPr>
        <w:t xml:space="preserve">Kubernetes Helm chart: HA configuration, HPA, PDB, NetworkPolicy, mTLS</w:t>
      </w:r>
    </w:p>
    <w:p>
      <w:pPr>
        <w:pStyle w:val="ListParagraph"/>
        <w:numPr>
          <w:ilvl w:val="0"/>
          <w:numId w:val="2"/>
        </w:numPr>
        <w:spacing w:after="60" w:before="60" w:line="260"/>
      </w:pPr>
      <w:r>
        <w:rPr>
          <w:rFonts w:ascii="Arial" w:cs="Arial" w:eastAsia="Arial" w:hAnsi="Arial"/>
          <w:color w:val="1A1A1A"/>
          <w:sz w:val="22"/>
          <w:szCs w:val="22"/>
        </w:rPr>
        <w:t xml:space="preserve">Terraform modules: AWS, Azure, GCP</w:t>
      </w:r>
    </w:p>
    <w:p>
      <w:pPr>
        <w:pStyle w:val="ListParagraph"/>
        <w:numPr>
          <w:ilvl w:val="0"/>
          <w:numId w:val="2"/>
        </w:numPr>
        <w:spacing w:after="60" w:before="60" w:line="260"/>
      </w:pPr>
      <w:r>
        <w:rPr>
          <w:rFonts w:ascii="Arial" w:cs="Arial" w:eastAsia="Arial" w:hAnsi="Arial"/>
          <w:color w:val="1A1A1A"/>
          <w:sz w:val="22"/>
          <w:szCs w:val="22"/>
        </w:rPr>
        <w:t xml:space="preserve">Secrets manager integration: Vault, AWS SM, Azure KV, GCP SM</w:t>
      </w:r>
    </w:p>
    <w:p>
      <w:pPr>
        <w:pStyle w:val="ListParagraph"/>
        <w:numPr>
          <w:ilvl w:val="0"/>
          <w:numId w:val="2"/>
        </w:numPr>
        <w:spacing w:after="60" w:before="60" w:line="260"/>
      </w:pPr>
      <w:r>
        <w:rPr>
          <w:rFonts w:ascii="Arial" w:cs="Arial" w:eastAsia="Arial" w:hAnsi="Arial"/>
          <w:color w:val="1A1A1A"/>
          <w:sz w:val="22"/>
          <w:szCs w:val="22"/>
        </w:rPr>
        <w:t xml:space="preserve">Observability stack: Prometheus metrics, Grafana dashboard, OpenTelemetry traces</w:t>
      </w:r>
    </w:p>
    <w:p>
      <w:pPr>
        <w:pStyle w:val="ListParagraph"/>
        <w:numPr>
          <w:ilvl w:val="0"/>
          <w:numId w:val="2"/>
        </w:numPr>
        <w:spacing w:after="60" w:before="60" w:line="260"/>
      </w:pPr>
      <w:r>
        <w:rPr>
          <w:rFonts w:ascii="Arial" w:cs="Arial" w:eastAsia="Arial" w:hAnsi="Arial"/>
          <w:color w:val="1A1A1A"/>
          <w:sz w:val="22"/>
          <w:szCs w:val="22"/>
        </w:rPr>
        <w:t xml:space="preserve">File upload scanning: ClamAV sidecar integration</w:t>
      </w:r>
    </w:p>
    <w:p>
      <w:pPr>
        <w:pStyle w:val="ListParagraph"/>
        <w:numPr>
          <w:ilvl w:val="0"/>
          <w:numId w:val="2"/>
        </w:numPr>
        <w:spacing w:after="60" w:before="60" w:line="260"/>
      </w:pPr>
      <w:r>
        <w:rPr>
          <w:rFonts w:ascii="Arial" w:cs="Arial" w:eastAsia="Arial" w:hAnsi="Arial"/>
          <w:color w:val="1A1A1A"/>
          <w:sz w:val="22"/>
          <w:szCs w:val="22"/>
        </w:rPr>
        <w:t xml:space="preserve">SBOM generation and container image signing in CI</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Phase 7 — Hardening and Launch (Months 9–12)</w:t>
      </w:r>
    </w:p>
    <w:p>
      <w:pPr>
        <w:pStyle w:val="ListParagraph"/>
        <w:numPr>
          <w:ilvl w:val="0"/>
          <w:numId w:val="2"/>
        </w:numPr>
        <w:spacing w:after="60" w:before="60" w:line="260"/>
      </w:pPr>
      <w:r>
        <w:rPr>
          <w:rFonts w:ascii="Arial" w:cs="Arial" w:eastAsia="Arial" w:hAnsi="Arial"/>
          <w:color w:val="1A1A1A"/>
          <w:sz w:val="22"/>
          <w:szCs w:val="22"/>
        </w:rPr>
        <w:t xml:space="preserve">External penetration test and remediation</w:t>
      </w:r>
    </w:p>
    <w:p>
      <w:pPr>
        <w:pStyle w:val="ListParagraph"/>
        <w:numPr>
          <w:ilvl w:val="0"/>
          <w:numId w:val="2"/>
        </w:numPr>
        <w:spacing w:after="60" w:before="60" w:line="260"/>
      </w:pPr>
      <w:r>
        <w:rPr>
          <w:rFonts w:ascii="Arial" w:cs="Arial" w:eastAsia="Arial" w:hAnsi="Arial"/>
          <w:color w:val="1A1A1A"/>
          <w:sz w:val="22"/>
          <w:szCs w:val="22"/>
        </w:rPr>
        <w:t xml:space="preserve">Load and performance testing: target 200 concurrent users at 200ms P95 API latency</w:t>
      </w:r>
    </w:p>
    <w:p>
      <w:pPr>
        <w:pStyle w:val="ListParagraph"/>
        <w:numPr>
          <w:ilvl w:val="0"/>
          <w:numId w:val="2"/>
        </w:numPr>
        <w:spacing w:after="60" w:before="60" w:line="260"/>
      </w:pPr>
      <w:r>
        <w:rPr>
          <w:rFonts w:ascii="Arial" w:cs="Arial" w:eastAsia="Arial" w:hAnsi="Arial"/>
          <w:color w:val="1A1A1A"/>
          <w:sz w:val="22"/>
          <w:szCs w:val="22"/>
        </w:rPr>
        <w:t xml:space="preserve">Documentation: operator deployment guide, user guide, API reference, connector development guide</w:t>
      </w:r>
    </w:p>
    <w:p>
      <w:pPr>
        <w:pStyle w:val="ListParagraph"/>
        <w:numPr>
          <w:ilvl w:val="0"/>
          <w:numId w:val="2"/>
        </w:numPr>
        <w:spacing w:after="60" w:before="60" w:line="260"/>
      </w:pPr>
      <w:r>
        <w:rPr>
          <w:rFonts w:ascii="Arial" w:cs="Arial" w:eastAsia="Arial" w:hAnsi="Arial"/>
          <w:color w:val="1A1A1A"/>
          <w:sz w:val="22"/>
          <w:szCs w:val="22"/>
        </w:rPr>
        <w:t xml:space="preserve">Public beta with invited enterprise testers</w:t>
      </w:r>
    </w:p>
    <w:p>
      <w:pPr>
        <w:pStyle w:val="ListParagraph"/>
        <w:numPr>
          <w:ilvl w:val="0"/>
          <w:numId w:val="2"/>
        </w:numPr>
        <w:spacing w:after="60" w:before="60" w:line="260"/>
      </w:pPr>
      <w:r>
        <w:rPr>
          <w:rFonts w:ascii="Arial" w:cs="Arial" w:eastAsia="Arial" w:hAnsi="Arial"/>
          <w:color w:val="1A1A1A"/>
          <w:sz w:val="22"/>
          <w:szCs w:val="22"/>
        </w:rPr>
        <w:t xml:space="preserve">Community infrastructure: contribution guide, issue templates, security disclosure policy</w:t>
      </w:r>
    </w:p>
    <w:p>
      <w:pPr>
        <w:pStyle w:val="ListParagraph"/>
        <w:numPr>
          <w:ilvl w:val="0"/>
          <w:numId w:val="2"/>
        </w:numPr>
        <w:spacing w:after="60" w:before="60" w:line="260"/>
      </w:pPr>
      <w:r>
        <w:rPr>
          <w:rFonts w:ascii="Arial" w:cs="Arial" w:eastAsia="Arial" w:hAnsi="Arial"/>
          <w:color w:val="1A1A1A"/>
          <w:sz w:val="22"/>
          <w:szCs w:val="22"/>
        </w:rPr>
        <w:t xml:space="preserve">1.0.0 release</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12. Open Source Strategy</w:t>
      </w:r>
    </w:p>
    <w:p>
      <w:pPr>
        <w:pStyle w:val="Heading2"/>
        <w:spacing w:after="160" w:before="320"/>
      </w:pPr>
      <w:r>
        <w:rPr>
          <w:rFonts w:ascii="Arial" w:cs="Arial" w:eastAsia="Arial" w:hAnsi="Arial"/>
          <w:b/>
          <w:bCs/>
          <w:color w:val="2E6DA4"/>
          <w:sz w:val="26"/>
          <w:szCs w:val="26"/>
        </w:rPr>
        <w:t xml:space="preserve">12.1 Licence</w:t>
      </w:r>
    </w:p>
    <w:p>
      <w:pPr>
        <w:spacing w:after="120" w:before="80" w:line="276"/>
      </w:pPr>
      <w:r>
        <w:rPr>
          <w:rFonts w:ascii="Arial" w:cs="Arial" w:eastAsia="Arial" w:hAnsi="Arial"/>
          <w:color w:val="1A1A1A"/>
          <w:sz w:val="22"/>
          <w:szCs w:val="22"/>
        </w:rPr>
        <w:t xml:space="preserve">Apache 2.0. Permissive enough for commercial adoption and OEM use without legal friction. Compatible with all major open source licences used by dependencies.</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12.2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FastAPI services, one subdirectory per service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React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first-party connector packages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helm/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Kubernetes Helm chart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Azure, GCP Terraform modules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Operator guide, user guide, API reference, architecture docs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Development utilities, database seed scripts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GitHub Actions workflows, issue and PR templates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docker-compose.yml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Single-command local development environment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connector-spec.md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Connector interface specification for third-party contributors</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12.3 Contributor Experience</w:t>
      </w:r>
    </w:p>
    <w:p>
      <w:pPr>
        <w:pStyle w:val="ListParagraph"/>
        <w:numPr>
          <w:ilvl w:val="0"/>
          <w:numId w:val="2"/>
        </w:numPr>
        <w:spacing w:after="60" w:before="60" w:line="260"/>
      </w:pPr>
      <w:r>
        <w:rPr>
          <w:rFonts w:ascii="Arial" w:cs="Arial" w:eastAsia="Arial" w:hAnsi="Arial"/>
          <w:color w:val="1A1A1A"/>
          <w:sz w:val="22"/>
          <w:szCs w:val="22"/>
        </w:rPr>
        <w:t xml:space="preserve">docker compose up brings the full stack up in under 2 minutes — the single most important contributor experience metric</w:t>
      </w:r>
    </w:p>
    <w:p>
      <w:pPr>
        <w:pStyle w:val="ListParagraph"/>
        <w:numPr>
          <w:ilvl w:val="0"/>
          <w:numId w:val="2"/>
        </w:numPr>
        <w:spacing w:after="60" w:before="60" w:line="260"/>
      </w:pPr>
      <w:r>
        <w:rPr>
          <w:rFonts w:ascii="Arial" w:cs="Arial" w:eastAsia="Arial" w:hAnsi="Arial"/>
          <w:color w:val="1A1A1A"/>
          <w:sz w:val="22"/>
          <w:szCs w:val="22"/>
        </w:rPr>
        <w:t xml:space="preserve">make test runs the full test suite locally with the same configuration as CI</w:t>
      </w:r>
    </w:p>
    <w:p>
      <w:pPr>
        <w:pStyle w:val="ListParagraph"/>
        <w:numPr>
          <w:ilvl w:val="0"/>
          <w:numId w:val="2"/>
        </w:numPr>
        <w:spacing w:after="60" w:before="60" w:line="260"/>
      </w:pPr>
      <w:r>
        <w:rPr>
          <w:rFonts w:ascii="Arial" w:cs="Arial" w:eastAsia="Arial" w:hAnsi="Arial"/>
          <w:color w:val="1A1A1A"/>
          <w:sz w:val="22"/>
          <w:szCs w:val="22"/>
        </w:rPr>
        <w:t xml:space="preserve">Pre-commit hooks for linting, type checking, and test running</w:t>
      </w:r>
    </w:p>
    <w:p>
      <w:pPr>
        <w:pStyle w:val="ListParagraph"/>
        <w:numPr>
          <w:ilvl w:val="0"/>
          <w:numId w:val="2"/>
        </w:numPr>
        <w:spacing w:after="60" w:before="60" w:line="260"/>
      </w:pPr>
      <w:r>
        <w:rPr>
          <w:rFonts w:ascii="Arial" w:cs="Arial" w:eastAsia="Arial" w:hAnsi="Arial"/>
          <w:color w:val="1A1A1A"/>
          <w:sz w:val="22"/>
          <w:szCs w:val="22"/>
        </w:rPr>
        <w:t xml:space="preserve">GitHub issue templates for bug reports, feature requests, and connector proposals</w:t>
      </w:r>
    </w:p>
    <w:p>
      <w:pPr>
        <w:pStyle w:val="ListParagraph"/>
        <w:numPr>
          <w:ilvl w:val="0"/>
          <w:numId w:val="2"/>
        </w:numPr>
        <w:spacing w:after="60" w:before="60" w:line="260"/>
      </w:pPr>
      <w:r>
        <w:rPr>
          <w:rFonts w:ascii="Arial" w:cs="Arial" w:eastAsia="Arial" w:hAnsi="Arial"/>
          <w:color w:val="1A1A1A"/>
          <w:sz w:val="22"/>
          <w:szCs w:val="22"/>
        </w:rPr>
        <w:t xml:space="preserve">A GOOD-FIRST-ISSUE label on issues suitable for new contributors</w:t>
      </w:r>
    </w:p>
    <w:p>
      <w:pPr>
        <w:pStyle w:val="ListParagraph"/>
        <w:numPr>
          <w:ilvl w:val="0"/>
          <w:numId w:val="2"/>
        </w:numPr>
        <w:spacing w:after="60" w:before="60" w:line="260"/>
      </w:pPr>
      <w:r>
        <w:rPr>
          <w:rFonts w:ascii="Arial" w:cs="Arial" w:eastAsia="Arial" w:hAnsi="Arial"/>
          <w:color w:val="1A1A1A"/>
          <w:sz w:val="22"/>
          <w:szCs w:val="22"/>
        </w:rPr>
        <w:t xml:space="preserve">Architecture decision records (ADRs) documenting all significant design choices and their rationale</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12.4 Governance</w:t>
      </w:r>
    </w:p>
    <w:p>
      <w:pPr>
        <w:spacing w:after="120" w:before="80" w:line="276"/>
      </w:pPr>
      <w:r>
        <w:rPr>
          <w:rFonts w:ascii="Arial" w:cs="Arial" w:eastAsia="Arial" w:hAnsi="Arial"/>
          <w:color w:val="1A1A1A"/>
          <w:sz w:val="22"/>
          <w:szCs w:val="22"/>
        </w:rPr>
        <w:t xml:space="preserve">The project should adopt a Benevolent Dictator For Now (BDFN) model initially, transitioning to a Technical Steering Committee (TSC) once the contributor base is established. A SECURITY.md file documents the responsible disclosure process. A CODE_OF_CONDUCT.md adopts the Contributor Covenant.</w:t>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13. Team Structure and Effort Estimate</w:t>
      </w:r>
    </w:p>
    <w:p>
      <w:pPr>
        <w:pStyle w:val="Heading2"/>
        <w:spacing w:after="160" w:before="320"/>
      </w:pPr>
      <w:r>
        <w:rPr>
          <w:rFonts w:ascii="Arial" w:cs="Arial" w:eastAsia="Arial" w:hAnsi="Arial"/>
          <w:b/>
          <w:bCs/>
          <w:color w:val="2E6DA4"/>
          <w:sz w:val="26"/>
          <w:szCs w:val="26"/>
        </w:rPr>
        <w:t xml:space="preserve">13.1 Recommended Core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Headcount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services, data model, integrations, API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Frontend Engineer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React application, Hunt Board, ATT&amp;CK Navigator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DevOps / Platform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Kubernetes, Helm, Terraform, CI/CD, observability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Engineer (part-time)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review, penetration test coordination, supply chain security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Writer (part-time)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guide, user guide, API reference</w:t>
            </w:r>
          </w:p>
        </w:tc>
      </w:tr>
    </w:tbl>
    <w:p>
      <w:pPr>
        <w:spacing w:after="80" w:before="80"/>
      </w:pPr>
      <w:r>
        <w:t xml:space="preserve"/>
      </w:r>
    </w:p>
    <w:p>
      <w:pPr>
        <w:pStyle w:val="Heading2"/>
        <w:spacing w:after="160" w:before="320"/>
      </w:pPr>
      <w:r>
        <w:rPr>
          <w:rFonts w:ascii="Arial" w:cs="Arial" w:eastAsia="Arial" w:hAnsi="Arial"/>
          <w:b/>
          <w:bCs/>
          <w:color w:val="2E6DA4"/>
          <w:sz w:val="26"/>
          <w:szCs w:val="26"/>
        </w:rPr>
        <w:t xml:space="preserve">13.2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data model, auth, basic UI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2 — ATT&amp;CK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Parallel with P1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ATT&amp;CK mapping and navigator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 Integrations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15+ connectors live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4 — Analyst Workflow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months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Hunt board, evidence, scoring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 —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STIX, coverage reports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6 — Enterprise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months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SSO, Helm, Terraform, audit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7 —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Hardening, docs, 1.0 release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 months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Production-ready 1.0 release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1A3A5C"/>
                <w:sz w:val="22"/>
                <w:szCs w:val="22"/>
              </w:rPr>
              <w:t xml:space="preserve">Note on Parallelism</w:t>
            </w:r>
          </w:p>
          <w:p>
            <w:pPr>
              <w:spacing w:after="0" w:before="0"/>
            </w:pPr>
            <w:r>
              <w:rPr>
                <w:rFonts w:ascii="Arial" w:cs="Arial" w:eastAsia="Arial" w:hAnsi="Arial"/>
                <w:color w:val="3D3D3A"/>
                <w:sz w:val="20"/>
                <w:szCs w:val="20"/>
              </w:rPr>
              <w:t xml:space="preserve">Phases 1 and 2 run in parallel. Phases 3 and 4 have significant overlap. The 12-month estimate assumes the recommended team size and a single working focus. A larger team or dedicated integration sprint could compress Phases 3–4 to 6–8 weeks combined.</w:t>
            </w:r>
          </w:p>
        </w:tc>
      </w:tr>
    </w:tbl>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14. Success Metrics</w:t>
      </w:r>
    </w:p>
    <w:p>
      <w:pPr>
        <w:spacing w:after="120" w:before="80" w:line="276"/>
      </w:pPr>
      <w:r>
        <w:rPr>
          <w:rFonts w:ascii="Arial" w:cs="Arial" w:eastAsia="Arial" w:hAnsi="Arial"/>
          <w:color w:val="1A1A1A"/>
          <w:sz w:val="22"/>
          <w:szCs w:val="22"/>
        </w:rPr>
        <w:t xml:space="preserve">The following metrics define a successful 1.0 release and ongoing platform health.</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14.1 Performance Targets</w:t>
      </w:r>
    </w:p>
    <w:p>
      <w:pPr>
        <w:pStyle w:val="ListParagraph"/>
        <w:numPr>
          <w:ilvl w:val="0"/>
          <w:numId w:val="2"/>
        </w:numPr>
        <w:spacing w:after="60" w:before="60" w:line="260"/>
      </w:pPr>
      <w:r>
        <w:rPr>
          <w:rFonts w:ascii="Arial" w:cs="Arial" w:eastAsia="Arial" w:hAnsi="Arial"/>
          <w:color w:val="1A1A1A"/>
          <w:sz w:val="22"/>
          <w:szCs w:val="22"/>
        </w:rPr>
        <w:t xml:space="preserve">API P95 response time: under 200ms for list and single-entity endpoints</w:t>
      </w:r>
    </w:p>
    <w:p>
      <w:pPr>
        <w:pStyle w:val="ListParagraph"/>
        <w:numPr>
          <w:ilvl w:val="0"/>
          <w:numId w:val="2"/>
        </w:numPr>
        <w:spacing w:after="60" w:before="60" w:line="260"/>
      </w:pPr>
      <w:r>
        <w:rPr>
          <w:rFonts w:ascii="Arial" w:cs="Arial" w:eastAsia="Arial" w:hAnsi="Arial"/>
          <w:color w:val="1A1A1A"/>
          <w:sz w:val="22"/>
          <w:szCs w:val="22"/>
        </w:rPr>
        <w:t xml:space="preserve">Search query response time: under 500ms for full-text search across 100,000 hypotheses</w:t>
      </w:r>
    </w:p>
    <w:p>
      <w:pPr>
        <w:pStyle w:val="ListParagraph"/>
        <w:numPr>
          <w:ilvl w:val="0"/>
          <w:numId w:val="2"/>
        </w:numPr>
        <w:spacing w:after="60" w:before="60" w:line="260"/>
      </w:pPr>
      <w:r>
        <w:rPr>
          <w:rFonts w:ascii="Arial" w:cs="Arial" w:eastAsia="Arial" w:hAnsi="Arial"/>
          <w:color w:val="1A1A1A"/>
          <w:sz w:val="22"/>
          <w:szCs w:val="22"/>
        </w:rPr>
        <w:t xml:space="preserve">Ingestion throughput: process 10,000 external events per hour without queue backlog</w:t>
      </w:r>
    </w:p>
    <w:p>
      <w:pPr>
        <w:pStyle w:val="ListParagraph"/>
        <w:numPr>
          <w:ilvl w:val="0"/>
          <w:numId w:val="2"/>
        </w:numPr>
        <w:spacing w:after="60" w:before="60" w:line="260"/>
      </w:pPr>
      <w:r>
        <w:rPr>
          <w:rFonts w:ascii="Arial" w:cs="Arial" w:eastAsia="Arial" w:hAnsi="Arial"/>
          <w:color w:val="1A1A1A"/>
          <w:sz w:val="22"/>
          <w:szCs w:val="22"/>
        </w:rPr>
        <w:t xml:space="preserve">UI time-to-interactive: under 2 seconds on a standard enterprise network</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14.2 Reliability Targets</w:t>
      </w:r>
    </w:p>
    <w:p>
      <w:pPr>
        <w:pStyle w:val="ListParagraph"/>
        <w:numPr>
          <w:ilvl w:val="0"/>
          <w:numId w:val="2"/>
        </w:numPr>
        <w:spacing w:after="60" w:before="60" w:line="260"/>
      </w:pPr>
      <w:r>
        <w:rPr>
          <w:rFonts w:ascii="Arial" w:cs="Arial" w:eastAsia="Arial" w:hAnsi="Arial"/>
          <w:color w:val="1A1A1A"/>
          <w:sz w:val="22"/>
          <w:szCs w:val="22"/>
        </w:rPr>
        <w:t xml:space="preserve">Availability: 99.9% uptime for Kubernetes deployments with HA configuration</w:t>
      </w:r>
    </w:p>
    <w:p>
      <w:pPr>
        <w:pStyle w:val="ListParagraph"/>
        <w:numPr>
          <w:ilvl w:val="0"/>
          <w:numId w:val="2"/>
        </w:numPr>
        <w:spacing w:after="60" w:before="60" w:line="260"/>
      </w:pPr>
      <w:r>
        <w:rPr>
          <w:rFonts w:ascii="Arial" w:cs="Arial" w:eastAsia="Arial" w:hAnsi="Arial"/>
          <w:color w:val="1A1A1A"/>
          <w:sz w:val="22"/>
          <w:szCs w:val="22"/>
        </w:rPr>
        <w:t xml:space="preserve">Data durability: zero evidence artefact loss with configured object storage replication</w:t>
      </w:r>
    </w:p>
    <w:p>
      <w:pPr>
        <w:pStyle w:val="ListParagraph"/>
        <w:numPr>
          <w:ilvl w:val="0"/>
          <w:numId w:val="2"/>
        </w:numPr>
        <w:spacing w:after="60" w:before="60" w:line="260"/>
      </w:pPr>
      <w:r>
        <w:rPr>
          <w:rFonts w:ascii="Arial" w:cs="Arial" w:eastAsia="Arial" w:hAnsi="Arial"/>
          <w:color w:val="1A1A1A"/>
          <w:sz w:val="22"/>
          <w:szCs w:val="22"/>
        </w:rPr>
        <w:t xml:space="preserve">Audit log completeness: 100% of API mutations recorded within 1 second</w:t>
      </w:r>
    </w:p>
    <w:p>
      <w:pPr>
        <w:spacing w:after="80" w:before="80"/>
      </w:pPr>
      <w:r>
        <w:t xml:space="preserve"/>
      </w:r>
    </w:p>
    <w:p>
      <w:pPr>
        <w:pStyle w:val="Heading2"/>
        <w:spacing w:after="160" w:before="320"/>
      </w:pPr>
      <w:r>
        <w:rPr>
          <w:rFonts w:ascii="Arial" w:cs="Arial" w:eastAsia="Arial" w:hAnsi="Arial"/>
          <w:b/>
          <w:bCs/>
          <w:color w:val="2E6DA4"/>
          <w:sz w:val="26"/>
          <w:szCs w:val="26"/>
        </w:rPr>
        <w:t xml:space="preserve">14.3 Adoption Indicators</w:t>
      </w:r>
    </w:p>
    <w:p>
      <w:pPr>
        <w:pStyle w:val="ListParagraph"/>
        <w:numPr>
          <w:ilvl w:val="0"/>
          <w:numId w:val="2"/>
        </w:numPr>
        <w:spacing w:after="60" w:before="60" w:line="260"/>
      </w:pPr>
      <w:r>
        <w:rPr>
          <w:rFonts w:ascii="Arial" w:cs="Arial" w:eastAsia="Arial" w:hAnsi="Arial"/>
          <w:color w:val="1A1A1A"/>
          <w:sz w:val="22"/>
          <w:szCs w:val="22"/>
        </w:rPr>
        <w:t xml:space="preserve">Single-command startup: docker compose up produces a working platform with no additional configuration</w:t>
      </w:r>
    </w:p>
    <w:p>
      <w:pPr>
        <w:pStyle w:val="ListParagraph"/>
        <w:numPr>
          <w:ilvl w:val="0"/>
          <w:numId w:val="2"/>
        </w:numPr>
        <w:spacing w:after="60" w:before="60" w:line="260"/>
      </w:pPr>
      <w:r>
        <w:rPr>
          <w:rFonts w:ascii="Arial" w:cs="Arial" w:eastAsia="Arial" w:hAnsi="Arial"/>
          <w:color w:val="1A1A1A"/>
          <w:sz w:val="22"/>
          <w:szCs w:val="22"/>
        </w:rPr>
        <w:t xml:space="preserve">Time to first hypothesis: a new user can create, map to ATT&amp;CK, and add evidence to a hypothesis in under 5 minutes</w:t>
      </w:r>
    </w:p>
    <w:p>
      <w:pPr>
        <w:pStyle w:val="ListParagraph"/>
        <w:numPr>
          <w:ilvl w:val="0"/>
          <w:numId w:val="2"/>
        </w:numPr>
        <w:spacing w:after="60" w:before="60" w:line="260"/>
      </w:pPr>
      <w:r>
        <w:rPr>
          <w:rFonts w:ascii="Arial" w:cs="Arial" w:eastAsia="Arial" w:hAnsi="Arial"/>
          <w:color w:val="1A1A1A"/>
          <w:sz w:val="22"/>
          <w:szCs w:val="22"/>
        </w:rPr>
        <w:t xml:space="preserve">Integration setup time: configuring any first-party connector takes under 15 minutes with documentation</w:t>
      </w:r>
    </w:p>
    <w:p>
      <w:pPr>
        <w:pStyle w:val="ListParagraph"/>
        <w:numPr>
          <w:ilvl w:val="0"/>
          <w:numId w:val="2"/>
        </w:numPr>
        <w:spacing w:after="60" w:before="60" w:line="260"/>
      </w:pPr>
      <w:r>
        <w:rPr>
          <w:rFonts w:ascii="Arial" w:cs="Arial" w:eastAsia="Arial" w:hAnsi="Arial"/>
          <w:color w:val="1A1A1A"/>
          <w:sz w:val="22"/>
          <w:szCs w:val="22"/>
        </w:rPr>
        <w:t xml:space="preserve">Contributor onboarding: a new contributor can run the full test suite locally in under 10 minutes</w:t>
      </w:r>
    </w:p>
    <w:p>
      <w:pPr>
        <w:spacing w:after="80" w:before="80"/>
      </w:pPr>
      <w:r>
        <w:t xml:space="preserve"/>
      </w:r>
    </w:p>
    <w:p>
      <w:r>
        <w:br w:type="page"/>
      </w:r>
    </w:p>
    <w:p>
      <w:pPr>
        <w:pStyle w:val="Heading1"/>
        <w:pBdr>
          <w:bottom w:val="single" w:color="2E6DA4" w:sz="6" w:space="4"/>
        </w:pBdr>
        <w:spacing w:after="200" w:before="400"/>
      </w:pPr>
      <w:r>
        <w:rPr>
          <w:rFonts w:ascii="Arial" w:cs="Arial" w:eastAsia="Arial" w:hAnsi="Arial"/>
          <w:b/>
          <w:bCs/>
          <w:color w:val="1A3A5C"/>
          <w:sz w:val="32"/>
          <w:szCs w:val="32"/>
        </w:rPr>
        <w:t xml:space="preserve">Appendix A — Key External References</w:t>
      </w:r>
    </w:p>
    <w:p>
      <w:pPr>
        <w:pStyle w:val="ListParagraph"/>
        <w:numPr>
          <w:ilvl w:val="0"/>
          <w:numId w:val="2"/>
        </w:numPr>
        <w:spacing w:after="60" w:before="60" w:line="260"/>
      </w:pPr>
      <w:r>
        <w:rPr>
          <w:rFonts w:ascii="Arial" w:cs="Arial" w:eastAsia="Arial" w:hAnsi="Arial"/>
          <w:color w:val="1A1A1A"/>
          <w:sz w:val="22"/>
          <w:szCs w:val="22"/>
        </w:rPr>
        <w:t xml:space="preserve">MITRE ATT&amp;CK STIX data: https://github.com/mitre/cti</w:t>
      </w:r>
    </w:p>
    <w:p>
      <w:pPr>
        <w:pStyle w:val="ListParagraph"/>
        <w:numPr>
          <w:ilvl w:val="0"/>
          <w:numId w:val="2"/>
        </w:numPr>
        <w:spacing w:after="60" w:before="60" w:line="260"/>
      </w:pPr>
      <w:r>
        <w:rPr>
          <w:rFonts w:ascii="Arial" w:cs="Arial" w:eastAsia="Arial" w:hAnsi="Arial"/>
          <w:color w:val="1A1A1A"/>
          <w:sz w:val="22"/>
          <w:szCs w:val="22"/>
        </w:rPr>
        <w:t xml:space="preserve">Elastic Supply Chain Monitor: https://github.com/elastic/supply-chain-monitor</w:t>
      </w:r>
    </w:p>
    <w:p>
      <w:pPr>
        <w:pStyle w:val="ListParagraph"/>
        <w:numPr>
          <w:ilvl w:val="0"/>
          <w:numId w:val="2"/>
        </w:numPr>
        <w:spacing w:after="60" w:before="60" w:line="260"/>
      </w:pPr>
      <w:r>
        <w:rPr>
          <w:rFonts w:ascii="Arial" w:cs="Arial" w:eastAsia="Arial" w:hAnsi="Arial"/>
          <w:color w:val="1A1A1A"/>
          <w:sz w:val="22"/>
          <w:szCs w:val="22"/>
        </w:rPr>
        <w:t xml:space="preserve">STIX 2.1 specification: https://docs.oasis-open.org/cti/stix/v2.1/</w:t>
      </w:r>
    </w:p>
    <w:p>
      <w:pPr>
        <w:pStyle w:val="ListParagraph"/>
        <w:numPr>
          <w:ilvl w:val="0"/>
          <w:numId w:val="2"/>
        </w:numPr>
        <w:spacing w:after="60" w:before="60" w:line="260"/>
      </w:pPr>
      <w:r>
        <w:rPr>
          <w:rFonts w:ascii="Arial" w:cs="Arial" w:eastAsia="Arial" w:hAnsi="Arial"/>
          <w:color w:val="1A1A1A"/>
          <w:sz w:val="22"/>
          <w:szCs w:val="22"/>
        </w:rPr>
        <w:t xml:space="preserve">TAXII 2.1 specification: https://docs.oasis-open.org/cti/taxii/v2.1/</w:t>
      </w:r>
    </w:p>
    <w:p>
      <w:pPr>
        <w:pStyle w:val="ListParagraph"/>
        <w:numPr>
          <w:ilvl w:val="0"/>
          <w:numId w:val="2"/>
        </w:numPr>
        <w:spacing w:after="60" w:before="60" w:line="260"/>
      </w:pPr>
      <w:r>
        <w:rPr>
          <w:rFonts w:ascii="Arial" w:cs="Arial" w:eastAsia="Arial" w:hAnsi="Arial"/>
          <w:color w:val="1A1A1A"/>
          <w:sz w:val="22"/>
          <w:szCs w:val="22"/>
        </w:rPr>
        <w:t xml:space="preserve">MISP project: https://www.misp-project.org</w:t>
      </w:r>
    </w:p>
    <w:p>
      <w:pPr>
        <w:pStyle w:val="ListParagraph"/>
        <w:numPr>
          <w:ilvl w:val="0"/>
          <w:numId w:val="2"/>
        </w:numPr>
        <w:spacing w:after="60" w:before="60" w:line="260"/>
      </w:pPr>
      <w:r>
        <w:rPr>
          <w:rFonts w:ascii="Arial" w:cs="Arial" w:eastAsia="Arial" w:hAnsi="Arial"/>
          <w:color w:val="1A1A1A"/>
          <w:sz w:val="22"/>
          <w:szCs w:val="22"/>
        </w:rPr>
        <w:t xml:space="preserve">OpenCTI: https://github.com/OpenCTI-Platform/opencti</w:t>
      </w:r>
    </w:p>
    <w:p>
      <w:pPr>
        <w:pStyle w:val="ListParagraph"/>
        <w:numPr>
          <w:ilvl w:val="0"/>
          <w:numId w:val="2"/>
        </w:numPr>
        <w:spacing w:after="60" w:before="60" w:line="260"/>
      </w:pPr>
      <w:r>
        <w:rPr>
          <w:rFonts w:ascii="Arial" w:cs="Arial" w:eastAsia="Arial" w:hAnsi="Arial"/>
          <w:color w:val="1A1A1A"/>
          <w:sz w:val="22"/>
          <w:szCs w:val="22"/>
        </w:rPr>
        <w:t xml:space="preserve">Connector Covenant (Code of Conduct): https://www.contributor-covenant.org</w:t>
      </w:r>
    </w:p>
    <w:p>
      <w:pPr>
        <w:spacing w:after="80" w:before="80"/>
      </w:pPr>
      <w:r>
        <w:t xml:space="preserve"/>
      </w:r>
    </w:p>
    <w:p>
      <w:pPr>
        <w:pStyle w:val="Heading1"/>
        <w:pBdr>
          <w:bottom w:val="single" w:color="2E6DA4" w:sz="6" w:space="4"/>
        </w:pBdr>
        <w:spacing w:after="200" w:before="400"/>
      </w:pPr>
      <w:r>
        <w:rPr>
          <w:rFonts w:ascii="Arial" w:cs="Arial" w:eastAsia="Arial" w:hAnsi="Arial"/>
          <w:b/>
          <w:bCs/>
          <w:color w:val="1A3A5C"/>
          <w:sz w:val="32"/>
          <w:szCs w:val="32"/>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ATT&amp;CK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MITRE Adversarial Tactics, Techniques, and Common Knowledge framework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CDK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Connector Development Kit — tooling for building third-party THMP connectors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Orchestration, Automation and Response platform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SIEM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Information and Event Management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Elastic Supply Chain Monitor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STIX</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Structured Threat Information eXpression — OASIS standard for threat intel sharing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TAXII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Trusted Automated eXchange of Intelligence Information — transport protocol for STIX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Threat Intelligence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Indicator of Compromise (IP address, domain, file hash, URL, email address)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THMP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Threat Hypothesis Management Platform (this project)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Multi-tenancy boundary in THMP; a team or business unit</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after="0" w:before="120"/>
    </w:pPr>
    <w:r>
      <w:rPr>
        <w:rFonts w:ascii="Arial" w:cs="Arial" w:eastAsia="Arial" w:hAnsi="Arial"/>
        <w:color w:val="888888"/>
        <w:sz w:val="18"/>
        <w:szCs w:val="18"/>
      </w:rPr>
      <w:t xml:space="preserve">Open Source · Apache 2.0</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before="0"/>
    </w:pPr>
    <w:r>
      <w:rPr>
        <w:rFonts w:ascii="Arial" w:cs="Arial" w:eastAsia="Arial" w:hAnsi="Arial"/>
        <w:color w:val="888888"/>
        <w:sz w:val="18"/>
        <w:szCs w:val="18"/>
      </w:rPr>
      <w:t xml:space="preserve">Threat Hypothesis Management Platform  —  Full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2026-04-19T20:50:27.584Z</dcterms:created>
  <dcterms:modified xsi:type="dcterms:W3CDTF">2026-04-19T20:50:27.585Z</dcterms:modified>
</cp:coreProperties>
</file>

<file path=docProps/custom.xml><?xml version="1.0" encoding="utf-8"?>
<Properties xmlns="http://schemas.openxmlformats.org/officeDocument/2006/custom-properties" xmlns:vt="http://schemas.openxmlformats.org/officeDocument/2006/docPropsVTypes"/>
</file>