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53"/>
      </w:tblGrid>
      <w:tr w:rsidR="00D800F6" w14:paraId="29D3FCBA" w14:textId="77777777" w:rsidTr="00081095">
        <w:tc>
          <w:tcPr>
            <w:tcW w:w="3369" w:type="dxa"/>
          </w:tcPr>
          <w:p w14:paraId="675E6A11" w14:textId="77777777" w:rsidR="00D800F6" w:rsidRDefault="0011102C" w:rsidP="00D800F6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6CCFFCC5" wp14:editId="0220F899">
                  <wp:extent cx="1945005" cy="441960"/>
                  <wp:effectExtent l="0" t="0" r="1079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2C17EB03" w14:textId="77777777" w:rsidR="00D800F6" w:rsidRPr="00D800F6" w:rsidRDefault="00D800F6" w:rsidP="00D800F6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D800F6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D800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800F6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2C9FADF4" w14:textId="77777777" w:rsidR="00D800F6" w:rsidRPr="00D800F6" w:rsidRDefault="00D800F6" w:rsidP="00D800F6">
            <w:pPr>
              <w:shd w:val="clear" w:color="auto" w:fill="FFFFFF"/>
              <w:jc w:val="right"/>
              <w:rPr>
                <w:spacing w:val="-2"/>
                <w:sz w:val="22"/>
                <w:szCs w:val="22"/>
              </w:rPr>
            </w:pPr>
            <w:r w:rsidRPr="00D800F6">
              <w:rPr>
                <w:rFonts w:ascii="Times New Roman Bold" w:hAnsi="Times New Roman Bold"/>
                <w:sz w:val="32"/>
              </w:rPr>
              <w:t xml:space="preserve">         </w:t>
            </w:r>
            <w:r w:rsidRPr="00D800F6">
              <w:rPr>
                <w:sz w:val="22"/>
                <w:szCs w:val="22"/>
              </w:rPr>
              <w:t xml:space="preserve">РФ, </w:t>
            </w:r>
            <w:r>
              <w:rPr>
                <w:spacing w:val="-2"/>
                <w:sz w:val="22"/>
                <w:szCs w:val="22"/>
              </w:rPr>
              <w:t>127051, Москва, ул. Трубная 25 стр 1 офис 6</w:t>
            </w:r>
          </w:p>
          <w:p w14:paraId="04E137A5" w14:textId="77777777" w:rsidR="00D800F6" w:rsidRPr="00D800F6" w:rsidRDefault="00D800F6" w:rsidP="00D800F6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D800F6">
              <w:rPr>
                <w:rFonts w:ascii="Times New Roman" w:hAnsi="Times New Roman"/>
              </w:rPr>
              <w:t>Тел.</w:t>
            </w:r>
            <w:r>
              <w:rPr>
                <w:rFonts w:ascii="Times New Roman" w:hAnsi="Times New Roman"/>
              </w:rPr>
              <w:t>/ф</w:t>
            </w:r>
            <w:r w:rsidRPr="00D800F6">
              <w:rPr>
                <w:rFonts w:ascii="Times New Roman" w:hAnsi="Times New Roman"/>
              </w:rPr>
              <w:t xml:space="preserve"> (495) 221-22-53</w:t>
            </w:r>
          </w:p>
          <w:p w14:paraId="4F206BCA" w14:textId="77777777" w:rsidR="00D800F6" w:rsidRDefault="000D2D86" w:rsidP="00D800F6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D800F6" w:rsidRPr="00D800F6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48BEF6DA" w14:textId="77777777" w:rsidR="006A068D" w:rsidRDefault="006A068D" w:rsidP="006A068D">
      <w:r>
        <w:t>генеральный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  <w:lang w:val="en-US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Default="00B8529C" w:rsidP="00606E35">
      <w:pPr>
        <w:spacing w:line="360" w:lineRule="auto"/>
      </w:pPr>
    </w:p>
    <w:p w14:paraId="1B0B2871" w14:textId="77777777" w:rsidR="000D2D86" w:rsidRPr="001E771F" w:rsidRDefault="000D2D86" w:rsidP="00606E35">
      <w:pPr>
        <w:spacing w:line="360" w:lineRule="auto"/>
      </w:pPr>
      <w:bookmarkStart w:id="1" w:name="_GoBack"/>
      <w:bookmarkEnd w:id="1"/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2F66233C" w14:textId="77777777" w:rsidR="001576FC" w:rsidRDefault="001576FC" w:rsidP="005E492D">
      <w:pPr>
        <w:spacing w:line="360" w:lineRule="auto"/>
        <w:ind w:firstLine="426"/>
      </w:pPr>
    </w:p>
    <w:p w14:paraId="7C628A10" w14:textId="77777777" w:rsidR="00E56AC4" w:rsidRDefault="00B8529C" w:rsidP="00771B3C">
      <w:pPr>
        <w:spacing w:line="480" w:lineRule="auto"/>
        <w:jc w:val="center"/>
        <w:rPr>
          <w:sz w:val="28"/>
          <w:szCs w:val="28"/>
        </w:rPr>
        <w:sectPr w:rsidR="00E56AC4" w:rsidSect="00C25955">
          <w:headerReference w:type="even" r:id="rId12"/>
          <w:headerReference w:type="default" r:id="rId13"/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Москва, 20</w:t>
      </w:r>
      <w:r w:rsidR="00771B3C">
        <w:rPr>
          <w:sz w:val="28"/>
          <w:szCs w:val="28"/>
        </w:rPr>
        <w:t>16</w:t>
      </w:r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действия и варианты установки</w:t>
      </w:r>
      <w:r w:rsidRPr="00EC0342">
        <w:t xml:space="preserve"> </w:t>
      </w:r>
      <w:r>
        <w:t>среды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p w14:paraId="26E38DD5" w14:textId="77777777" w:rsidR="00326962" w:rsidRDefault="00B8529C">
      <w:pPr>
        <w:pStyle w:val="10"/>
        <w:rPr>
          <w:rFonts w:asciiTheme="minorHAnsi" w:eastAsiaTheme="minorEastAsia" w:hAnsiTheme="minorHAnsi" w:cstheme="minorBidi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326962">
        <w:rPr>
          <w:noProof/>
        </w:rPr>
        <w:t>Системные требования</w:t>
      </w:r>
      <w:r w:rsidR="00326962">
        <w:rPr>
          <w:noProof/>
        </w:rPr>
        <w:tab/>
      </w:r>
      <w:r w:rsidR="00326962">
        <w:rPr>
          <w:noProof/>
        </w:rPr>
        <w:fldChar w:fldCharType="begin"/>
      </w:r>
      <w:r w:rsidR="00326962">
        <w:rPr>
          <w:noProof/>
        </w:rPr>
        <w:instrText xml:space="preserve"> PAGEREF _Toc327966925 \h </w:instrText>
      </w:r>
      <w:r w:rsidR="00326962">
        <w:rPr>
          <w:noProof/>
        </w:rPr>
      </w:r>
      <w:r w:rsidR="00326962">
        <w:rPr>
          <w:noProof/>
        </w:rPr>
        <w:fldChar w:fldCharType="separate"/>
      </w:r>
      <w:r w:rsidR="00326962">
        <w:rPr>
          <w:noProof/>
        </w:rPr>
        <w:t>4</w:t>
      </w:r>
      <w:r w:rsidR="00326962">
        <w:rPr>
          <w:noProof/>
        </w:rPr>
        <w:fldChar w:fldCharType="end"/>
      </w:r>
    </w:p>
    <w:p w14:paraId="02C4FE7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621BA0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Создание заявки на регистрацию «</w:t>
      </w:r>
      <w:r w:rsidRPr="00D2109A">
        <w:rPr>
          <w:noProof/>
          <w:lang w:val="en-US"/>
        </w:rPr>
        <w:t>SimInTech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CABC85" w14:textId="77777777" w:rsidR="00326962" w:rsidRDefault="0032696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Создание заявки на регистрацию из среды «</w:t>
      </w:r>
      <w:r w:rsidRPr="00D2109A">
        <w:rPr>
          <w:noProof/>
          <w:lang w:val="en-US"/>
        </w:rPr>
        <w:t>SimInTech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AEFA4D" w14:textId="77777777" w:rsidR="00326962" w:rsidRDefault="0032696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Получение лицензионного ключа с помощью утилиты генерации запроса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C560D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лицензионного ключа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2203F9E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лицензионного ключа кодогенератора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A35566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Удаление ПО «</w:t>
      </w:r>
      <w:r w:rsidRPr="00D2109A">
        <w:rPr>
          <w:noProof/>
          <w:lang w:val="en-US"/>
        </w:rPr>
        <w:t>SimInTech</w:t>
      </w:r>
      <w:r>
        <w:rPr>
          <w:noProof/>
        </w:rPr>
        <w:t>» с компьютера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B3FBA1B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системных настроек программного комплекса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6D362BF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Содержание директории установки программного комплекса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67FF110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Контроль версий и резервное копирование файлов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54FA4B7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Рекомендации по организации коллективной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C169DED" w14:textId="77777777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2" w:name="_Toc327966925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2"/>
      <w:r w:rsidR="00C91AF3" w:rsidRPr="00C91AF3">
        <w:rPr>
          <w:sz w:val="24"/>
          <w:szCs w:val="24"/>
        </w:rPr>
        <w:t xml:space="preserve"> </w:t>
      </w:r>
    </w:p>
    <w:p w14:paraId="75DD4A8F" w14:textId="77777777" w:rsidR="00C91AF3" w:rsidRDefault="00C91AF3" w:rsidP="00C91AF3">
      <w:pPr>
        <w:spacing w:line="360" w:lineRule="auto"/>
        <w:ind w:firstLine="426"/>
      </w:pPr>
      <w:r>
        <w:t>Для работы  программного комплекса «</w:t>
      </w:r>
      <w:r w:rsidR="001E771F">
        <w:rPr>
          <w:lang w:val="en-US"/>
        </w:rPr>
        <w:t>SimInTech</w:t>
      </w:r>
      <w:r>
        <w:t>» (</w:t>
      </w:r>
      <w:r w:rsidRPr="00C91AF3">
        <w:t>SimInTech</w:t>
      </w:r>
      <w:r w:rsidRPr="00C739C8">
        <w:t xml:space="preserve"> 1.0</w:t>
      </w:r>
      <w:r>
        <w:t>) необходимо:</w:t>
      </w:r>
    </w:p>
    <w:p w14:paraId="45823D92" w14:textId="77777777" w:rsidR="00C91AF3" w:rsidRDefault="00C91AF3" w:rsidP="00C91AF3">
      <w:pPr>
        <w:spacing w:line="360" w:lineRule="auto"/>
        <w:ind w:firstLine="426"/>
      </w:pPr>
      <w:r>
        <w:rPr>
          <w:lang w:val="en-US"/>
        </w:rPr>
        <w:t>IBM</w:t>
      </w:r>
      <w:r w:rsidRPr="00C91AF3">
        <w:t xml:space="preserve"> </w:t>
      </w:r>
      <w:r>
        <w:rPr>
          <w:lang w:val="en-US"/>
        </w:rPr>
        <w:t>PC</w:t>
      </w:r>
      <w:r>
        <w:t xml:space="preserve"> - совместимый компьютер, с процессором от </w:t>
      </w:r>
      <w:r>
        <w:rPr>
          <w:lang w:val="en-US"/>
        </w:rPr>
        <w:t>Intel</w:t>
      </w:r>
      <w:r w:rsidRPr="00C91AF3">
        <w:t xml:space="preserve"> 486 </w:t>
      </w:r>
      <w:r>
        <w:t xml:space="preserve">и выше, с установленной операционной системой семейства </w:t>
      </w:r>
      <w:r>
        <w:rPr>
          <w:lang w:val="en-US"/>
        </w:rPr>
        <w:t>Windows</w:t>
      </w:r>
      <w:r w:rsidRPr="00C91AF3">
        <w:t xml:space="preserve"> </w:t>
      </w:r>
      <w:r>
        <w:t>версий</w:t>
      </w:r>
      <w:r w:rsidR="00CA50EB">
        <w:t xml:space="preserve"> старше</w:t>
      </w:r>
      <w:r>
        <w:t xml:space="preserve">, </w:t>
      </w:r>
      <w:r>
        <w:rPr>
          <w:lang w:val="en-US"/>
        </w:rPr>
        <w:t>XP</w:t>
      </w:r>
      <w:r>
        <w:t xml:space="preserve">, </w:t>
      </w:r>
      <w:r w:rsidR="00D3319B">
        <w:t xml:space="preserve">(В среде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 xml:space="preserve">работы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77777777" w:rsidR="00CA50EB" w:rsidRPr="002208CB" w:rsidRDefault="00CA50EB" w:rsidP="00C91AF3">
      <w:pPr>
        <w:spacing w:line="360" w:lineRule="auto"/>
        <w:ind w:firstLine="426"/>
      </w:pPr>
      <w:r>
        <w:t xml:space="preserve">Дистрибутивы для ОС </w:t>
      </w:r>
      <w:r w:rsidRPr="002208CB">
        <w:t>Linux</w:t>
      </w:r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минимум 200 Мб свободного дискового пространства</w:t>
      </w:r>
    </w:p>
    <w:p w14:paraId="1B3BA8A8" w14:textId="77777777" w:rsidR="00CA0229" w:rsidRPr="00C91AF3" w:rsidRDefault="00CA0229" w:rsidP="00C91AF3">
      <w:pPr>
        <w:numPr>
          <w:ilvl w:val="1"/>
          <w:numId w:val="5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327966926"/>
      <w:r w:rsidRPr="005D097A">
        <w:rPr>
          <w:sz w:val="24"/>
          <w:szCs w:val="24"/>
        </w:rPr>
        <w:t>Установка программного обеспечения</w:t>
      </w:r>
      <w:bookmarkEnd w:id="3"/>
    </w:p>
    <w:p w14:paraId="17B26F9E" w14:textId="77777777" w:rsidR="001F6C5E" w:rsidRDefault="001E771F" w:rsidP="00C91AF3">
      <w:pPr>
        <w:spacing w:line="360" w:lineRule="auto"/>
        <w:ind w:firstLine="426"/>
      </w:pPr>
      <w:r>
        <w:t xml:space="preserve">Программный комплекс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r w:rsidR="002208CB" w:rsidRPr="001F6C5E">
        <w:rPr>
          <w:b/>
        </w:rPr>
        <w:t>simintech-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r w:rsidR="001F6C5E">
        <w:t xml:space="preserve">например 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r>
        <w:rPr>
          <w:lang w:val="en-US"/>
        </w:rPr>
        <w:t xml:space="preserve">rus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r>
        <w:rPr>
          <w:lang w:val="en-US"/>
        </w:rPr>
        <w:t>x</w:t>
      </w:r>
      <w:r>
        <w:t xml:space="preserve">32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val="en-US"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r w:rsidR="007308F7" w:rsidRPr="00365A82">
        <w:t xml:space="preserve">В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Toc327966927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4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r>
        <w:rPr>
          <w:lang w:val="en-US"/>
        </w:rPr>
        <w:t>QrGen</w:t>
      </w:r>
      <w:r w:rsidRPr="003F064E">
        <w:t>.</w:t>
      </w:r>
      <w:bookmarkStart w:id="5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327966928"/>
      <w:bookmarkEnd w:id="5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6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</w:t>
            </w:r>
            <w:r w:rsidRPr="00873DD7">
              <w:lastRenderedPageBreak/>
              <w:t xml:space="preserve">установленной лицензии в пределах организации. Необходим для 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случае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lastRenderedPageBreak/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lastRenderedPageBreak/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 xml:space="preserve">файл заявки пользователя необходимо отправить по адресу электронной почты компании ООО «3В Сервис»: </w:t>
      </w:r>
      <w:hyperlink r:id="rId25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получить файл лицензионного ключа с расширением</w:t>
      </w:r>
      <w:r>
        <w:t xml:space="preserve"> </w:t>
      </w:r>
      <w:r w:rsidRPr="006B0B78">
        <w:rPr>
          <w:b/>
        </w:rPr>
        <w:t>.key</w:t>
      </w:r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7" w:name="_Toc365369922"/>
      <w:bookmarkStart w:id="8" w:name="_Toc446574410"/>
      <w:r>
        <w:rPr>
          <w:sz w:val="24"/>
          <w:szCs w:val="24"/>
        </w:rPr>
        <w:t xml:space="preserve"> </w:t>
      </w:r>
      <w:bookmarkStart w:id="9" w:name="_Toc327966929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7"/>
      <w:bookmarkEnd w:id="8"/>
      <w:bookmarkEnd w:id="9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r w:rsidRPr="006B0B78">
        <w:rPr>
          <w:b/>
          <w:lang w:val="en-US"/>
        </w:rPr>
        <w:t>qrgen</w:t>
      </w:r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6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7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services.com/ru/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8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simintech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ru</w:t>
        </w:r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lastRenderedPageBreak/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7"/>
        <w:gridCol w:w="4775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 xml:space="preserve">, который передаётся с </w:t>
            </w:r>
            <w:r w:rsidRPr="00BA20B9">
              <w:lastRenderedPageBreak/>
              <w:t>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левой клавиши «мыши» нажать на кнопку «Сохранить» сохранить файл на рабочем месте пользователя. По умолчанию файл будет сохранён в папке «Мои </w:t>
      </w:r>
      <w:r w:rsidRPr="00E3474A">
        <w:rPr>
          <w:rFonts w:ascii="Times New Roman" w:hAnsi="Times New Roman"/>
        </w:rPr>
        <w:lastRenderedPageBreak/>
        <w:t>документы». После сохранения файла на экране пользователя появится рабочее окно подтверждения отправки заявки «Confirm»,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1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получить файл лицензионного ключа с расширением .key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327966930"/>
      <w:r w:rsidRPr="005D097A">
        <w:rPr>
          <w:sz w:val="24"/>
          <w:szCs w:val="24"/>
        </w:rPr>
        <w:t>Установка лицензионного ключа SimInTech</w:t>
      </w:r>
      <w:bookmarkEnd w:id="10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014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необходимо </w:t>
            </w:r>
            <w:r w:rsidRPr="006B0B78">
              <w:lastRenderedPageBreak/>
              <w:t>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val="en-US"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в рабочем окне «Открыть» (Рисунок 3.3.) необходимо найти и выбрать файл с лицензионным ключом с расширением .key,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1" w:name="_Toc365369924"/>
      <w:bookmarkStart w:id="12" w:name="_Toc446574412"/>
      <w:bookmarkStart w:id="13" w:name="_Toc327966931"/>
      <w:r w:rsidRPr="00162908">
        <w:rPr>
          <w:sz w:val="24"/>
          <w:szCs w:val="24"/>
        </w:rPr>
        <w:t xml:space="preserve">Установка лицензионного ключа </w:t>
      </w:r>
      <w:bookmarkEnd w:id="11"/>
      <w:r w:rsidRPr="00162908">
        <w:rPr>
          <w:sz w:val="24"/>
          <w:szCs w:val="24"/>
        </w:rPr>
        <w:t>кодогенератора SimInTech</w:t>
      </w:r>
      <w:bookmarkEnd w:id="12"/>
      <w:bookmarkEnd w:id="13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 xml:space="preserve">левой клавишей «мыши» нажать на кнопку «Установить ключ» (рисунок 4.2). В результате выполнения действия на экране пользователя появится </w:t>
      </w:r>
      <w:r w:rsidRPr="006B0B78">
        <w:lastRenderedPageBreak/>
        <w:t>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.key,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4" w:name="_Toc365369925"/>
      <w:r>
        <w:t xml:space="preserve"> без ограничений на размер проектов, используемых для генерации кода.</w:t>
      </w:r>
      <w:bookmarkEnd w:id="14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77777777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ПК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" fillcolor="#d8d8d8" strokecolor="#d8d8d8">
                <v:textbox inset="0,0,0,0">
                  <w:txbxContent>
                    <w:p w14:paraId="35874F9D" w14:textId="77777777" w:rsidR="00AE4553" w:rsidRPr="00945F78" w:rsidRDefault="00AE4553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5" w:name="_Toc327966932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5"/>
    </w:p>
    <w:p w14:paraId="10F0858A" w14:textId="4DA991AD" w:rsidR="008F7CFB" w:rsidRPr="00C263B0" w:rsidRDefault="00C739C8" w:rsidP="00995425">
      <w:pPr>
        <w:spacing w:line="360" w:lineRule="auto"/>
        <w:ind w:firstLine="426"/>
      </w:pPr>
      <w:r>
        <w:t>Для уд</w:t>
      </w:r>
      <w:r w:rsidR="00995425">
        <w:t xml:space="preserve">аления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6" w:name="_Toc327966933"/>
      <w:r w:rsidRPr="00E956AA">
        <w:rPr>
          <w:sz w:val="24"/>
        </w:rPr>
        <w:t>Установка системных настроек программного комплекса</w:t>
      </w:r>
      <w:bookmarkEnd w:id="16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lastRenderedPageBreak/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 xml:space="preserve"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</w:t>
      </w:r>
      <w:r>
        <w:lastRenderedPageBreak/>
        <w:t>добавления нового профиля необходимо нажать кнопку «Добавить».Для удаления 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 xml:space="preserve">необходимо нажать кнопку «Добавить».Для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>Закладка «Обновление» позволяет включить и выключит автоматический поиск обновления на старте программы, а так же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исправлениями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lastRenderedPageBreak/>
        <w:t>Закладка «Замены» содержит в себе изменения для совместимости различных версии и обеспечивает автоматическую замену одних библиотек на дургие,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«Добавить».Для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7" w:name="_Toc327966934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7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uninst.exe</w:t>
            </w:r>
          </w:p>
        </w:tc>
        <w:tc>
          <w:tcPr>
            <w:tcW w:w="6043" w:type="dxa"/>
            <w:vAlign w:val="center"/>
          </w:tcPr>
          <w:p w14:paraId="0B4E7289" w14:textId="77777777" w:rsidR="00110740" w:rsidRDefault="00110740" w:rsidP="00110740">
            <w:pPr>
              <w:spacing w:line="360" w:lineRule="auto"/>
            </w:pPr>
            <w:r>
              <w:t>Программа автоматического удаления ПК 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77777777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>
        <w:t xml:space="preserve">  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ParamSet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mmain.exe</w:t>
            </w:r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mstarter.exe</w:t>
            </w:r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Программа-ланчер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patch.exe</w:t>
            </w:r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r>
              <w:t xml:space="preserve">Патч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proxy.exe</w:t>
            </w:r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update.exe</w:t>
            </w:r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utilscfg.exe</w:t>
            </w:r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update.ini</w:t>
            </w:r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rsa.key</w:t>
            </w:r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ClassLib.csl</w:t>
            </w:r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about.dll</w:t>
            </w:r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common.dll</w:t>
            </w:r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rtf.dll</w:t>
            </w:r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>Библиотека моделей гидроавтоматики.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PluginTest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ExtControl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XMLReader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mmain.tlb</w:t>
            </w:r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mmain_TLB.pas</w:t>
            </w:r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327966935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можно удалить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версию файла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вресионирования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327966936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 xml:space="preserve">На рабочих местах сделать сетевые диски, подключенные к созданному ресурсу (например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Настроить у пользователей автоматическое резервное копирование, путём прописывания пути к поддиректории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prt</w:t>
      </w:r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mgr</w:t>
      </w:r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xprt</w:t>
      </w:r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pak</w:t>
      </w:r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db</w:t>
      </w:r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rst</w:t>
      </w:r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5C801AF9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>
        <w:rPr>
          <w:lang w:val="en-US"/>
        </w:rPr>
        <w:t xml:space="preserve"> 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2"/>
      <w:footerReference w:type="default" r:id="rId43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CE0FE" w14:textId="77777777" w:rsidR="008B7550" w:rsidRDefault="008B7550" w:rsidP="00F51D61">
      <w:r>
        <w:separator/>
      </w:r>
    </w:p>
  </w:endnote>
  <w:endnote w:type="continuationSeparator" w:id="0">
    <w:p w14:paraId="3DD4189F" w14:textId="77777777" w:rsidR="008B7550" w:rsidRDefault="008B7550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E66B50" w14:paraId="6DB59287" w14:textId="77777777" w:rsidTr="00995425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162908" w:rsidRDefault="008B7550" w:rsidP="00E3474A">
          <w:pPr>
            <w:pStyle w:val="a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17CF75E1" w:rsidR="008B7550" w:rsidRPr="00162908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162908">
            <w:rPr>
              <w:sz w:val="20"/>
              <w:szCs w:val="20"/>
            </w:rPr>
            <w:t>Инструкция по установке, регистрации и настройке.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77777777" w:rsidR="008B7550" w:rsidRPr="00E66B50" w:rsidRDefault="008B7550" w:rsidP="00743926">
          <w:pPr>
            <w:pStyle w:val="a5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0D2D86">
            <w:rPr>
              <w:noProof/>
            </w:rPr>
            <w:t>2</w:t>
          </w:r>
          <w:r w:rsidRPr="00E66B50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BCEF8" w14:textId="77777777" w:rsidR="008B7550" w:rsidRDefault="008B7550" w:rsidP="00F51D61">
      <w:r>
        <w:separator/>
      </w:r>
    </w:p>
  </w:footnote>
  <w:footnote w:type="continuationSeparator" w:id="0">
    <w:p w14:paraId="0C49046F" w14:textId="77777777" w:rsidR="008B7550" w:rsidRDefault="008B7550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0271" w14:textId="77777777" w:rsidR="008B7550" w:rsidRDefault="008B7550">
    <w:pPr>
      <w:pStyle w:val="a5"/>
    </w:pPr>
    <w:r>
      <w:rPr>
        <w:noProof/>
        <w:lang w:val="en-US"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C2595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430685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430685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263A78C5" w:rsidR="008B7550" w:rsidRPr="00E66B50" w:rsidRDefault="00C25955" w:rsidP="00C25955">
          <w:pPr>
            <w:pStyle w:val="a5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2C37D8C3" wp14:editId="75837758">
                <wp:extent cx="582930" cy="477520"/>
                <wp:effectExtent l="0" t="0" r="0" b="0"/>
                <wp:docPr id="900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mInTech_ic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" cy="47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48F4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1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20"/>
  </w:num>
  <w:num w:numId="8">
    <w:abstractNumId w:val="0"/>
  </w:num>
  <w:num w:numId="9">
    <w:abstractNumId w:val="11"/>
  </w:num>
  <w:num w:numId="10">
    <w:abstractNumId w:val="19"/>
  </w:num>
  <w:num w:numId="11">
    <w:abstractNumId w:val="3"/>
  </w:num>
  <w:num w:numId="12">
    <w:abstractNumId w:val="2"/>
  </w:num>
  <w:num w:numId="13">
    <w:abstractNumId w:val="5"/>
  </w:num>
  <w:num w:numId="14">
    <w:abstractNumId w:val="22"/>
  </w:num>
  <w:num w:numId="15">
    <w:abstractNumId w:val="9"/>
  </w:num>
  <w:num w:numId="16">
    <w:abstractNumId w:val="17"/>
  </w:num>
  <w:num w:numId="17">
    <w:abstractNumId w:val="16"/>
  </w:num>
  <w:num w:numId="18">
    <w:abstractNumId w:val="8"/>
  </w:num>
  <w:num w:numId="19">
    <w:abstractNumId w:val="14"/>
  </w:num>
  <w:num w:numId="20">
    <w:abstractNumId w:val="7"/>
  </w:num>
  <w:num w:numId="21">
    <w:abstractNumId w:val="21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FC"/>
    <w:rsid w:val="00010531"/>
    <w:rsid w:val="00081095"/>
    <w:rsid w:val="000D2D86"/>
    <w:rsid w:val="000E11AC"/>
    <w:rsid w:val="00110740"/>
    <w:rsid w:val="0011102C"/>
    <w:rsid w:val="001242FC"/>
    <w:rsid w:val="001576FC"/>
    <w:rsid w:val="00162908"/>
    <w:rsid w:val="00172FEC"/>
    <w:rsid w:val="001D0279"/>
    <w:rsid w:val="001E771F"/>
    <w:rsid w:val="001F0C72"/>
    <w:rsid w:val="001F6C5E"/>
    <w:rsid w:val="00207E4F"/>
    <w:rsid w:val="002208CB"/>
    <w:rsid w:val="00326962"/>
    <w:rsid w:val="00344734"/>
    <w:rsid w:val="003C0473"/>
    <w:rsid w:val="003C7AC5"/>
    <w:rsid w:val="003D6499"/>
    <w:rsid w:val="00430685"/>
    <w:rsid w:val="0043425E"/>
    <w:rsid w:val="00462052"/>
    <w:rsid w:val="0053295E"/>
    <w:rsid w:val="005862B8"/>
    <w:rsid w:val="005D097A"/>
    <w:rsid w:val="005E492D"/>
    <w:rsid w:val="00606E35"/>
    <w:rsid w:val="006A068D"/>
    <w:rsid w:val="006A66B1"/>
    <w:rsid w:val="006B3474"/>
    <w:rsid w:val="007308F7"/>
    <w:rsid w:val="00743926"/>
    <w:rsid w:val="00771B3C"/>
    <w:rsid w:val="007E769A"/>
    <w:rsid w:val="00824034"/>
    <w:rsid w:val="008516C7"/>
    <w:rsid w:val="00873DD7"/>
    <w:rsid w:val="00897115"/>
    <w:rsid w:val="008B7550"/>
    <w:rsid w:val="008F7CFB"/>
    <w:rsid w:val="00900910"/>
    <w:rsid w:val="00945F78"/>
    <w:rsid w:val="00995425"/>
    <w:rsid w:val="00A10AB3"/>
    <w:rsid w:val="00A14D1D"/>
    <w:rsid w:val="00A3185B"/>
    <w:rsid w:val="00A56FD5"/>
    <w:rsid w:val="00A86A88"/>
    <w:rsid w:val="00A93628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91AF3"/>
    <w:rsid w:val="00C927E8"/>
    <w:rsid w:val="00CA0229"/>
    <w:rsid w:val="00CA50EB"/>
    <w:rsid w:val="00CB1975"/>
    <w:rsid w:val="00D22FCC"/>
    <w:rsid w:val="00D3319B"/>
    <w:rsid w:val="00D727E1"/>
    <w:rsid w:val="00D800F6"/>
    <w:rsid w:val="00DC080C"/>
    <w:rsid w:val="00DE484A"/>
    <w:rsid w:val="00E02838"/>
    <w:rsid w:val="00E2491B"/>
    <w:rsid w:val="00E3474A"/>
    <w:rsid w:val="00E56AC4"/>
    <w:rsid w:val="00E648FA"/>
    <w:rsid w:val="00E75378"/>
    <w:rsid w:val="00E956AA"/>
    <w:rsid w:val="00E977DE"/>
    <w:rsid w:val="00EC3ECF"/>
    <w:rsid w:val="00ED3FB3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362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D097A"/>
    <w:pPr>
      <w:tabs>
        <w:tab w:val="right" w:leader="dot" w:pos="9345"/>
      </w:tabs>
    </w:pPr>
  </w:style>
  <w:style w:type="character" w:styleId="a3">
    <w:name w:val="Hyperlink"/>
    <w:basedOn w:val="a0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D097A"/>
    <w:pPr>
      <w:tabs>
        <w:tab w:val="right" w:leader="dot" w:pos="9345"/>
      </w:tabs>
    </w:pPr>
  </w:style>
  <w:style w:type="character" w:styleId="a3">
    <w:name w:val="Hyperlink"/>
    <w:basedOn w:val="a0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yperlink" Target="mailto:info@3v-services.com" TargetMode="External"/><Relationship Id="rId26" Type="http://schemas.openxmlformats.org/officeDocument/2006/relationships/hyperlink" Target="mailto:info@3v-services.com" TargetMode="External"/><Relationship Id="rId27" Type="http://schemas.openxmlformats.org/officeDocument/2006/relationships/hyperlink" Target="http://www.3vservices.com/ru/" TargetMode="External"/><Relationship Id="rId28" Type="http://schemas.openxmlformats.org/officeDocument/2006/relationships/hyperlink" Target="http://www.simintech.ru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6.png"/><Relationship Id="rId31" Type="http://schemas.openxmlformats.org/officeDocument/2006/relationships/hyperlink" Target="mailto:info@3v-services.com" TargetMode="External"/><Relationship Id="rId32" Type="http://schemas.openxmlformats.org/officeDocument/2006/relationships/image" Target="media/image17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10" Type="http://schemas.openxmlformats.org/officeDocument/2006/relationships/hyperlink" Target="http://www.3v-services.com/" TargetMode="External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header" Target="header3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A3F550-6472-594B-BA3E-84F075A5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4190</Words>
  <Characters>23884</Characters>
  <Application>Microsoft Macintosh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28018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Veacheslav Petukhov</cp:lastModifiedBy>
  <cp:revision>11</cp:revision>
  <cp:lastPrinted>2016-06-19T11:15:00Z</cp:lastPrinted>
  <dcterms:created xsi:type="dcterms:W3CDTF">2016-06-19T10:51:00Z</dcterms:created>
  <dcterms:modified xsi:type="dcterms:W3CDTF">2017-09-25T12:03:00Z</dcterms:modified>
</cp:coreProperties>
</file>