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733062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6F3952" w:rsidP="00733062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Методы адаптивные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</w:p>
        </w:tc>
      </w:tr>
      <w:tr w:rsidR="002602DE" w:rsidRPr="00AE345C" w:rsidTr="00733062">
        <w:trPr>
          <w:trHeight w:val="8452"/>
        </w:trPr>
        <w:tc>
          <w:tcPr>
            <w:tcW w:w="10207" w:type="dxa"/>
            <w:tcBorders>
              <w:top w:val="single" w:sz="4" w:space="0" w:color="auto"/>
            </w:tcBorders>
          </w:tcPr>
          <w:p w:rsidR="006F3952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</w:p>
          <w:p w:rsidR="0022702B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Значительно более эффективны при решении жестк</w:t>
            </w:r>
            <w:r>
              <w:rPr>
                <w:sz w:val="28"/>
                <w:szCs w:val="28"/>
              </w:rPr>
              <w:t>их задач адаптивные методы</w:t>
            </w:r>
            <w:r w:rsidRPr="006F3952">
              <w:rPr>
                <w:sz w:val="28"/>
                <w:szCs w:val="28"/>
              </w:rPr>
              <w:t>, основанные на получении оценок наибольших по модулю собственных значений и последующей стабилизации расчетной схемы в полученных точках жесткого спектра.</w:t>
            </w:r>
          </w:p>
          <w:p w:rsidR="006F3952" w:rsidRPr="004269E0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Одношаговые адаптивные методы строятся на основе стадий Рунге-Кутты, которые выполняются по формулам</w:t>
            </w:r>
            <w:r w:rsidRPr="006F3952">
              <w:rPr>
                <w:sz w:val="28"/>
                <w:szCs w:val="28"/>
              </w:rPr>
              <w:t>:</w:t>
            </w:r>
          </w:p>
          <w:p w:rsidR="00316CEB" w:rsidRPr="004269E0" w:rsidRDefault="004269E0" w:rsidP="00733062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806A0D" w:rsidRPr="004269E0">
              <w:rPr>
                <w:rFonts w:eastAsiaTheme="minorEastAsia"/>
                <w:sz w:val="26"/>
              </w:rPr>
              <w:t>,</w:t>
            </w:r>
            <w:r w:rsidR="00320827" w:rsidRPr="004269E0">
              <w:rPr>
                <w:rFonts w:eastAsiaTheme="minorEastAsia"/>
                <w:sz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r>
                <w:rPr>
                  <w:rFonts w:ascii="Cambria Math" w:eastAsiaTheme="minorEastAsia" w:hAnsi="Cambria Math"/>
                  <w:sz w:val="26"/>
                </w:rPr>
                <m:t xml:space="preserve">β∙h,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+β∙h∙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Pr="004269E0">
              <w:rPr>
                <w:rFonts w:eastAsiaTheme="minorEastAsia"/>
                <w:sz w:val="26"/>
              </w:rPr>
              <w:t>;</w:t>
            </w:r>
          </w:p>
          <w:p w:rsidR="004269E0" w:rsidRPr="00545AA3" w:rsidRDefault="00545AA3" w:rsidP="00733062">
            <w:pPr>
              <w:pStyle w:val="rsrt"/>
              <w:ind w:firstLine="0"/>
              <w:jc w:val="center"/>
              <w:rPr>
                <w:rFonts w:eastAsiaTheme="minorEastAsia"/>
                <w:i/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r>
                  <w:rPr>
                    <w:rFonts w:ascii="Cambria Math" w:eastAsiaTheme="minorEastAsia" w:hAnsi="Cambria Math"/>
                    <w:sz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 xml:space="preserve">+β∙h,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β-α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</w:rPr>
                      <m:t>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+α∙h∙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i=3,…s,</m:t>
                </m:r>
              </m:oMath>
            </m:oMathPara>
          </w:p>
          <w:p w:rsidR="002920ED" w:rsidRDefault="00AB2172" w:rsidP="00733062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s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число стадий,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β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α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метода (в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общем случае самонастраиваемые</w:t>
            </w:r>
            <w:r w:rsidRPr="00AB2172">
              <w:rPr>
                <w:rFonts w:ascii="Times New Roman" w:hAnsi="Times New Roman" w:cs="Times New Roman"/>
                <w:sz w:val="28"/>
                <w:szCs w:val="28"/>
              </w:rPr>
              <w:t>. Далее вычисляются векторы</w:t>
            </w:r>
          </w:p>
          <w:p w:rsidR="00733062" w:rsidRPr="00733062" w:rsidRDefault="00733062" w:rsidP="0073306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</w:rPr>
                      <m:t>β∙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6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 2,…s</m:t>
                </m:r>
              </m:oMath>
            </m:oMathPara>
          </w:p>
          <w:p w:rsidR="00733062" w:rsidRPr="00733062" w:rsidRDefault="00733062" w:rsidP="00733062">
            <w:pPr>
              <w:pStyle w:val="rl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которые используются для получения оценок собственных значений и в заключительной формуле шага интегрирования.</w:t>
            </w:r>
          </w:p>
          <w:p w:rsidR="00733062" w:rsidRPr="00733062" w:rsidRDefault="0073306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Вектор покомпонентных оценок наибольшего собственного значения получим в виде</w:t>
            </w:r>
          </w:p>
          <w:p w:rsidR="00733062" w:rsidRPr="00733062" w:rsidRDefault="00733062" w:rsidP="00733062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z=</m:t>
                    </m:r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s-1</m:t>
                    </m:r>
                  </m:sub>
                </m:sSub>
              </m:oMath>
            </m:oMathPara>
          </w:p>
        </w:tc>
      </w:tr>
    </w:tbl>
    <w:p w:rsidR="006F3952" w:rsidRDefault="00733062" w:rsidP="00733062">
      <w:pPr>
        <w:pStyle w:val="rsrt"/>
        <w:ind w:firstLine="0"/>
        <w:rPr>
          <w:sz w:val="28"/>
          <w:szCs w:val="28"/>
          <w:lang w:val="en-US"/>
        </w:rPr>
      </w:pPr>
      <w:r w:rsidRPr="00733062">
        <w:rPr>
          <w:sz w:val="28"/>
          <w:szCs w:val="28"/>
        </w:rPr>
        <w:t xml:space="preserve">С помощью этих оценок вычисляется вектор настраиваемых параметров </w:t>
      </w:r>
      <w:r w:rsidRPr="00733062">
        <w:rPr>
          <w:bCs/>
          <w:sz w:val="28"/>
          <w:szCs w:val="28"/>
        </w:rPr>
        <w:t>с</w:t>
      </w:r>
      <w:r w:rsidRPr="00733062">
        <w:rPr>
          <w:sz w:val="28"/>
          <w:szCs w:val="28"/>
        </w:rPr>
        <w:t>, который используется в формуле шага интегрирования</w:t>
      </w:r>
    </w:p>
    <w:p w:rsidR="007508C1" w:rsidRPr="007508C1" w:rsidRDefault="007508C1" w:rsidP="007508C1">
      <w:pPr>
        <w:pStyle w:val="rsrt"/>
        <w:ind w:firstLine="0"/>
        <w:jc w:val="center"/>
        <w:rPr>
          <w:i/>
          <w:sz w:val="2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6"/>
            </w:rPr>
            <m:t>+c∙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s-1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</m:oMath>
      </m:oMathPara>
    </w:p>
    <w:p w:rsidR="007508C1" w:rsidRDefault="007508C1" w:rsidP="007508C1">
      <w:pPr>
        <w:pStyle w:val="rsrt"/>
        <w:ind w:firstLine="0"/>
        <w:rPr>
          <w:sz w:val="28"/>
          <w:szCs w:val="28"/>
        </w:rPr>
      </w:pPr>
      <w:r>
        <w:rPr>
          <w:sz w:val="28"/>
          <w:szCs w:val="28"/>
        </w:rPr>
        <w:t>Из последней формулы</w:t>
      </w:r>
      <w:r w:rsidRPr="007508C1">
        <w:rPr>
          <w:sz w:val="28"/>
          <w:szCs w:val="28"/>
        </w:rPr>
        <w:t xml:space="preserve"> видно, что порядок метода для жестких задач не может превышать </w:t>
      </w:r>
      <m:oMath>
        <m:r>
          <w:rPr>
            <w:rFonts w:ascii="Cambria Math" w:eastAsiaTheme="minorEastAsia" w:hAnsi="Cambria Math"/>
            <w:sz w:val="26"/>
          </w:rPr>
          <m:t>s-2</m:t>
        </m:r>
      </m:oMath>
      <w:r w:rsidRPr="007508C1">
        <w:rPr>
          <w:sz w:val="28"/>
          <w:szCs w:val="28"/>
        </w:rPr>
        <w:t xml:space="preserve">. На основе формул </w:t>
      </w:r>
      <w:r>
        <w:rPr>
          <w:sz w:val="28"/>
          <w:szCs w:val="28"/>
        </w:rPr>
        <w:t>вышеописанных формул</w:t>
      </w:r>
      <w:r w:rsidRPr="007508C1">
        <w:rPr>
          <w:sz w:val="28"/>
          <w:szCs w:val="28"/>
        </w:rPr>
        <w:t xml:space="preserve"> построены одношаговые методы Адаптивный 1, 2, 3, 5.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1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Этот метод - явный одношаговый трехстадийный (на каждом шаге производится три обращения к процедуре вычисления правых частей). Стадии выполняются по формулам</w:t>
      </w:r>
    </w:p>
    <w:p w:rsidR="009E636C" w:rsidRPr="00BE6501" w:rsidRDefault="00AD2100" w:rsidP="007508C1">
      <w:pPr>
        <w:pStyle w:val="rsrt"/>
        <w:ind w:firstLine="851"/>
        <w:rPr>
          <w:i/>
          <w:sz w:val="26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4D1B37" w:rsidRPr="00BE6501" w:rsidRDefault="004D1B37" w:rsidP="004D1B37">
      <w:pPr>
        <w:pStyle w:val="rsrt"/>
        <w:ind w:firstLine="851"/>
        <w:rPr>
          <w:i/>
          <w:sz w:val="26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+β∙h</m:t>
          </m:r>
          <m:r>
            <w:rPr>
              <w:rFonts w:ascii="Cambria Math" w:eastAsiaTheme="minorEastAsia" w:hAnsi="Cambria Math"/>
              <w:sz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+β∙h∙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4D1B37" w:rsidRPr="00BE6501" w:rsidRDefault="004D1B37" w:rsidP="004D1B37">
      <w:pPr>
        <w:pStyle w:val="rsrt"/>
        <w:ind w:firstLine="851"/>
        <w:rPr>
          <w:i/>
          <w:sz w:val="26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β</m:t>
              </m:r>
              <m:r>
                <w:rPr>
                  <w:rFonts w:ascii="Cambria Math" w:eastAsiaTheme="minorEastAsia" w:hAnsi="Cambria Math"/>
                  <w:sz w:val="26"/>
                </w:rPr>
                <m:t>-α</m:t>
              </m:r>
            </m:e>
          </m:d>
          <m:r>
            <w:rPr>
              <w:rFonts w:ascii="Cambria Math" w:eastAsiaTheme="minorEastAsia" w:hAnsi="Cambria Math"/>
              <w:sz w:val="26"/>
            </w:rPr>
            <m:t>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+α∙h∙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4D1B37" w:rsidRDefault="004D1B37" w:rsidP="004D1B37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r>
          <w:rPr>
            <w:rFonts w:ascii="Cambria Math" w:eastAsiaTheme="minorEastAsia" w:hAnsi="Cambria Math"/>
            <w:sz w:val="26"/>
          </w:rPr>
          <m:t>β</m:t>
        </m:r>
        <m:r>
          <w:rPr>
            <w:rFonts w:ascii="Cambria Math" w:eastAsiaTheme="minorEastAsia" w:hAnsi="Cambria Math"/>
            <w:sz w:val="26"/>
          </w:rPr>
          <m:t>=1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значение </w:t>
      </w:r>
      <m:oMath>
        <m:r>
          <w:rPr>
            <w:rFonts w:ascii="Cambria Math" w:eastAsiaTheme="minorEastAsia" w:hAnsi="Cambria Math"/>
            <w:sz w:val="26"/>
          </w:rPr>
          <m:t>α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вычисляются на основе информации предыдущего шага. Принимаем</w:t>
      </w:r>
    </w:p>
    <w:p w:rsidR="00AC479B" w:rsidRPr="004D1B37" w:rsidRDefault="00AC479B" w:rsidP="004D1B37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α∙β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 </m:t>
          </m:r>
        </m:oMath>
      </m:oMathPara>
    </w:p>
    <w:p w:rsidR="00204B0A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покомпонентно вычисляем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оценок наибольшего по модулю собственного значения матрицы </w:t>
      </w:r>
      <m:oMath>
        <m:r>
          <w:rPr>
            <w:rFonts w:ascii="Cambria Math" w:eastAsiaTheme="minorEastAsia" w:hAnsi="Cambria Math"/>
            <w:sz w:val="26"/>
          </w:rPr>
          <m:t>h</m:t>
        </m:r>
        <m:r>
          <w:rPr>
            <w:rFonts w:ascii="Cambria Math" w:eastAsiaTheme="minorEastAsia" w:hAnsi="Cambria Math"/>
            <w:sz w:val="26"/>
          </w:rPr>
          <m:t>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m:oMath>
        <m:r>
          <w:rPr>
            <w:rFonts w:ascii="Cambria Math" w:eastAsiaTheme="minorEastAsia" w:hAnsi="Cambria Math"/>
            <w:sz w:val="26"/>
          </w:rPr>
          <m:t>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якобиан в текущей точке решения. Формула шага интегрирования имеет вид</w:t>
      </w:r>
    </w:p>
    <w:p w:rsidR="00204B0A" w:rsidRDefault="00590C42" w:rsidP="00BE6501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</m:t>
            </m:r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+h∙(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Pr="00590C42">
        <w:rPr>
          <w:rFonts w:ascii="Times New Roman" w:eastAsia="Times New Roman" w:hAnsi="Times New Roman" w:cs="Times New Roman"/>
          <w:sz w:val="26"/>
          <w:szCs w:val="24"/>
          <w:lang w:eastAsia="ru-RU"/>
        </w:rPr>
        <w:t>,</w:t>
      </w:r>
    </w:p>
    <w:p w:rsidR="00590C42" w:rsidRPr="00BE6501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</w:rPr>
                    <m:t>≤1.6,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&lt;-1.6,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1.23∙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&gt;1.6</m:t>
                  </m:r>
                </m:e>
              </m:eqArr>
            </m:e>
          </m:d>
        </m:oMath>
      </m:oMathPara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также реализуется покомпонентно. </w:t>
      </w:r>
    </w:p>
    <w:p w:rsidR="00501EA2" w:rsidRDefault="00501EA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оценивания ошибки используется двухшаговая формула типа Адамса.</w:t>
      </w: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имеет второй порядок. Его рекомендуется использовать для решения нежестких и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</m:t>
        </m:r>
        <m:r>
          <w:rPr>
            <w:rFonts w:ascii="Cambria Math" w:eastAsiaTheme="minorEastAsia" w:hAnsi="Cambria Math"/>
            <w:sz w:val="26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204B0A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2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Расчетные формулы этого метода практически такие же, как у метода Адаптивный 1. Отличие заключается в том, что ошибка решения оценивается по правилу Рунге, т.е. используя один шаг размером 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два шага размером </w:t>
      </w:r>
      <m:oMath>
        <m:r>
          <w:rPr>
            <w:rFonts w:ascii="Cambria Math" w:eastAsiaTheme="minorEastAsia" w:hAnsi="Cambria Math"/>
            <w:sz w:val="26"/>
          </w:rPr>
          <m:t>h</m:t>
        </m:r>
        <m:r>
          <w:rPr>
            <w:rFonts w:ascii="Cambria Math" w:eastAsiaTheme="minorEastAsia" w:hAnsi="Cambria Math"/>
            <w:sz w:val="26"/>
          </w:rPr>
          <m:t>/2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. Метод имеет третий порядок. Его рекомендуется использовать для решения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3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Явный четырехстадийный адаптивный метод</w:t>
      </w:r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m:oMath>
        <m:r>
          <w:rPr>
            <w:rFonts w:ascii="Cambria Math" w:eastAsiaTheme="minorEastAsia" w:hAnsi="Cambria Math"/>
            <w:sz w:val="26"/>
          </w:rPr>
          <m:t>s</m:t>
        </m:r>
        <m:r>
          <w:rPr>
            <w:rFonts w:ascii="Cambria Math" w:eastAsiaTheme="minorEastAsia" w:hAnsi="Cambria Math"/>
            <w:sz w:val="26"/>
          </w:rPr>
          <m:t>=4</m:t>
        </m:r>
      </m:oMath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реализован в соответствии с формулами (все арифметические операции с векторами выполняются покомпонентно):</w:t>
      </w:r>
    </w:p>
    <w:p w:rsidR="00472778" w:rsidRDefault="00A145F1" w:rsidP="00BE6501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</m:t>
            </m:r>
            <m:r>
              <w:rPr>
                <w:rFonts w:ascii="Cambria Math" w:eastAsiaTheme="minorEastAsia" w:hAnsi="Cambria Math"/>
                <w:sz w:val="26"/>
              </w:rPr>
              <m:t>f(t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,</w:t>
      </w:r>
    </w:p>
    <w:p w:rsidR="00ED5964" w:rsidRPr="00BE6501" w:rsidRDefault="00ED5964" w:rsidP="00BE6501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+β∙h∙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ED5964" w:rsidRPr="00BE6501" w:rsidRDefault="00ED5964" w:rsidP="00BE6501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A145F1" w:rsidRPr="00BE6501" w:rsidRDefault="00ED5964" w:rsidP="00BE6501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,</m:t>
          </m:r>
        </m:oMath>
      </m:oMathPara>
    </w:p>
    <w:p w:rsidR="0001482D" w:rsidRPr="00204B0A" w:rsidRDefault="00B67677" w:rsidP="00ED5964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∙()</m:t>
          </m:r>
        </m:oMath>
      </m:oMathPara>
      <w:bookmarkStart w:id="0" w:name="_GoBack"/>
      <w:bookmarkEnd w:id="0"/>
    </w:p>
    <w:p w:rsidR="004D1B37" w:rsidRPr="004D1B37" w:rsidRDefault="004D1B37" w:rsidP="004D1B37">
      <w:pPr>
        <w:pStyle w:val="rsrt"/>
        <w:ind w:firstLine="0"/>
        <w:rPr>
          <w:i/>
          <w:sz w:val="26"/>
        </w:rPr>
      </w:pPr>
    </w:p>
    <w:p w:rsidR="004D1B37" w:rsidRPr="004D1B37" w:rsidRDefault="004D1B37" w:rsidP="007508C1">
      <w:pPr>
        <w:pStyle w:val="rsrt"/>
        <w:ind w:firstLine="0"/>
        <w:rPr>
          <w:i/>
          <w:sz w:val="26"/>
        </w:rPr>
      </w:pPr>
    </w:p>
    <w:p w:rsidR="00AD2100" w:rsidRPr="004D1B37" w:rsidRDefault="00AD2100" w:rsidP="007508C1">
      <w:pPr>
        <w:pStyle w:val="rsrt"/>
        <w:ind w:firstLine="0"/>
        <w:rPr>
          <w:i/>
          <w:sz w:val="28"/>
          <w:szCs w:val="28"/>
        </w:rPr>
      </w:pPr>
    </w:p>
    <w:sectPr w:rsidR="00AD2100" w:rsidRPr="004D1B37" w:rsidSect="00733062">
      <w:pgSz w:w="11907" w:h="16840" w:code="9"/>
      <w:pgMar w:top="709" w:right="567" w:bottom="1191" w:left="1276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1482D"/>
    <w:rsid w:val="00037DD4"/>
    <w:rsid w:val="00046C88"/>
    <w:rsid w:val="00061340"/>
    <w:rsid w:val="00064255"/>
    <w:rsid w:val="00067C7D"/>
    <w:rsid w:val="00070F4E"/>
    <w:rsid w:val="00082A8C"/>
    <w:rsid w:val="000B34C9"/>
    <w:rsid w:val="000B6723"/>
    <w:rsid w:val="000B6BE8"/>
    <w:rsid w:val="000C3D10"/>
    <w:rsid w:val="001043B4"/>
    <w:rsid w:val="00123611"/>
    <w:rsid w:val="00133104"/>
    <w:rsid w:val="001E7A7A"/>
    <w:rsid w:val="00204B0A"/>
    <w:rsid w:val="0022702B"/>
    <w:rsid w:val="002304A2"/>
    <w:rsid w:val="00257248"/>
    <w:rsid w:val="002602DE"/>
    <w:rsid w:val="002871F1"/>
    <w:rsid w:val="002920ED"/>
    <w:rsid w:val="002F2CAF"/>
    <w:rsid w:val="002F554D"/>
    <w:rsid w:val="00316CEB"/>
    <w:rsid w:val="00317DC5"/>
    <w:rsid w:val="00320827"/>
    <w:rsid w:val="0033307C"/>
    <w:rsid w:val="00342E5A"/>
    <w:rsid w:val="00350718"/>
    <w:rsid w:val="00363F3F"/>
    <w:rsid w:val="003746FF"/>
    <w:rsid w:val="003B079A"/>
    <w:rsid w:val="003D0350"/>
    <w:rsid w:val="003D091E"/>
    <w:rsid w:val="004047C1"/>
    <w:rsid w:val="00424929"/>
    <w:rsid w:val="004269E0"/>
    <w:rsid w:val="004344C8"/>
    <w:rsid w:val="004374BE"/>
    <w:rsid w:val="004466B9"/>
    <w:rsid w:val="00472778"/>
    <w:rsid w:val="0048589E"/>
    <w:rsid w:val="004A0B47"/>
    <w:rsid w:val="004A211A"/>
    <w:rsid w:val="004A5DAF"/>
    <w:rsid w:val="004B00CF"/>
    <w:rsid w:val="004B49C5"/>
    <w:rsid w:val="004B5DC1"/>
    <w:rsid w:val="004B7A76"/>
    <w:rsid w:val="004D1B37"/>
    <w:rsid w:val="004F0724"/>
    <w:rsid w:val="00501EA2"/>
    <w:rsid w:val="00521484"/>
    <w:rsid w:val="0052212F"/>
    <w:rsid w:val="00522AAF"/>
    <w:rsid w:val="005439CA"/>
    <w:rsid w:val="00545AA3"/>
    <w:rsid w:val="00572D94"/>
    <w:rsid w:val="005877EB"/>
    <w:rsid w:val="00590C42"/>
    <w:rsid w:val="00594DDA"/>
    <w:rsid w:val="005A0D97"/>
    <w:rsid w:val="005A2A5F"/>
    <w:rsid w:val="00605374"/>
    <w:rsid w:val="006532B4"/>
    <w:rsid w:val="006A4B45"/>
    <w:rsid w:val="006B6D92"/>
    <w:rsid w:val="006E72F6"/>
    <w:rsid w:val="006F3952"/>
    <w:rsid w:val="006F66B6"/>
    <w:rsid w:val="00707FEC"/>
    <w:rsid w:val="00733062"/>
    <w:rsid w:val="0074505C"/>
    <w:rsid w:val="00746271"/>
    <w:rsid w:val="007501E6"/>
    <w:rsid w:val="007508C1"/>
    <w:rsid w:val="007522E5"/>
    <w:rsid w:val="00755766"/>
    <w:rsid w:val="00755D89"/>
    <w:rsid w:val="00770AA9"/>
    <w:rsid w:val="007766EB"/>
    <w:rsid w:val="00782957"/>
    <w:rsid w:val="007A140D"/>
    <w:rsid w:val="007B7384"/>
    <w:rsid w:val="007F4CC8"/>
    <w:rsid w:val="00802593"/>
    <w:rsid w:val="00806A0D"/>
    <w:rsid w:val="008123E4"/>
    <w:rsid w:val="0082079B"/>
    <w:rsid w:val="00837AE5"/>
    <w:rsid w:val="008827BC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9E636C"/>
    <w:rsid w:val="00A145F1"/>
    <w:rsid w:val="00A21755"/>
    <w:rsid w:val="00A31B20"/>
    <w:rsid w:val="00A535CD"/>
    <w:rsid w:val="00A56674"/>
    <w:rsid w:val="00A60CCA"/>
    <w:rsid w:val="00A709F4"/>
    <w:rsid w:val="00A77747"/>
    <w:rsid w:val="00A97747"/>
    <w:rsid w:val="00AA2AA8"/>
    <w:rsid w:val="00AA6315"/>
    <w:rsid w:val="00AB2172"/>
    <w:rsid w:val="00AC1128"/>
    <w:rsid w:val="00AC2700"/>
    <w:rsid w:val="00AC479B"/>
    <w:rsid w:val="00AD2100"/>
    <w:rsid w:val="00AE345C"/>
    <w:rsid w:val="00AF1459"/>
    <w:rsid w:val="00AF2881"/>
    <w:rsid w:val="00AF3658"/>
    <w:rsid w:val="00B0057B"/>
    <w:rsid w:val="00B1543C"/>
    <w:rsid w:val="00B17A2D"/>
    <w:rsid w:val="00B17FC7"/>
    <w:rsid w:val="00B257DE"/>
    <w:rsid w:val="00B4301D"/>
    <w:rsid w:val="00B67677"/>
    <w:rsid w:val="00B7636B"/>
    <w:rsid w:val="00B77A3E"/>
    <w:rsid w:val="00B87EDD"/>
    <w:rsid w:val="00BA5807"/>
    <w:rsid w:val="00BB0571"/>
    <w:rsid w:val="00BB45E1"/>
    <w:rsid w:val="00BC6B4A"/>
    <w:rsid w:val="00BE6501"/>
    <w:rsid w:val="00BF1D2A"/>
    <w:rsid w:val="00C35DE7"/>
    <w:rsid w:val="00C61FC1"/>
    <w:rsid w:val="00C6628E"/>
    <w:rsid w:val="00C71018"/>
    <w:rsid w:val="00C90822"/>
    <w:rsid w:val="00C975A2"/>
    <w:rsid w:val="00CA0080"/>
    <w:rsid w:val="00CA3CFE"/>
    <w:rsid w:val="00CA56B9"/>
    <w:rsid w:val="00CC1C5A"/>
    <w:rsid w:val="00CD0135"/>
    <w:rsid w:val="00D11F61"/>
    <w:rsid w:val="00D21423"/>
    <w:rsid w:val="00D456E3"/>
    <w:rsid w:val="00D47E0B"/>
    <w:rsid w:val="00D54B6B"/>
    <w:rsid w:val="00DA6F10"/>
    <w:rsid w:val="00DC27B5"/>
    <w:rsid w:val="00DD6CD2"/>
    <w:rsid w:val="00DE57BF"/>
    <w:rsid w:val="00E07D7C"/>
    <w:rsid w:val="00E319D4"/>
    <w:rsid w:val="00E409EB"/>
    <w:rsid w:val="00E4605F"/>
    <w:rsid w:val="00E61955"/>
    <w:rsid w:val="00E625A8"/>
    <w:rsid w:val="00E84667"/>
    <w:rsid w:val="00E977B2"/>
    <w:rsid w:val="00ED5964"/>
    <w:rsid w:val="00F54E44"/>
    <w:rsid w:val="00F737A7"/>
    <w:rsid w:val="00F818AF"/>
    <w:rsid w:val="00FA7A9F"/>
    <w:rsid w:val="00FB671F"/>
    <w:rsid w:val="00FD0716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5211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9538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14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3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B8F9-E80B-4A29-BA36-AED82B95E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163</cp:revision>
  <dcterms:created xsi:type="dcterms:W3CDTF">2013-07-13T08:10:00Z</dcterms:created>
  <dcterms:modified xsi:type="dcterms:W3CDTF">2013-09-19T18:35:00Z</dcterms:modified>
</cp:coreProperties>
</file>