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521F57" w:rsidP="00F556CB">
      <w:pPr>
        <w:pStyle w:val="20"/>
      </w:pPr>
      <w:bookmarkStart w:id="0" w:name="_Toc44218418"/>
      <w:bookmarkStart w:id="1" w:name="_Toc465407667"/>
      <w:r w:rsidRPr="00F556CB">
        <w:t>Функциональное</w:t>
      </w:r>
      <w:r>
        <w:t xml:space="preserve"> наполнение</w:t>
      </w:r>
      <w:bookmarkEnd w:id="1"/>
      <w:r>
        <w:t xml:space="preserve"> </w:t>
      </w:r>
    </w:p>
    <w:p w:rsidR="00521F57" w:rsidRDefault="0087130E">
      <w:pPr>
        <w:pStyle w:val="af3"/>
      </w:pPr>
      <w:r>
        <w:rPr>
          <w:lang w:val="en-US"/>
        </w:rPr>
        <w:t>SimInTech</w:t>
      </w:r>
      <w:bookmarkStart w:id="2" w:name="_GoBack"/>
      <w:bookmarkEnd w:id="2"/>
      <w:r w:rsidR="00521F57">
        <w:t xml:space="preserve"> имеет следующее функциональное наполнение, позволяющее отнести его к программно-инструментальным средствам автоматизации динамических расчетов технических систем, описываемых во входо-выходных отношениях: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 xml:space="preserve">интерактивные и графические средства формирования образа исследуемого технического устройства (или его общепринятого упрощенного изображения);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 xml:space="preserve">интерактивные средства формирования математической модели рабочего процесса в исследуемой технической системе (устройстве);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базы данных математических моделей (электронные библиотеки) для описания рабочих процессов в элементах исследуемых технических устройств;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открытость базы данных математических моделей;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динамический обмен данными с внешними программами (устройствами) в синхронном и асинхронном режимах;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численно</w:t>
      </w:r>
      <w:r w:rsidR="00C438B8">
        <w:rPr>
          <w:szCs w:val="26"/>
        </w:rPr>
        <w:t>е</w:t>
      </w:r>
      <w:r>
        <w:rPr>
          <w:szCs w:val="26"/>
        </w:rPr>
        <w:t xml:space="preserve"> моделировани</w:t>
      </w:r>
      <w:r w:rsidR="00C438B8">
        <w:rPr>
          <w:szCs w:val="26"/>
        </w:rPr>
        <w:t>е</w:t>
      </w:r>
      <w:r>
        <w:rPr>
          <w:szCs w:val="26"/>
        </w:rPr>
        <w:t xml:space="preserve"> рабочего процесса в режиме реального времени или в режиме масштабирования модельного времени;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 xml:space="preserve">встроенные средства анализа, синтеза и параметрической оптимизации систем автоматического управления;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развитые средства графического отображения текущих результатов расчета;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архиваци</w:t>
      </w:r>
      <w:r w:rsidR="00C438B8">
        <w:rPr>
          <w:szCs w:val="26"/>
        </w:rPr>
        <w:t xml:space="preserve">я расчетных данных, </w:t>
      </w:r>
      <w:r>
        <w:rPr>
          <w:szCs w:val="26"/>
        </w:rPr>
        <w:t>воспроизведени</w:t>
      </w:r>
      <w:r w:rsidR="00C438B8">
        <w:rPr>
          <w:szCs w:val="26"/>
        </w:rPr>
        <w:t>е</w:t>
      </w:r>
      <w:r>
        <w:rPr>
          <w:szCs w:val="26"/>
        </w:rPr>
        <w:t xml:space="preserve"> процесса моделирова</w:t>
      </w:r>
      <w:r w:rsidR="00C438B8">
        <w:rPr>
          <w:szCs w:val="26"/>
        </w:rPr>
        <w:t>ния</w:t>
      </w:r>
      <w:r>
        <w:rPr>
          <w:szCs w:val="26"/>
        </w:rPr>
        <w:t xml:space="preserve">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встроенные расчетные модули для постобработки результатов численного моделирования, обобщения и для анализа полученных результатов, включая модули, обеспечивающие статистиче</w:t>
      </w:r>
      <w:r w:rsidR="00C01BD7">
        <w:rPr>
          <w:szCs w:val="26"/>
        </w:rPr>
        <w:t xml:space="preserve">ский анализ расчетных </w:t>
      </w:r>
      <w:r>
        <w:rPr>
          <w:szCs w:val="26"/>
        </w:rPr>
        <w:t>данных;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 xml:space="preserve">интерактивные, графические и расчетные средства, обеспечивающие формирование виртуальных пультов управления с аналогами измерительных </w:t>
      </w:r>
      <w:r>
        <w:rPr>
          <w:szCs w:val="26"/>
        </w:rPr>
        <w:lastRenderedPageBreak/>
        <w:t xml:space="preserve">приборов и устройств, включая поддержку мультимедийных свойств (звук, анимация, видео и др.); 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встроенную систему диагностики ошибок на различных этапах работы;</w:t>
      </w:r>
    </w:p>
    <w:p w:rsidR="00521F57" w:rsidRDefault="00521F57" w:rsidP="00521F57">
      <w:pPr>
        <w:pStyle w:val="23"/>
        <w:numPr>
          <w:ilvl w:val="0"/>
          <w:numId w:val="10"/>
        </w:numPr>
        <w:spacing w:after="0"/>
        <w:jc w:val="both"/>
        <w:rPr>
          <w:szCs w:val="26"/>
        </w:rPr>
      </w:pPr>
      <w:r>
        <w:rPr>
          <w:szCs w:val="26"/>
        </w:rPr>
        <w:t>встроенную контекстную справочную систему, подробную техническую документацию (Инструкцию Пользователя).</w:t>
      </w:r>
      <w:bookmarkEnd w:id="0"/>
    </w:p>
    <w:sectPr w:rsidR="00521F57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850" w:rsidRDefault="00913850">
      <w:pPr>
        <w:spacing w:line="240" w:lineRule="auto"/>
      </w:pPr>
      <w:r>
        <w:separator/>
      </w:r>
    </w:p>
  </w:endnote>
  <w:endnote w:type="continuationSeparator" w:id="0">
    <w:p w:rsidR="00913850" w:rsidRDefault="00913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FA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850" w:rsidRDefault="00913850">
      <w:pPr>
        <w:spacing w:line="240" w:lineRule="auto"/>
      </w:pPr>
      <w:r>
        <w:separator/>
      </w:r>
    </w:p>
  </w:footnote>
  <w:footnote w:type="continuationSeparator" w:id="0">
    <w:p w:rsidR="00913850" w:rsidRDefault="009138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06B22948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3850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86FAA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AC8C61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F556CB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1761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204</cp:revision>
  <cp:lastPrinted>2003-08-19T10:27:00Z</cp:lastPrinted>
  <dcterms:created xsi:type="dcterms:W3CDTF">2016-09-29T08:57:00Z</dcterms:created>
  <dcterms:modified xsi:type="dcterms:W3CDTF">2016-11-07T07:50:00Z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