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CB2BB8" w:rsidP="009E35CB">
      <w:pPr>
        <w:pStyle w:val="33"/>
      </w:pPr>
      <w:bookmarkStart w:id="0" w:name="_Toc44218418"/>
      <w:bookmarkStart w:id="1" w:name="_Toc465407671"/>
      <w:r>
        <w:t xml:space="preserve">2.3.2 </w:t>
      </w:r>
      <w:r w:rsidR="00521F57">
        <w:t>Конструкция блока</w:t>
      </w:r>
      <w:bookmarkEnd w:id="1"/>
      <w:r w:rsidR="00521F57">
        <w:t xml:space="preserve"> </w:t>
      </w:r>
    </w:p>
    <w:p w:rsidR="00521F57" w:rsidRDefault="00521F57">
      <w:pPr>
        <w:pStyle w:val="af3"/>
      </w:pPr>
      <w:r>
        <w:t xml:space="preserve">Общая теория систем управления позволяет описать все перечисленные формы в виде одной </w:t>
      </w:r>
      <w:r w:rsidR="00157CF9">
        <w:t>конструкции из шести атрибутов: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157CF9" w:rsidTr="00F874D7">
        <w:tc>
          <w:tcPr>
            <w:tcW w:w="9356" w:type="dxa"/>
            <w:vAlign w:val="center"/>
          </w:tcPr>
          <w:p w:rsidR="00157CF9" w:rsidRDefault="00157CF9" w:rsidP="00157CF9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P, U,X,Y,F,G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39" w:type="dxa"/>
            <w:vAlign w:val="center"/>
          </w:tcPr>
          <w:p w:rsidR="00157CF9" w:rsidRDefault="00157CF9" w:rsidP="00157CF9">
            <w:pPr>
              <w:jc w:val="right"/>
            </w:pPr>
            <w:r>
              <w:t>(2.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Операторами </w:t>
      </w:r>
      <w:r>
        <w:rPr>
          <w:i/>
        </w:rPr>
        <w:t>F</w:t>
      </w:r>
      <w:r>
        <w:t xml:space="preserve"> и </w:t>
      </w:r>
      <w:r>
        <w:rPr>
          <w:i/>
        </w:rPr>
        <w:t>G</w:t>
      </w:r>
      <w:r>
        <w:t xml:space="preserve"> описывается математическая модель блока, при этом оператор </w:t>
      </w:r>
      <w:r>
        <w:rPr>
          <w:i/>
        </w:rPr>
        <w:t>F</w:t>
      </w:r>
      <w:r>
        <w:t xml:space="preserve"> отвечает за поведение переменных состояния блока </w:t>
      </w:r>
      <w:r>
        <w:rPr>
          <w:i/>
        </w:rPr>
        <w:t>X</w:t>
      </w:r>
      <w:r>
        <w:t xml:space="preserve"> (например, в виде системы уравнений для производных переменных состояния), а при помощи оператора </w:t>
      </w:r>
      <w:r>
        <w:rPr>
          <w:i/>
        </w:rPr>
        <w:t>G</w:t>
      </w:r>
      <w:r>
        <w:t xml:space="preserve"> формируются выходы блока </w:t>
      </w:r>
      <w:r>
        <w:rPr>
          <w:i/>
        </w:rPr>
        <w:t>Y</w:t>
      </w:r>
      <w:r>
        <w:t xml:space="preserve"> (рисунок 2.2). Параметры блока </w:t>
      </w:r>
      <w:r>
        <w:rPr>
          <w:i/>
        </w:rPr>
        <w:t>P</w:t>
      </w:r>
      <w:r>
        <w:t xml:space="preserve"> обычно определяют коэффициенты в уравнениях математической модели блока. Как видно из рисунка 2.2, параметры </w:t>
      </w:r>
      <w:r>
        <w:rPr>
          <w:i/>
        </w:rPr>
        <w:t>P</w:t>
      </w:r>
      <w:r>
        <w:t xml:space="preserve">, состояния </w:t>
      </w:r>
      <w:r>
        <w:rPr>
          <w:i/>
        </w:rPr>
        <w:t>X</w:t>
      </w:r>
      <w:r>
        <w:t xml:space="preserve">, операторы </w:t>
      </w:r>
      <w:r>
        <w:rPr>
          <w:i/>
        </w:rPr>
        <w:t>F</w:t>
      </w:r>
      <w:r>
        <w:t xml:space="preserve"> и </w:t>
      </w:r>
      <w:r>
        <w:rPr>
          <w:i/>
        </w:rPr>
        <w:t>G</w:t>
      </w:r>
      <w:r>
        <w:t xml:space="preserve"> являются внутренними атрибутами блока, а входы </w:t>
      </w:r>
      <w:r>
        <w:rPr>
          <w:i/>
        </w:rPr>
        <w:t>U</w:t>
      </w:r>
      <w:r>
        <w:t xml:space="preserve"> и выходы </w:t>
      </w:r>
      <w:r>
        <w:rPr>
          <w:i/>
        </w:rPr>
        <w:t>Y</w:t>
      </w:r>
      <w:r>
        <w:t xml:space="preserve"> служат для обмена информационными потоками с другими частями структурной схемы. Из структуры уравнений для выходов </w:t>
      </w:r>
      <w:r>
        <w:rPr>
          <w:i/>
          <w:lang w:val="en-US"/>
        </w:rPr>
        <w:t>Y</w:t>
      </w:r>
      <w:r>
        <w:t xml:space="preserve"> следует (см. рисунок 2.2), что внутри блока происходит преобразован</w:t>
      </w:r>
      <w:r w:rsidR="00674ABF">
        <w:t>ие входных сигналов в выходные.</w:t>
      </w:r>
    </w:p>
    <w:p w:rsidR="00674ABF" w:rsidRDefault="00674ABF" w:rsidP="00226966">
      <w:pPr>
        <w:jc w:val="center"/>
      </w:pPr>
      <w:r>
        <w:rPr>
          <w:noProof/>
        </w:rPr>
        <w:drawing>
          <wp:inline distT="0" distB="0" distL="0" distR="0" wp14:anchorId="65D4A76E" wp14:editId="2A280765">
            <wp:extent cx="3776400" cy="9684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_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57" w:rsidRDefault="00521F57" w:rsidP="00226966">
      <w:pPr>
        <w:jc w:val="center"/>
      </w:pPr>
      <w:r>
        <w:t>Рисунок 2.2 - Общая конструкция блока</w:t>
      </w:r>
    </w:p>
    <w:p w:rsidR="00521F57" w:rsidRDefault="00521F57">
      <w:pPr>
        <w:pStyle w:val="af3"/>
      </w:pPr>
      <w:r>
        <w:t>Таким образом, математическая модель объекта исследования формируется в виде структурной схемы, блоки которой описываются в форме входо</w:t>
      </w:r>
      <w:r w:rsidR="003B7DA6">
        <w:t>-</w:t>
      </w:r>
      <w:r>
        <w:t>выходных соотношений. Если представить схему в форме ориентированного графа (орграфа), то блоки служат вершинами графа, а линии связи – дугами графа. Последующий анализ орграфа позволяет автоматически сформировать математическую модель объекта в виде системы нелинейных дифференциально–алгебраических уравнений, причем систему дифференциальных уравнений практически всегда</w:t>
      </w:r>
      <w:r w:rsidR="00DD2295">
        <w:t xml:space="preserve"> удается привести к форме Коши.</w:t>
      </w:r>
      <w:bookmarkStart w:id="2" w:name="_GoBack"/>
      <w:bookmarkEnd w:id="0"/>
      <w:bookmarkEnd w:id="2"/>
    </w:p>
    <w:sectPr w:rsidR="00521F57">
      <w:headerReference w:type="default" r:id="rId8"/>
      <w:footerReference w:type="default" r:id="rId9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16" w:rsidRDefault="00CD0416">
      <w:pPr>
        <w:spacing w:line="240" w:lineRule="auto"/>
      </w:pPr>
      <w:r>
        <w:separator/>
      </w:r>
    </w:p>
  </w:endnote>
  <w:endnote w:type="continuationSeparator" w:id="0">
    <w:p w:rsidR="00CD0416" w:rsidRDefault="00CD0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29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16" w:rsidRDefault="00CD0416">
      <w:pPr>
        <w:spacing w:line="240" w:lineRule="auto"/>
      </w:pPr>
      <w:r>
        <w:separator/>
      </w:r>
    </w:p>
  </w:footnote>
  <w:footnote w:type="continuationSeparator" w:id="0">
    <w:p w:rsidR="00CD0416" w:rsidRDefault="00CD0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E3C0ED16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3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586A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177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35CB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2BB8"/>
    <w:rsid w:val="00CB7E2F"/>
    <w:rsid w:val="00CC1BB3"/>
    <w:rsid w:val="00CD0416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12"/>
    <w:rsid w:val="00DA3171"/>
    <w:rsid w:val="00DA7507"/>
    <w:rsid w:val="00DA7EE8"/>
    <w:rsid w:val="00DB7EFC"/>
    <w:rsid w:val="00DC1F3F"/>
    <w:rsid w:val="00DD1614"/>
    <w:rsid w:val="00DD2295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439D9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9E35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0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1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2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3">
    <w:name w:val="МойЗаголовок3"/>
    <w:basedOn w:val="20"/>
    <w:next w:val="a"/>
    <w:autoRedefine/>
    <w:rsid w:val="00CB2BB8"/>
    <w:pPr>
      <w:numPr>
        <w:ilvl w:val="0"/>
        <w:numId w:val="0"/>
      </w:numPr>
      <w:ind w:firstLine="709"/>
    </w:pPr>
    <w:rPr>
      <w:bCs w:val="0"/>
      <w:caps w:val="0"/>
      <w:lang w:val="en-US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CB2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CB2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1460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207</cp:revision>
  <cp:lastPrinted>2003-08-19T10:27:00Z</cp:lastPrinted>
  <dcterms:created xsi:type="dcterms:W3CDTF">2016-09-29T08:57:00Z</dcterms:created>
  <dcterms:modified xsi:type="dcterms:W3CDTF">2016-11-07T07:58:00Z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