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E848EB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5"/>
      <w:r w:rsidRPr="00E848EB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E848EB">
        <w:rPr>
          <w:rFonts w:ascii="Cambria" w:hAnsi="Cambria"/>
          <w:color w:val="4F81BD" w:themeColor="accent1"/>
          <w:sz w:val="36"/>
          <w:szCs w:val="36"/>
        </w:rPr>
        <w:t>–</w:t>
      </w:r>
      <w:r w:rsidRPr="00E848EB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E848EB">
        <w:rPr>
          <w:rFonts w:ascii="Cambria" w:hAnsi="Cambria"/>
          <w:color w:val="4F81BD" w:themeColor="accent1"/>
          <w:sz w:val="36"/>
          <w:szCs w:val="36"/>
        </w:rPr>
        <w:t>формирования ПР</w:t>
      </w:r>
      <w:r w:rsidRPr="00E848EB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Блок является аналогом блокам типа «Малахит – алгоритм формирования ПС тип 1» и «Малахит – алгоритм формирования АС тип 1», предназначен для автоматизаци</w:t>
      </w:r>
      <w:bookmarkStart w:id="1" w:name="_GoBack"/>
      <w:bookmarkEnd w:id="1"/>
      <w:r w:rsidRPr="00E848EB">
        <w:rPr>
          <w:rFonts w:ascii="Cambria" w:hAnsi="Cambria"/>
          <w:sz w:val="28"/>
          <w:szCs w:val="28"/>
        </w:rPr>
        <w:t>и формирования сигнала типа «ПР» (признак режима). Блок является шаблонным, использует категории «ПР» и «Уставки».</w:t>
      </w:r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В</w:t>
      </w:r>
      <w:r w:rsidR="00E848EB">
        <w:rPr>
          <w:rFonts w:ascii="Cambria" w:hAnsi="Cambria"/>
          <w:sz w:val="28"/>
          <w:szCs w:val="28"/>
        </w:rPr>
        <w:t xml:space="preserve"> свойствах блока (см. рисунок </w:t>
      </w:r>
      <w:r w:rsidRPr="00E848EB">
        <w:rPr>
          <w:rFonts w:ascii="Cambria" w:hAnsi="Cambria"/>
          <w:sz w:val="28"/>
          <w:szCs w:val="28"/>
        </w:rPr>
        <w:t>1) необходимо указать: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«Имя ПР в БД», путем выбора из выпадающего меню. Пункты выпадающего меню набираются автоматически из категории «ПР».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«Описание ПР» заполняется автоматически из базы данных, в соответствии с описанием для выбранного ПР (поле «Descr» категории «ПР»).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6C465A" w:rsidRPr="00E848EB" w:rsidTr="00826C4A">
        <w:tc>
          <w:tcPr>
            <w:tcW w:w="2001" w:type="dxa"/>
            <w:vAlign w:val="center"/>
          </w:tcPr>
          <w:p w:rsidR="006C465A" w:rsidRPr="00E848EB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E848EB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E848EB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7941" r:id="rId9"/>
              </w:object>
            </w:r>
          </w:p>
          <w:p w:rsidR="006C465A" w:rsidRPr="00E848EB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E848EB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0" w:type="dxa"/>
            <w:vAlign w:val="center"/>
          </w:tcPr>
          <w:p w:rsidR="006C465A" w:rsidRPr="00E848EB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48EB">
              <w:rPr>
                <w:rFonts w:ascii="Cambria" w:hAnsi="Cambria"/>
                <w:sz w:val="28"/>
                <w:szCs w:val="28"/>
              </w:rPr>
              <w:object w:dxaOrig="6315" w:dyaOrig="2220">
                <v:shape id="_x0000_i1026" type="#_x0000_t75" style="width:315.75pt;height:111pt" o:ole="">
                  <v:imagedata r:id="rId10" o:title=""/>
                </v:shape>
                <o:OLEObject Type="Embed" ProgID="PBrush" ShapeID="_x0000_i1026" DrawAspect="Content" ObjectID="_1481107942" r:id="rId11"/>
              </w:object>
            </w:r>
          </w:p>
          <w:p w:rsidR="00AC5179" w:rsidRPr="00E848EB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826C4A" w:rsidRPr="00E848EB" w:rsidRDefault="00E848EB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E848EB">
        <w:rPr>
          <w:rFonts w:ascii="Cambria" w:hAnsi="Cambria"/>
          <w:sz w:val="28"/>
          <w:szCs w:val="28"/>
        </w:rPr>
        <w:t>1 – свойства блока «Малахит – Алгоритм формирования ПР тип 1»</w:t>
      </w:r>
    </w:p>
    <w:p w:rsidR="006C465A" w:rsidRPr="00E848EB" w:rsidRDefault="006C465A" w:rsidP="006C465A">
      <w:pPr>
        <w:rPr>
          <w:rFonts w:ascii="Cambria" w:hAnsi="Cambria"/>
          <w:sz w:val="28"/>
          <w:szCs w:val="28"/>
        </w:rPr>
      </w:pPr>
    </w:p>
    <w:p w:rsidR="006450F4" w:rsidRPr="00E848EB" w:rsidRDefault="006450F4" w:rsidP="006C465A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Структура блока, а также механизм формирования входных и выходных сигналов реал</w:t>
      </w:r>
      <w:r w:rsidR="007036AD" w:rsidRPr="00E848EB">
        <w:rPr>
          <w:rFonts w:ascii="Cambria" w:hAnsi="Cambria"/>
          <w:sz w:val="28"/>
          <w:szCs w:val="28"/>
        </w:rPr>
        <w:t xml:space="preserve">изованы аналогично блокам «ПС» и </w:t>
      </w:r>
      <w:r w:rsidRPr="00E848EB">
        <w:rPr>
          <w:rFonts w:ascii="Cambria" w:hAnsi="Cambria"/>
          <w:sz w:val="28"/>
          <w:szCs w:val="28"/>
        </w:rPr>
        <w:t>«АС».</w:t>
      </w:r>
    </w:p>
    <w:p w:rsidR="00285EF4" w:rsidRPr="00E848EB" w:rsidRDefault="00285EF4" w:rsidP="00285EF4">
      <w:pPr>
        <w:rPr>
          <w:rFonts w:ascii="Cambria" w:hAnsi="Cambria"/>
          <w:sz w:val="28"/>
          <w:szCs w:val="28"/>
        </w:rPr>
      </w:pPr>
    </w:p>
    <w:p w:rsidR="00721280" w:rsidRPr="00E848EB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CE9C22D" wp14:editId="3ECB0AB2">
            <wp:extent cx="9000000" cy="6505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Pr="00E848EB" w:rsidRDefault="00E848EB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7036AD" w:rsidRPr="00E848EB">
        <w:rPr>
          <w:rFonts w:ascii="Cambria" w:hAnsi="Cambria"/>
          <w:sz w:val="28"/>
          <w:szCs w:val="28"/>
        </w:rPr>
        <w:t>2</w:t>
      </w:r>
      <w:r w:rsidR="00285EF4" w:rsidRPr="00E848EB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E848EB">
        <w:rPr>
          <w:rFonts w:ascii="Cambria" w:hAnsi="Cambria"/>
          <w:sz w:val="28"/>
          <w:szCs w:val="28"/>
        </w:rPr>
        <w:t>Малахит – Алгоритм формирования ПР тип 1</w:t>
      </w:r>
      <w:r w:rsidR="00285EF4" w:rsidRPr="00E848EB">
        <w:rPr>
          <w:rFonts w:ascii="Cambria" w:hAnsi="Cambria"/>
          <w:sz w:val="28"/>
          <w:szCs w:val="28"/>
        </w:rPr>
        <w:t>»</w:t>
      </w: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</w:p>
    <w:p w:rsidR="00BD1938" w:rsidRPr="00E848EB" w:rsidRDefault="00BD1938" w:rsidP="00BD1938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Формирование признаков может быть произвольным: пользователь может добавлять любые другие признаки, сигналы из базы, использовать логические и другие блоки общетехнической библиотеки (</w:t>
      </w:r>
      <w:r w:rsidR="00E848EB">
        <w:rPr>
          <w:rFonts w:ascii="Cambria" w:hAnsi="Cambria"/>
          <w:sz w:val="28"/>
          <w:szCs w:val="28"/>
        </w:rPr>
        <w:t xml:space="preserve">в качестве примера см. рисунок </w:t>
      </w:r>
      <w:r w:rsidRPr="00E848EB">
        <w:rPr>
          <w:rFonts w:ascii="Cambria" w:hAnsi="Cambria"/>
          <w:sz w:val="28"/>
          <w:szCs w:val="28"/>
        </w:rPr>
        <w:t>3).</w:t>
      </w:r>
    </w:p>
    <w:p w:rsidR="00BD1938" w:rsidRPr="00E848EB" w:rsidRDefault="00BD1938" w:rsidP="00285EF4">
      <w:pPr>
        <w:jc w:val="center"/>
        <w:rPr>
          <w:rFonts w:ascii="Cambria" w:hAnsi="Cambria"/>
          <w:sz w:val="28"/>
          <w:szCs w:val="28"/>
        </w:rPr>
      </w:pP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AD" w:rsidRPr="00E848EB" w:rsidRDefault="00E848EB" w:rsidP="007036A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7036AD" w:rsidRPr="00E848EB">
        <w:rPr>
          <w:rFonts w:ascii="Cambria" w:hAnsi="Cambria"/>
          <w:sz w:val="28"/>
          <w:szCs w:val="28"/>
        </w:rPr>
        <w:t>3 – пример формирования сложного признака</w:t>
      </w: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</w:p>
    <w:sectPr w:rsidR="007036AD" w:rsidRPr="00E848EB" w:rsidSect="00037A96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0E" w:rsidRDefault="00D3380E">
      <w:r>
        <w:separator/>
      </w:r>
    </w:p>
  </w:endnote>
  <w:endnote w:type="continuationSeparator" w:id="0">
    <w:p w:rsidR="00D3380E" w:rsidRDefault="00D3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0E" w:rsidRDefault="00D3380E">
      <w:r>
        <w:separator/>
      </w:r>
    </w:p>
  </w:footnote>
  <w:footnote w:type="continuationSeparator" w:id="0">
    <w:p w:rsidR="00D3380E" w:rsidRDefault="00D3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A96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0A6B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1CD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9D4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36AD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1938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2E0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380E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48EB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C38F7C-2594-4777-B88E-38A40313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385A2-3BB2-4E5E-8715-81D163B5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2014-12-26T11:06:00Z</dcterms:modified>
</cp:coreProperties>
</file>