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D7C95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4pt;height:24pt" o:ole="">
                  <v:imagedata r:id="rId7" o:title=""/>
                </v:shape>
                <o:OLEObject Type="Embed" ProgID="PBrush" ShapeID="_x0000_i1034" DrawAspect="Content" ObjectID="_1485069395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D7C95" w:rsidP="00A44D7C">
            <w:pPr>
              <w:ind w:firstLine="0"/>
              <w:jc w:val="center"/>
              <w:rPr>
                <w:szCs w:val="24"/>
              </w:rPr>
            </w:pPr>
            <w:r>
              <w:object w:dxaOrig="1335" w:dyaOrig="1080">
                <v:shape id="_x0000_i1033" type="#_x0000_t75" style="width:66.75pt;height:54pt" o:ole="">
                  <v:imagedata r:id="rId9" o:title=""/>
                </v:shape>
                <o:OLEObject Type="Embed" ProgID="PBrush" ShapeID="_x0000_i1033" DrawAspect="Content" ObjectID="_1485069396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асинхронного электродвигателя. Предназначен для использования в однолинейных эл</w:t>
      </w:r>
      <w:bookmarkStart w:id="0" w:name="_GoBack"/>
      <w:bookmarkEnd w:id="0"/>
      <w:r>
        <w:rPr>
          <w:szCs w:val="24"/>
        </w:rPr>
        <w:t>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FB3E5E" w:rsidP="00EE325E">
      <w:pPr>
        <w:pStyle w:val="a4"/>
        <w:rPr>
          <w:sz w:val="22"/>
          <w:szCs w:val="24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1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 id="_x0000_i1025" type="#_x0000_t75" style="width:129pt;height:18.75pt" o:ole="">
            <v:imagedata r:id="rId12" o:title=""/>
          </v:shape>
          <o:OLEObject Type="Embed" ProgID="Equation.3" ShapeID="_x0000_i1025" DrawAspect="Content" ObjectID="_1485069397" r:id="rId13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26" type="#_x0000_t75" style="width:126pt;height:18.75pt" o:ole="">
            <v:imagedata r:id="rId14" o:title=""/>
          </v:shape>
          <o:OLEObject Type="Embed" ProgID="Equation.3" ShapeID="_x0000_i1026" DrawAspect="Content" ObjectID="_1485069398" r:id="rId1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lastRenderedPageBreak/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27" type="#_x0000_t75" style="width:334.5pt;height:75pt" o:ole="">
            <v:imagedata r:id="rId16" o:title=""/>
          </v:shape>
          <o:OLEObject Type="Embed" ProgID="Equation.3" ShapeID="_x0000_i1027" DrawAspect="Content" ObjectID="_1485069399" r:id="rId17"/>
        </w:object>
      </w:r>
      <w:r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8" type="#_x0000_t75" style="width:57.75pt;height:18pt" o:ole="">
            <v:imagedata r:id="rId18" o:title=""/>
          </v:shape>
          <o:OLEObject Type="Embed" ProgID="Equation.3" ShapeID="_x0000_i1028" DrawAspect="Content" ObjectID="_1485069400" r:id="rId19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29" type="#_x0000_t75" style="width:171.75pt;height:39.75pt" o:ole="">
            <v:imagedata r:id="rId20" o:title=""/>
          </v:shape>
          <o:OLEObject Type="Embed" ProgID="Equation.3" ShapeID="_x0000_i1029" DrawAspect="Content" ObjectID="_1485069401" r:id="rId21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30" type="#_x0000_t75" style="width:83.25pt;height:32.25pt" o:ole="">
            <v:imagedata r:id="rId22" o:title=""/>
          </v:shape>
          <o:OLEObject Type="Embed" ProgID="Equation.3" ShapeID="_x0000_i1030" DrawAspect="Content" ObjectID="_1485069402" r:id="rId2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31" type="#_x0000_t75" style="width:114.75pt;height:48pt" o:ole="">
            <v:imagedata r:id="rId24" o:title=""/>
          </v:shape>
          <o:OLEObject Type="Embed" ProgID="Equation.3" ShapeID="_x0000_i1031" DrawAspect="Content" ObjectID="_1485069403" r:id="rId2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32" type="#_x0000_t75" style="width:68.25pt;height:50.25pt" o:ole="">
            <v:imagedata r:id="rId26" o:title=""/>
          </v:shape>
          <o:OLEObject Type="Embed" ProgID="Equation.3" ShapeID="_x0000_i1032" DrawAspect="Content" ObjectID="_1485069404" r:id="rId27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szCs w:val="24"/>
        </w:rPr>
        <w:t xml:space="preserve">1 – </w:t>
      </w:r>
      <w:r>
        <w:rPr>
          <w:kern w:val="1"/>
          <w:szCs w:val="24"/>
        </w:rPr>
        <w:t>проскальзывание рабочего колеса;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 xml:space="preserve">2 </w:t>
      </w:r>
      <w:r>
        <w:rPr>
          <w:szCs w:val="24"/>
        </w:rPr>
        <w:t xml:space="preserve">– </w:t>
      </w:r>
      <w:r>
        <w:rPr>
          <w:kern w:val="1"/>
          <w:szCs w:val="24"/>
        </w:rPr>
        <w:t>з</w:t>
      </w:r>
      <w:r w:rsidRPr="00E80492">
        <w:rPr>
          <w:kern w:val="1"/>
          <w:szCs w:val="24"/>
        </w:rPr>
        <w:t>аклинивание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3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обрыв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4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кавитация</w:t>
      </w:r>
      <w:r>
        <w:rPr>
          <w:kern w:val="1"/>
          <w:szCs w:val="24"/>
        </w:rPr>
        <w:t>;</w:t>
      </w:r>
    </w:p>
    <w:p w:rsidR="00310EE3" w:rsidRPr="00F90369" w:rsidRDefault="00310EE3" w:rsidP="00310EE3">
      <w:pPr>
        <w:ind w:firstLine="851"/>
        <w:rPr>
          <w:szCs w:val="24"/>
        </w:rPr>
      </w:pPr>
      <w:r>
        <w:rPr>
          <w:kern w:val="1"/>
          <w:szCs w:val="24"/>
        </w:rPr>
        <w:t>5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потеря силового питания.</w:t>
      </w: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Блок имеет 3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lastRenderedPageBreak/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A11" w:rsidRDefault="00BC1A11" w:rsidP="0097473F">
      <w:r>
        <w:separator/>
      </w:r>
    </w:p>
  </w:endnote>
  <w:endnote w:type="continuationSeparator" w:id="0">
    <w:p w:rsidR="00BC1A11" w:rsidRDefault="00BC1A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A11" w:rsidRDefault="00BC1A11" w:rsidP="0097473F">
      <w:r>
        <w:separator/>
      </w:r>
    </w:p>
  </w:footnote>
  <w:footnote w:type="continuationSeparator" w:id="0">
    <w:p w:rsidR="00BC1A11" w:rsidRDefault="00BC1A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DD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A11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7C95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B3E5E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DF10D-DECD-4985-840F-6B8479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2014-12-23T09:40:00Z</dcterms:created>
  <dcterms:modified xsi:type="dcterms:W3CDTF">2015-02-10T07:30:00Z</dcterms:modified>
</cp:coreProperties>
</file>