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0A1761" w:rsidRDefault="00E0101A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Энергосистема конечной мощности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E0101A">
        <w:rPr>
          <w:szCs w:val="24"/>
        </w:rPr>
        <w:t>энергосистемы конечной мощности</w:t>
      </w:r>
      <w:r>
        <w:rPr>
          <w:szCs w:val="24"/>
        </w:rPr>
        <w:t>. Предназначен для использования в однолинейных</w:t>
      </w:r>
      <w:r w:rsidR="00B4418C">
        <w:rPr>
          <w:szCs w:val="24"/>
        </w:rPr>
        <w:t xml:space="preserve"> трехфазных</w:t>
      </w:r>
      <w:r>
        <w:rPr>
          <w:szCs w:val="24"/>
        </w:rPr>
        <w:t xml:space="preserve">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DE4DBD" w:rsidP="00AD4A6D">
      <w:pPr>
        <w:ind w:firstLine="851"/>
        <w:rPr>
          <w:szCs w:val="24"/>
        </w:rPr>
      </w:pPr>
      <w:r>
        <w:rPr>
          <w:szCs w:val="24"/>
        </w:rPr>
        <w:t>С</w:t>
      </w:r>
      <w:r w:rsidR="000A1761">
        <w:rPr>
          <w:szCs w:val="24"/>
        </w:rPr>
        <w:t xml:space="preserve">хема </w:t>
      </w:r>
      <w:r>
        <w:rPr>
          <w:szCs w:val="24"/>
        </w:rPr>
        <w:t xml:space="preserve">замещения </w:t>
      </w:r>
      <w:r w:rsidR="000A1761">
        <w:rPr>
          <w:szCs w:val="24"/>
        </w:rPr>
        <w:t>м</w:t>
      </w:r>
      <w:r w:rsidR="000A1761" w:rsidRPr="00F90369">
        <w:rPr>
          <w:szCs w:val="24"/>
        </w:rPr>
        <w:t>одел</w:t>
      </w:r>
      <w:r w:rsidR="000A1761">
        <w:rPr>
          <w:szCs w:val="24"/>
        </w:rPr>
        <w:t>и</w:t>
      </w:r>
      <w:r w:rsidR="000A1761" w:rsidRPr="00F90369">
        <w:rPr>
          <w:szCs w:val="24"/>
        </w:rPr>
        <w:t xml:space="preserve"> </w:t>
      </w:r>
      <w:r>
        <w:rPr>
          <w:szCs w:val="24"/>
        </w:rPr>
        <w:t>энергосистемы конечной мощности</w:t>
      </w:r>
      <w:r w:rsidR="000A1761" w:rsidRPr="00F90369">
        <w:rPr>
          <w:szCs w:val="24"/>
        </w:rPr>
        <w:t xml:space="preserve"> </w:t>
      </w:r>
      <w:r w:rsidR="000A1761">
        <w:rPr>
          <w:szCs w:val="24"/>
        </w:rPr>
        <w:t>приведена на рисунке</w:t>
      </w:r>
      <w:r w:rsidR="000A1761" w:rsidRPr="00F90369">
        <w:rPr>
          <w:szCs w:val="24"/>
        </w:rPr>
        <w:t xml:space="preserve"> </w:t>
      </w:r>
      <w:r w:rsidR="000A1761">
        <w:rPr>
          <w:szCs w:val="24"/>
        </w:rPr>
        <w:t>1</w:t>
      </w:r>
      <w:r w:rsidR="000A1761" w:rsidRPr="00F90369">
        <w:rPr>
          <w:szCs w:val="24"/>
        </w:rPr>
        <w:t xml:space="preserve">. </w:t>
      </w:r>
      <w:r w:rsidR="000A1761">
        <w:rPr>
          <w:szCs w:val="24"/>
        </w:rPr>
        <w:t>Модель обеспечивает расчет значений токов</w:t>
      </w:r>
      <w:r w:rsidR="00B4418C">
        <w:rPr>
          <w:szCs w:val="24"/>
        </w:rPr>
        <w:t>, напряжений и</w:t>
      </w:r>
      <w:r w:rsidR="000A1761">
        <w:rPr>
          <w:szCs w:val="24"/>
        </w:rPr>
        <w:t xml:space="preserve"> мощностей.</w:t>
      </w:r>
    </w:p>
    <w:p w:rsidR="00837BB8" w:rsidRDefault="00837BB8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</w:p>
    <w:p w:rsidR="00837BB8" w:rsidRDefault="00837BB8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>
        <w:rPr>
          <w:rFonts w:eastAsia="Times New Roman"/>
          <w:bCs/>
          <w:noProof/>
          <w:kern w:val="28"/>
          <w:szCs w:val="24"/>
          <w:lang w:eastAsia="ru-RU"/>
        </w:rPr>
        <w:drawing>
          <wp:inline distT="0" distB="0" distL="0" distR="0">
            <wp:extent cx="2190541" cy="1538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7" cy="1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</w:t>
      </w:r>
      <w:r w:rsidR="0084099B">
        <w:rPr>
          <w:rFonts w:eastAsia="Times New Roman"/>
          <w:bCs/>
          <w:kern w:val="28"/>
          <w:szCs w:val="24"/>
        </w:rPr>
        <w:t>замещения энергосистемы конечной мощности</w:t>
      </w:r>
      <w:r w:rsidRPr="000A1761">
        <w:rPr>
          <w:rFonts w:eastAsia="Times New Roman"/>
          <w:bCs/>
          <w:kern w:val="28"/>
          <w:szCs w:val="24"/>
        </w:rPr>
        <w:t>:</w:t>
      </w:r>
    </w:p>
    <w:p w:rsidR="000A1761" w:rsidRPr="00740185" w:rsidRDefault="00DA71EC" w:rsidP="00740185">
      <w:pPr>
        <w:ind w:firstLine="0"/>
        <w:jc w:val="center"/>
        <w:rPr>
          <w:sz w:val="20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с</m:t>
                </m:r>
              </m:sub>
            </m:sSub>
          </m:e>
        </m:acc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с</m:t>
            </m:r>
          </m:sub>
        </m:sSub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  <w:lang w:val="en-US"/>
          </w:rPr>
          <m:t>δ</m:t>
        </m:r>
      </m:oMath>
      <w:r w:rsidR="00740185" w:rsidRPr="00740185">
        <w:rPr>
          <w:sz w:val="20"/>
          <w:szCs w:val="22"/>
        </w:rPr>
        <w:t xml:space="preserve"> </w:t>
      </w:r>
      <w:r w:rsidR="00740185" w:rsidRPr="00740185">
        <w:rPr>
          <w:rFonts w:eastAsia="Times New Roman"/>
          <w:bCs/>
          <w:kern w:val="28"/>
          <w:sz w:val="22"/>
          <w:szCs w:val="24"/>
        </w:rPr>
        <w:t xml:space="preserve">– </w:t>
      </w:r>
      <w:r w:rsidR="00740185" w:rsidRPr="00740185">
        <w:rPr>
          <w:sz w:val="20"/>
          <w:szCs w:val="22"/>
        </w:rPr>
        <w:t>комплексное значение напряжения</w:t>
      </w:r>
      <w:r w:rsidR="000A1761" w:rsidRPr="00740185">
        <w:rPr>
          <w:sz w:val="20"/>
          <w:szCs w:val="22"/>
        </w:rPr>
        <w:t xml:space="preserve"> </w:t>
      </w:r>
      <w:r w:rsidR="00740185" w:rsidRPr="00740185">
        <w:rPr>
          <w:sz w:val="20"/>
          <w:szCs w:val="22"/>
        </w:rPr>
        <w:t>системы, задаваемое действующим значением линейного напряжения и углом относительно комплексной плоскости</w:t>
      </w:r>
      <w:r w:rsidR="000A1761" w:rsidRPr="00740185">
        <w:rPr>
          <w:sz w:val="20"/>
          <w:szCs w:val="22"/>
        </w:rPr>
        <w:t xml:space="preserve">; </w:t>
      </w:r>
      <w:r w:rsidR="00740185" w:rsidRPr="00740185">
        <w:rPr>
          <w:i/>
          <w:sz w:val="20"/>
          <w:szCs w:val="22"/>
          <w:lang w:val="en-US"/>
        </w:rPr>
        <w:t>R</w:t>
      </w:r>
      <w:r w:rsidR="00740185" w:rsidRPr="00740185">
        <w:rPr>
          <w:sz w:val="20"/>
          <w:szCs w:val="22"/>
          <w:vertAlign w:val="subscript"/>
        </w:rPr>
        <w:t>с</w:t>
      </w:r>
      <w:r w:rsidR="00740185" w:rsidRPr="00740185">
        <w:rPr>
          <w:sz w:val="20"/>
          <w:szCs w:val="22"/>
        </w:rPr>
        <w:t xml:space="preserve">, </w:t>
      </w:r>
      <w:r w:rsidR="00740185" w:rsidRPr="00740185">
        <w:rPr>
          <w:i/>
          <w:sz w:val="22"/>
          <w:lang w:val="en-US"/>
        </w:rPr>
        <w:t>L</w:t>
      </w:r>
      <w:r w:rsidR="00740185" w:rsidRPr="00740185">
        <w:rPr>
          <w:sz w:val="22"/>
          <w:vertAlign w:val="subscript"/>
        </w:rPr>
        <w:t>с</w:t>
      </w:r>
      <w:r w:rsidR="000A1761" w:rsidRPr="00740185">
        <w:rPr>
          <w:sz w:val="20"/>
          <w:szCs w:val="22"/>
        </w:rPr>
        <w:t xml:space="preserve"> </w:t>
      </w:r>
      <w:r w:rsidR="00740185" w:rsidRPr="00740185">
        <w:rPr>
          <w:rFonts w:eastAsia="Times New Roman"/>
          <w:bCs/>
          <w:kern w:val="28"/>
          <w:sz w:val="22"/>
          <w:szCs w:val="24"/>
        </w:rPr>
        <w:t xml:space="preserve">– </w:t>
      </w:r>
      <w:r w:rsidR="000A1761" w:rsidRPr="00740185">
        <w:rPr>
          <w:sz w:val="20"/>
          <w:szCs w:val="22"/>
        </w:rPr>
        <w:t xml:space="preserve">активное сопротивление и индуктивность </w:t>
      </w:r>
      <w:r w:rsidR="00B4418C">
        <w:rPr>
          <w:sz w:val="20"/>
          <w:szCs w:val="22"/>
        </w:rPr>
        <w:t>энерго</w:t>
      </w:r>
      <w:r w:rsidR="00740185" w:rsidRPr="00740185">
        <w:rPr>
          <w:sz w:val="20"/>
          <w:szCs w:val="22"/>
        </w:rPr>
        <w:t>системы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A1761" w:rsidRDefault="006B0465" w:rsidP="000A1761">
      <w:pPr>
        <w:ind w:firstLine="851"/>
        <w:rPr>
          <w:szCs w:val="24"/>
        </w:rPr>
      </w:pPr>
      <w:r>
        <w:rPr>
          <w:szCs w:val="24"/>
        </w:rPr>
        <w:t xml:space="preserve">Активное сопротивление и индуктивность энергосистемы определяются по мощности </w:t>
      </w:r>
      <w:r w:rsidRPr="006B0465">
        <w:rPr>
          <w:i/>
          <w:szCs w:val="24"/>
          <w:lang w:val="en-US"/>
        </w:rPr>
        <w:t>S</w:t>
      </w:r>
      <w:r w:rsidR="00B1493F" w:rsidRPr="00B1493F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, номинальному напряжению </w:t>
      </w:r>
      <w:r w:rsidRPr="006B0465">
        <w:rPr>
          <w:i/>
          <w:szCs w:val="24"/>
          <w:lang w:val="en-US"/>
        </w:rPr>
        <w:t>U</w:t>
      </w:r>
      <w:r w:rsidRPr="006B0465">
        <w:rPr>
          <w:szCs w:val="24"/>
          <w:vertAlign w:val="subscript"/>
        </w:rPr>
        <w:t>ном</w:t>
      </w:r>
      <w:r>
        <w:rPr>
          <w:szCs w:val="24"/>
        </w:rPr>
        <w:t xml:space="preserve"> и постоянной времени </w:t>
      </w:r>
      <w:r w:rsidRPr="006B0465">
        <w:rPr>
          <w:i/>
          <w:szCs w:val="24"/>
          <w:lang w:val="en-US"/>
        </w:rPr>
        <w:t>T</w:t>
      </w:r>
      <w:r w:rsidRPr="006B0465">
        <w:rPr>
          <w:i/>
          <w:szCs w:val="24"/>
          <w:vertAlign w:val="subscript"/>
          <w:lang w:val="en-US"/>
        </w:rPr>
        <w:t>a</w:t>
      </w:r>
      <w:r w:rsidR="00B1493F">
        <w:rPr>
          <w:szCs w:val="24"/>
        </w:rPr>
        <w:t xml:space="preserve"> (заданной для номинальной частоты </w:t>
      </w:r>
      <w:r w:rsidR="00B1493F" w:rsidRPr="00B1493F">
        <w:rPr>
          <w:i/>
          <w:szCs w:val="24"/>
          <w:lang w:val="en-US"/>
        </w:rPr>
        <w:t>f</w:t>
      </w:r>
      <w:r w:rsidR="00B1493F" w:rsidRPr="00B1493F">
        <w:rPr>
          <w:szCs w:val="24"/>
          <w:vertAlign w:val="subscript"/>
        </w:rPr>
        <w:t>ном</w:t>
      </w:r>
      <w:r w:rsidR="00B1493F">
        <w:rPr>
          <w:szCs w:val="24"/>
        </w:rPr>
        <w:t>)</w:t>
      </w:r>
      <w:r w:rsidR="000A1761" w:rsidRPr="000A1761">
        <w:rPr>
          <w:szCs w:val="24"/>
        </w:rPr>
        <w:t>:</w:t>
      </w:r>
    </w:p>
    <w:p w:rsidR="00021B32" w:rsidRDefault="00021B32" w:rsidP="000A1761">
      <w:pPr>
        <w:ind w:firstLine="851"/>
        <w:rPr>
          <w:szCs w:val="24"/>
        </w:rPr>
      </w:pPr>
    </w:p>
    <w:p w:rsidR="000A1761" w:rsidRPr="00021B32" w:rsidRDefault="00DA71EC" w:rsidP="00021B32">
      <w:pPr>
        <w:ind w:firstLine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</m:sSub>
          </m:den>
        </m:f>
      </m:oMath>
      <w:r w:rsidR="00021B32">
        <w:rPr>
          <w:szCs w:val="24"/>
        </w:rPr>
        <w:t xml:space="preserve">;  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(2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ном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+1</m:t>
                </m:r>
              </m:e>
            </m:rad>
          </m:den>
        </m:f>
      </m:oMath>
      <w:r w:rsidR="00021B32">
        <w:rPr>
          <w:szCs w:val="24"/>
        </w:rPr>
        <w:t>;</w:t>
      </w:r>
    </w:p>
    <w:p w:rsidR="000A1761" w:rsidRPr="000A1761" w:rsidRDefault="000A1761" w:rsidP="000A1761">
      <w:pPr>
        <w:ind w:firstLine="426"/>
        <w:rPr>
          <w:szCs w:val="24"/>
        </w:rPr>
      </w:pPr>
    </w:p>
    <w:p w:rsidR="00021B32" w:rsidRPr="000A1761" w:rsidRDefault="00DA71EC" w:rsidP="00021B32">
      <w:pPr>
        <w:ind w:firstLine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e>
        </m:rad>
      </m:oMath>
      <w:r w:rsidR="00021B32">
        <w:rPr>
          <w:szCs w:val="24"/>
        </w:rPr>
        <w:t xml:space="preserve">;      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/(2</m:t>
        </m:r>
        <m:r>
          <w:rPr>
            <w:rFonts w:ascii="Cambria Math" w:hAnsi="Cambria Math"/>
            <w:szCs w:val="24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ном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21B32">
        <w:rPr>
          <w:szCs w:val="24"/>
        </w:rPr>
        <w:t>.</w:t>
      </w:r>
    </w:p>
    <w:p w:rsidR="000A1761" w:rsidRPr="00021B32" w:rsidRDefault="000A1761" w:rsidP="000A1761">
      <w:pPr>
        <w:ind w:firstLine="426"/>
        <w:rPr>
          <w:i/>
          <w:szCs w:val="24"/>
        </w:rPr>
      </w:pPr>
    </w:p>
    <w:p w:rsidR="005C7CF8" w:rsidRDefault="00B1493F" w:rsidP="005C7CF8">
      <w:pPr>
        <w:rPr>
          <w:szCs w:val="24"/>
        </w:rPr>
      </w:pPr>
      <w:r>
        <w:rPr>
          <w:szCs w:val="24"/>
        </w:rPr>
        <w:t>За положительное направление для мощностей принято направление от энергосистемы.</w:t>
      </w:r>
    </w:p>
    <w:p w:rsidR="00B1493F" w:rsidRDefault="00B1493F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021B32">
        <w:rPr>
          <w:szCs w:val="24"/>
        </w:rPr>
        <w:t>1</w:t>
      </w:r>
      <w:r>
        <w:rPr>
          <w:szCs w:val="24"/>
        </w:rPr>
        <w:t xml:space="preserve"> входн</w:t>
      </w:r>
      <w:r w:rsidR="00021B32">
        <w:rPr>
          <w:szCs w:val="24"/>
        </w:rPr>
        <w:t>ой</w:t>
      </w:r>
      <w:r>
        <w:rPr>
          <w:szCs w:val="24"/>
        </w:rPr>
        <w:t xml:space="preserve"> сигнал.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021B32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Напряжение системы</w:t>
      </w:r>
      <w:r w:rsidR="00B116D1">
        <w:rPr>
          <w:szCs w:val="24"/>
        </w:rPr>
        <w:t xml:space="preserve">, </w:t>
      </w:r>
      <w:r w:rsidR="00B116D1">
        <w:t>В</w:t>
      </w:r>
      <w:r w:rsidR="00AD4A6D">
        <w:t>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Номинальное напряжение, кВ</w:t>
      </w:r>
      <w:r w:rsidR="005C7CF8"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Мощность, МВА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Угол, эл. град.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 xml:space="preserve">Постоянная времени </w:t>
      </w:r>
      <w:r w:rsidR="00B1493F" w:rsidRPr="006B0465">
        <w:rPr>
          <w:i/>
          <w:szCs w:val="24"/>
          <w:lang w:val="en-US"/>
        </w:rPr>
        <w:t>T</w:t>
      </w:r>
      <w:r w:rsidR="00B1493F" w:rsidRPr="006B0465">
        <w:rPr>
          <w:i/>
          <w:szCs w:val="24"/>
          <w:vertAlign w:val="subscript"/>
          <w:lang w:val="en-US"/>
        </w:rPr>
        <w:t>a</w:t>
      </w:r>
      <w:r w:rsidRPr="00021B32">
        <w:rPr>
          <w:szCs w:val="24"/>
        </w:rPr>
        <w:t>, с</w:t>
      </w:r>
      <w:r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</w:t>
      </w:r>
      <w:r w:rsidR="00114A39">
        <w:rPr>
          <w:szCs w:val="24"/>
        </w:rPr>
        <w:t>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Ток короткого замыкания, кА</w:t>
      </w:r>
      <w:r w:rsidR="005C7CF8" w:rsidRPr="003B0148"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lastRenderedPageBreak/>
        <w:t>Активное сопротивление, Ом</w:t>
      </w:r>
      <w:r>
        <w:rPr>
          <w:szCs w:val="24"/>
        </w:rPr>
        <w:t>;</w:t>
      </w:r>
    </w:p>
    <w:p w:rsidR="00021B32" w:rsidRPr="003B014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Индуктивное сопротивление, Ом</w:t>
      </w:r>
      <w:r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F96247">
        <w:rPr>
          <w:szCs w:val="24"/>
        </w:rPr>
        <w:t xml:space="preserve">, </w:t>
      </w:r>
      <w:r w:rsidRPr="00021B32">
        <w:t>кВ</w:t>
      </w:r>
      <w:r>
        <w:t>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Ток, А;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Активная мощность, кВт;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Реактивная мощность, кВар;</w:t>
      </w:r>
    </w:p>
    <w:p w:rsidR="00021B32" w:rsidRPr="00451B7E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Полная мощность, кВА.</w:t>
      </w:r>
    </w:p>
    <w:sectPr w:rsidR="00021B32" w:rsidRPr="00451B7E" w:rsidSect="004A5861">
      <w:headerReference w:type="default" r:id="rId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1EC" w:rsidRDefault="00DA71EC" w:rsidP="0097473F">
      <w:r>
        <w:separator/>
      </w:r>
    </w:p>
  </w:endnote>
  <w:endnote w:type="continuationSeparator" w:id="0">
    <w:p w:rsidR="00DA71EC" w:rsidRDefault="00DA71E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1EC" w:rsidRDefault="00DA71EC" w:rsidP="0097473F">
      <w:r>
        <w:separator/>
      </w:r>
    </w:p>
  </w:footnote>
  <w:footnote w:type="continuationSeparator" w:id="0">
    <w:p w:rsidR="00DA71EC" w:rsidRDefault="00DA71E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BB8"/>
    <w:rsid w:val="0084099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71EC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15</cp:revision>
  <cp:lastPrinted>2011-12-19T09:00:00Z</cp:lastPrinted>
  <dcterms:created xsi:type="dcterms:W3CDTF">2014-11-04T06:58:00Z</dcterms:created>
  <dcterms:modified xsi:type="dcterms:W3CDTF">2015-01-18T16:07:00Z</dcterms:modified>
</cp:coreProperties>
</file>