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C0" w:rsidRPr="00F879DD" w:rsidRDefault="00FA21C0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gammq</w:t>
      </w:r>
    </w:p>
    <w:p w:rsidR="00FA21C0" w:rsidRPr="00F879DD" w:rsidRDefault="00FA21C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Incomplete upper Gamma</w:t>
      </w:r>
      <w:r w:rsidRPr="00F879DD">
        <w:rPr>
          <w:i/>
          <w:color w:val="0000FF"/>
          <w:szCs w:val="24"/>
          <w:lang w:val="en-US"/>
        </w:rPr>
        <w:t>-</w:t>
      </w:r>
      <w:r>
        <w:rPr>
          <w:i/>
          <w:color w:val="0000FF"/>
          <w:szCs w:val="24"/>
          <w:lang w:val="en-US"/>
        </w:rPr>
        <w:t>function</w:t>
      </w:r>
      <w:r w:rsidRPr="00F879DD">
        <w:rPr>
          <w:i/>
          <w:color w:val="0000FF"/>
          <w:szCs w:val="24"/>
          <w:lang w:val="en-US"/>
        </w:rPr>
        <w:t>.</w:t>
      </w:r>
    </w:p>
    <w:p w:rsidR="00FA21C0" w:rsidRDefault="006E74FE">
      <w:pPr>
        <w:rPr>
          <w:color w:val="0070C0"/>
          <w:szCs w:val="24"/>
          <w:lang w:val="en-US"/>
        </w:rPr>
      </w:pPr>
      <w:r w:rsidRPr="006E74FE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FA21C0" w:rsidRDefault="00FA21C0">
      <w:pPr>
        <w:rPr>
          <w:szCs w:val="24"/>
          <w:lang w:val="en-US"/>
        </w:rPr>
      </w:pPr>
    </w:p>
    <w:p w:rsidR="00FA21C0" w:rsidRDefault="00FA21C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FA21C0" w:rsidRDefault="00FA21C0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gammq</w:t>
      </w:r>
      <w:r>
        <w:rPr>
          <w:rFonts w:ascii="Courier New" w:hAnsi="Courier New"/>
          <w:i/>
          <w:szCs w:val="24"/>
          <w:lang w:val="en-US"/>
        </w:rPr>
        <w:t>(a, x);</w:t>
      </w:r>
    </w:p>
    <w:p w:rsidR="00FA21C0" w:rsidRDefault="00FA21C0">
      <w:pPr>
        <w:rPr>
          <w:szCs w:val="24"/>
          <w:lang w:val="en-US"/>
        </w:rPr>
      </w:pPr>
    </w:p>
    <w:p w:rsidR="00FA21C0" w:rsidRDefault="00FA21C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FA21C0" w:rsidRDefault="00FA21C0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a </w:t>
      </w:r>
      <w:r>
        <w:rPr>
          <w:szCs w:val="24"/>
          <w:lang w:val="en-US"/>
        </w:rPr>
        <w:t>– function argument.</w:t>
      </w:r>
    </w:p>
    <w:p w:rsidR="00FA21C0" w:rsidRDefault="00FA21C0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– function argument.</w:t>
      </w:r>
    </w:p>
    <w:p w:rsidR="00FA21C0" w:rsidRDefault="00FA21C0">
      <w:pPr>
        <w:rPr>
          <w:szCs w:val="24"/>
          <w:lang w:val="en-US"/>
        </w:rPr>
      </w:pPr>
    </w:p>
    <w:p w:rsidR="00FA21C0" w:rsidRPr="00F879DD" w:rsidRDefault="00FA21C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F879DD">
        <w:rPr>
          <w:b/>
          <w:szCs w:val="24"/>
          <w:lang w:val="en-US"/>
        </w:rPr>
        <w:t>:</w:t>
      </w:r>
    </w:p>
    <w:p w:rsidR="00FA21C0" w:rsidRPr="00F879DD" w:rsidRDefault="00FA21C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Incomplete upper Gamma</w:t>
      </w:r>
      <w:r w:rsidRPr="00F879DD">
        <w:rPr>
          <w:szCs w:val="24"/>
          <w:lang w:val="en-US"/>
        </w:rPr>
        <w:t>-</w:t>
      </w:r>
      <w:r>
        <w:rPr>
          <w:szCs w:val="24"/>
          <w:lang w:val="en-US"/>
        </w:rPr>
        <w:t xml:space="preserve">function </w:t>
      </w:r>
      <w:r>
        <w:rPr>
          <w:i/>
          <w:szCs w:val="24"/>
          <w:lang w:val="en-US"/>
        </w:rPr>
        <w:t>Q</w:t>
      </w:r>
      <w:r w:rsidRPr="00F879DD">
        <w:rPr>
          <w:szCs w:val="24"/>
          <w:lang w:val="en-US"/>
        </w:rPr>
        <w:t>(</w:t>
      </w:r>
      <w:r>
        <w:rPr>
          <w:i/>
          <w:szCs w:val="24"/>
          <w:lang w:val="en-US"/>
        </w:rPr>
        <w:t>a</w:t>
      </w:r>
      <w:r w:rsidRPr="00F879DD">
        <w:rPr>
          <w:szCs w:val="24"/>
          <w:lang w:val="en-US"/>
        </w:rPr>
        <w:t>,</w:t>
      </w:r>
      <w:r>
        <w:rPr>
          <w:i/>
          <w:szCs w:val="24"/>
          <w:lang w:val="en-US"/>
        </w:rPr>
        <w:t>x</w:t>
      </w:r>
      <w:r w:rsidRPr="00F879DD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is set by the relation</w:t>
      </w:r>
      <w:r w:rsidRPr="00F879DD">
        <w:rPr>
          <w:szCs w:val="24"/>
          <w:lang w:val="en-US"/>
        </w:rPr>
        <w:t>:</w:t>
      </w:r>
    </w:p>
    <w:p w:rsidR="00C711A2" w:rsidRPr="00F879DD" w:rsidRDefault="00C711A2" w:rsidP="00C711A2">
      <w:pPr>
        <w:spacing w:line="360" w:lineRule="auto"/>
        <w:rPr>
          <w:szCs w:val="24"/>
          <w:lang w:val="en-US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a,x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highlight w:val="cyan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highlight w:val="cyan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highlight w:val="cyan"/>
              </w:rPr>
              <m:t>Г</m:t>
            </m:r>
            <m:r>
              <w:rPr>
                <w:rFonts w:ascii="Cambria Math" w:hAnsi="Cambria Math"/>
                <w:szCs w:val="24"/>
                <w:highlight w:val="cyan"/>
                <w:lang w:val="en-US"/>
              </w:rPr>
              <m:t>(a)</m:t>
            </m:r>
          </m:den>
        </m:f>
        <m:r>
          <w:rPr>
            <w:rFonts w:ascii="Cambria Math" w:hAnsi="Cambria Math"/>
            <w:szCs w:val="24"/>
            <w:lang w:val="en-US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a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-1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Cs w:val="24"/>
                  </w:rPr>
                  <m:t>dt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=1-P(a, </m:t>
                </m:r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)</m:t>
                </m:r>
              </m:e>
            </m:box>
          </m:e>
        </m:nary>
      </m:oMath>
      <w:r w:rsidRPr="00F879DD">
        <w:rPr>
          <w:szCs w:val="24"/>
          <w:lang w:val="en-US"/>
        </w:rPr>
        <w:t xml:space="preserve">, </w:t>
      </w:r>
    </w:p>
    <w:p w:rsidR="00FA21C0" w:rsidRPr="00F879DD" w:rsidRDefault="00FA21C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 w:rsidRPr="00F147E2">
        <w:rPr>
          <w:i/>
          <w:szCs w:val="24"/>
        </w:rPr>
        <w:t>Г</w:t>
      </w:r>
      <w:r w:rsidRPr="00F147E2">
        <w:rPr>
          <w:szCs w:val="24"/>
          <w:lang w:val="en-US"/>
        </w:rPr>
        <w:t>(</w:t>
      </w:r>
      <w:r w:rsidRPr="00F147E2">
        <w:rPr>
          <w:i/>
          <w:szCs w:val="24"/>
          <w:lang w:val="en-US"/>
        </w:rPr>
        <w:t>a</w:t>
      </w:r>
      <w:r w:rsidRPr="00F147E2">
        <w:rPr>
          <w:szCs w:val="24"/>
          <w:lang w:val="en-US"/>
        </w:rPr>
        <w:t>)</w:t>
      </w:r>
      <w:r w:rsidRPr="00F879D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 Comp</w:t>
      </w:r>
      <w:r w:rsidR="00F879DD">
        <w:rPr>
          <w:szCs w:val="24"/>
          <w:lang w:val="en-US"/>
        </w:rPr>
        <w:t>l</w:t>
      </w:r>
      <w:r>
        <w:rPr>
          <w:szCs w:val="24"/>
          <w:lang w:val="en-US"/>
        </w:rPr>
        <w:t>ete Gamma</w:t>
      </w:r>
      <w:r w:rsidRPr="00F879DD">
        <w:rPr>
          <w:szCs w:val="24"/>
          <w:lang w:val="en-US"/>
        </w:rPr>
        <w:t>-</w:t>
      </w:r>
      <w:r>
        <w:rPr>
          <w:szCs w:val="24"/>
          <w:lang w:val="en-US"/>
        </w:rPr>
        <w:t>function</w:t>
      </w:r>
      <w:r w:rsidRPr="00F879DD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F879DD">
        <w:rPr>
          <w:szCs w:val="24"/>
          <w:lang w:val="en-US"/>
        </w:rPr>
        <w:t>(</w:t>
      </w:r>
      <w:r>
        <w:rPr>
          <w:szCs w:val="24"/>
          <w:lang w:val="en-US"/>
        </w:rPr>
        <w:t>a</w:t>
      </w:r>
      <w:r w:rsidRPr="00F879DD">
        <w:rPr>
          <w:szCs w:val="24"/>
          <w:lang w:val="en-US"/>
        </w:rPr>
        <w:t>,</w:t>
      </w:r>
      <w:r>
        <w:rPr>
          <w:szCs w:val="24"/>
          <w:lang w:val="en-US"/>
        </w:rPr>
        <w:t>x</w:t>
      </w:r>
      <w:r w:rsidRPr="00F879DD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is incomplete Gama</w:t>
      </w:r>
      <w:r w:rsidRPr="00F879DD">
        <w:rPr>
          <w:szCs w:val="24"/>
          <w:lang w:val="en-US"/>
        </w:rPr>
        <w:t>-</w:t>
      </w:r>
      <w:r>
        <w:rPr>
          <w:szCs w:val="24"/>
          <w:lang w:val="en-US"/>
        </w:rPr>
        <w:t>function</w:t>
      </w:r>
      <w:r w:rsidRPr="00F879DD">
        <w:rPr>
          <w:szCs w:val="24"/>
          <w:lang w:val="en-US"/>
        </w:rPr>
        <w:t>.</w:t>
      </w:r>
    </w:p>
    <w:p w:rsidR="00FA21C0" w:rsidRPr="00F879DD" w:rsidRDefault="00FA21C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Function calculates the incomplete upper Gamma</w:t>
      </w:r>
      <w:r w:rsidRPr="00F879DD">
        <w:rPr>
          <w:szCs w:val="24"/>
          <w:lang w:val="en-US"/>
        </w:rPr>
        <w:t>-</w:t>
      </w:r>
      <w:r>
        <w:rPr>
          <w:szCs w:val="24"/>
          <w:lang w:val="en-US"/>
        </w:rPr>
        <w:t xml:space="preserve">function from arguments </w:t>
      </w:r>
      <w:r>
        <w:rPr>
          <w:i/>
          <w:szCs w:val="24"/>
          <w:lang w:val="en-US"/>
        </w:rPr>
        <w:t>a</w:t>
      </w:r>
      <w:r w:rsidRPr="00F879DD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x</w:t>
      </w:r>
      <w:r w:rsidRPr="00F879DD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Matrixes and vectors can be arguments</w:t>
      </w:r>
      <w:r w:rsidRPr="00F879DD">
        <w:rPr>
          <w:szCs w:val="24"/>
          <w:lang w:val="en-US"/>
        </w:rPr>
        <w:t xml:space="preserve">; </w:t>
      </w:r>
      <w:r>
        <w:rPr>
          <w:szCs w:val="24"/>
          <w:lang w:val="en-US"/>
        </w:rPr>
        <w:t>their dimension shall be the same</w:t>
      </w:r>
      <w:r w:rsidRPr="00F879DD">
        <w:rPr>
          <w:szCs w:val="24"/>
          <w:lang w:val="en-US"/>
        </w:rPr>
        <w:t xml:space="preserve">. </w:t>
      </w:r>
    </w:p>
    <w:p w:rsidR="00FA21C0" w:rsidRPr="00F879DD" w:rsidRDefault="00FA21C0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FA21C0" w:rsidRPr="00F879DD" w:rsidRDefault="00FA21C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F879DD">
        <w:rPr>
          <w:b/>
          <w:szCs w:val="24"/>
          <w:lang w:val="en-US"/>
        </w:rPr>
        <w:t>:</w:t>
      </w:r>
    </w:p>
    <w:p w:rsidR="00FA21C0" w:rsidRPr="00F879DD" w:rsidRDefault="00FA21C0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 w:rsidRPr="00F879DD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value of the incomplete upper Gamma</w:t>
      </w:r>
      <w:r w:rsidRPr="00F879DD">
        <w:rPr>
          <w:szCs w:val="24"/>
          <w:lang w:val="en-US"/>
        </w:rPr>
        <w:t>-</w:t>
      </w:r>
      <w:r>
        <w:rPr>
          <w:szCs w:val="24"/>
          <w:lang w:val="en-US"/>
        </w:rPr>
        <w:t>function from argument</w:t>
      </w:r>
      <w:r w:rsidR="00F879DD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</w:t>
      </w:r>
      <w:r w:rsidRPr="00F879DD">
        <w:rPr>
          <w:i/>
          <w:szCs w:val="24"/>
          <w:lang w:val="en-US"/>
        </w:rPr>
        <w:t>a</w:t>
      </w:r>
      <w:r>
        <w:rPr>
          <w:szCs w:val="24"/>
          <w:lang w:val="en-US"/>
        </w:rPr>
        <w:t xml:space="preserve"> and </w:t>
      </w:r>
      <w:r w:rsidRPr="00F879DD">
        <w:rPr>
          <w:i/>
          <w:szCs w:val="24"/>
          <w:lang w:val="en-US"/>
        </w:rPr>
        <w:t>x</w:t>
      </w:r>
      <w:r w:rsidRPr="00F879DD">
        <w:rPr>
          <w:szCs w:val="24"/>
          <w:lang w:val="en-US"/>
        </w:rPr>
        <w:t>.</w:t>
      </w:r>
    </w:p>
    <w:p w:rsidR="00FA21C0" w:rsidRPr="00F879DD" w:rsidRDefault="00FA21C0">
      <w:pPr>
        <w:rPr>
          <w:szCs w:val="24"/>
          <w:lang w:val="en-US"/>
        </w:rPr>
      </w:pPr>
    </w:p>
    <w:p w:rsidR="00FA21C0" w:rsidRPr="00F879DD" w:rsidRDefault="00FA21C0">
      <w:pPr>
        <w:rPr>
          <w:szCs w:val="24"/>
          <w:lang w:val="en-US"/>
        </w:rPr>
      </w:pPr>
    </w:p>
    <w:sectPr w:rsidR="00FA21C0" w:rsidRPr="00F879DD" w:rsidSect="007F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10F9"/>
    <w:rsid w:val="00043807"/>
    <w:rsid w:val="000602A0"/>
    <w:rsid w:val="00083EB3"/>
    <w:rsid w:val="00090128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2613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D6243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3F0A1F"/>
    <w:rsid w:val="00450C42"/>
    <w:rsid w:val="00474CDE"/>
    <w:rsid w:val="00475BD7"/>
    <w:rsid w:val="00485185"/>
    <w:rsid w:val="004A387C"/>
    <w:rsid w:val="004B006B"/>
    <w:rsid w:val="004B1EA8"/>
    <w:rsid w:val="004F36E0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16C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E74FE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7D1C49"/>
    <w:rsid w:val="007F1F06"/>
    <w:rsid w:val="00807DCD"/>
    <w:rsid w:val="00813DAA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A79A6"/>
    <w:rsid w:val="009C37E9"/>
    <w:rsid w:val="009C705D"/>
    <w:rsid w:val="009C7FB7"/>
    <w:rsid w:val="009D4D9D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4F89"/>
    <w:rsid w:val="00C30B47"/>
    <w:rsid w:val="00C667F5"/>
    <w:rsid w:val="00C711A2"/>
    <w:rsid w:val="00CB2121"/>
    <w:rsid w:val="00CB6378"/>
    <w:rsid w:val="00D02935"/>
    <w:rsid w:val="00D10031"/>
    <w:rsid w:val="00D1650B"/>
    <w:rsid w:val="00D27DBA"/>
    <w:rsid w:val="00D320C5"/>
    <w:rsid w:val="00D354C9"/>
    <w:rsid w:val="00D731DE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147E2"/>
    <w:rsid w:val="00F21936"/>
    <w:rsid w:val="00F31BD5"/>
    <w:rsid w:val="00F6677F"/>
    <w:rsid w:val="00F879DD"/>
    <w:rsid w:val="00F91B66"/>
    <w:rsid w:val="00F91D65"/>
    <w:rsid w:val="00F94A73"/>
    <w:rsid w:val="00F959C9"/>
    <w:rsid w:val="00FA21C0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F1F06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F1F06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F1F06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F1F06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7F1F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F1F06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F1F06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F1F06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F1F0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F1F06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F1F06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7F1F06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F1F06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7F1F06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7F1F06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F1F06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F1F06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F1F06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F1F06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7F1F06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7F1F06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7F1F06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F1F06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F1F06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F1F06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7F1F0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7F1F06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7F1F06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F1F06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7F1F06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7F1F06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7F1F06"/>
    <w:rPr>
      <w:rFonts w:cs="Times New Roman"/>
      <w:i/>
    </w:rPr>
  </w:style>
  <w:style w:type="character" w:styleId="af0">
    <w:name w:val="Intense Emphasis"/>
    <w:basedOn w:val="a2"/>
    <w:uiPriority w:val="99"/>
    <w:qFormat/>
    <w:rsid w:val="007F1F06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7F1F06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7F1F06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7F1F06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7F1F06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7F1F06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7F1F06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7F1F06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7F1F06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7F1F06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7F1F06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7F1F06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7F1F06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7F1F06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7F1F06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7F1F06"/>
    <w:rPr>
      <w:rFonts w:cs="Times New Roman"/>
      <w:color w:val="808080"/>
    </w:rPr>
  </w:style>
  <w:style w:type="character" w:customStyle="1" w:styleId="tw4winMark">
    <w:name w:val="tw4winMark"/>
    <w:uiPriority w:val="99"/>
    <w:rsid w:val="007F1F06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F1F06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F1F06"/>
    <w:rPr>
      <w:color w:val="0000FF"/>
    </w:rPr>
  </w:style>
  <w:style w:type="character" w:customStyle="1" w:styleId="tw4winPopup">
    <w:name w:val="tw4winPopup"/>
    <w:uiPriority w:val="99"/>
    <w:rsid w:val="007F1F06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F1F06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F1F06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F1F06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F1F06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87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60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6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5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66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5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508</Characters>
  <Application>Microsoft Office Word</Application>
  <DocSecurity>0</DocSecurity>
  <Lines>26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2014-10-21T06:33:00Z</dcterms:created>
  <dcterms:modified xsi:type="dcterms:W3CDTF">2014-10-27T06:59:00Z</dcterms:modified>
</cp:coreProperties>
</file>