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48767F" w:rsidP="00EC2F6C">
      <w:pPr>
        <w:rPr>
          <w:noProof/>
        </w:rPr>
      </w:pPr>
      <w:r w:rsidRPr="00D67A71">
        <w:rPr>
          <w:noProof/>
        </w:rPr>
        <w:t>В лабораторной работе № 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>режим работы АНАЛИЗ, одна из опций которого позволяет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F15C7D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2376C0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2153DF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453B43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816520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8B6FD3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113964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</w:t>
      </w:r>
      <w:bookmarkStart w:id="5" w:name="_GoBack"/>
      <w:bookmarkEnd w:id="5"/>
      <w:r w:rsidRPr="00D67A71">
        <w:rPr>
          <w:noProof/>
        </w:rPr>
        <w:t xml:space="preserve">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6" w:name="main1"/>
      <w:bookmarkStart w:id="7" w:name="_Toc360285167"/>
      <w:bookmarkStart w:id="8" w:name="_Toc416275965"/>
      <w:bookmarkEnd w:id="6"/>
      <w:r w:rsidRPr="00D67A71">
        <w:rPr>
          <w:noProof/>
        </w:rPr>
        <w:t xml:space="preserve">1 </w:t>
      </w:r>
      <w:r w:rsidR="0048767F" w:rsidRPr="00EC2F6C">
        <w:t>О</w:t>
      </w:r>
      <w:bookmarkEnd w:id="7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8"/>
    </w:p>
    <w:p w:rsidR="004B6471" w:rsidRPr="00EC2F6C" w:rsidRDefault="0048767F" w:rsidP="00EC2F6C">
      <w:pPr>
        <w:pStyle w:val="2"/>
      </w:pPr>
      <w:bookmarkStart w:id="9" w:name="prop11"/>
      <w:bookmarkStart w:id="10" w:name="_Toc360285168"/>
      <w:bookmarkStart w:id="11" w:name="_Toc416275966"/>
      <w:bookmarkEnd w:id="9"/>
      <w:r w:rsidRPr="00D67A71">
        <w:rPr>
          <w:noProof/>
        </w:rPr>
        <w:t xml:space="preserve">1.1 </w:t>
      </w:r>
      <w:bookmarkEnd w:id="10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1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рассмотренной в лабораторной работе № 1 демонстрационно-ознакомительной задаче. Сформулируем задачи, которые необходимо решить в процессе анализа АФЧХ САР, структурная схема которой создана Вами в лабораторной работе № 1 и сохранена на жестком диске:</w:t>
      </w:r>
    </w:p>
    <w:p w:rsidR="004B6471" w:rsidRPr="00113964" w:rsidRDefault="0048767F" w:rsidP="00113964">
      <w:pPr>
        <w:pStyle w:val="a4"/>
        <w:numPr>
          <w:ilvl w:val="0"/>
          <w:numId w:val="4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 – ФЧХ;</w:t>
      </w:r>
    </w:p>
    <w:p w:rsidR="004B6471" w:rsidRPr="00D67A71" w:rsidRDefault="0048767F" w:rsidP="00113964">
      <w:pPr>
        <w:pStyle w:val="a4"/>
        <w:numPr>
          <w:ilvl w:val="0"/>
          <w:numId w:val="4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 - 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 Необходимо заметить, что внешний вид структурной схемы в открывшемся проекте возможно отличается от того, который Вы сохраняли ранее.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Pr="00D67A71">
        <w:rPr>
          <w:noProof/>
        </w:rPr>
        <w:t xml:space="preserve"> - 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опция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параметры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левой кнопкой мыши. Из выпавшей вкладки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D67A71">
        <w:rPr>
          <w:i/>
          <w:iCs/>
          <w:noProof/>
          <w:shd w:val="clear" w:color="auto" w:fill="FFFFFF"/>
        </w:rPr>
        <w:t xml:space="preserve">, </w:t>
      </w:r>
      <w:r w:rsidRPr="00D67A71">
        <w:rPr>
          <w:noProof/>
          <w:shd w:val="clear" w:color="auto" w:fill="FFFFFF"/>
        </w:rPr>
        <w:t>рис.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В о</w:t>
      </w:r>
      <w:r w:rsidR="005F51FA">
        <w:rPr>
          <w:noProof/>
          <w:shd w:val="clear" w:color="auto" w:fill="FFFFFF"/>
        </w:rPr>
        <w:t>ткрывшемся меню выберите опцию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, щелкнув по ней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клавишей "мыши".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>Свойства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bCs/>
          <w:i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5F51FA">
        <w:rPr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>, как на рис.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1.3 — Параметры блока Построение частотных характеристик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диалоговом окне </w:t>
      </w:r>
      <w:r w:rsidRPr="00D67A71">
        <w:rPr>
          <w:b/>
          <w:bCs/>
          <w:i/>
          <w:iCs/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 xml:space="preserve"> параметрами </w:t>
      </w:r>
      <w:r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b/>
          <w:bCs/>
          <w:i/>
          <w:noProof/>
          <w:shd w:val="clear" w:color="auto" w:fill="FFFFFF"/>
        </w:rPr>
        <w:t>Конечная частота</w:t>
      </w:r>
      <w:r w:rsidRPr="00D67A71">
        <w:rPr>
          <w:noProof/>
          <w:shd w:val="clear" w:color="auto" w:fill="FFFFFF"/>
        </w:rPr>
        <w:t xml:space="preserve"> задаются границы частотного диапазона (в рад/с), а параметром </w:t>
      </w:r>
      <w:r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Значения параметров полей </w:t>
      </w:r>
      <w:r w:rsidRPr="00D67A71">
        <w:rPr>
          <w:b/>
          <w:bCs/>
          <w:i/>
          <w:noProof/>
          <w:shd w:val="clear" w:color="auto" w:fill="FFFFFF"/>
        </w:rPr>
        <w:t>Приращения для Якобиана</w:t>
      </w:r>
      <w:r w:rsidRPr="00D67A71">
        <w:rPr>
          <w:noProof/>
          <w:shd w:val="clear" w:color="auto" w:fill="FFFFFF"/>
        </w:rPr>
        <w:t xml:space="preserve"> используются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данных по относительным и абсолютным приращениям для Якобиана. Начинающему Пользователю рекомендуется использовать эти параметры "по умолчанию". Значения "по умолчанию" полей </w:t>
      </w:r>
      <w:r w:rsidRPr="00D67A71">
        <w:rPr>
          <w:b/>
          <w:bCs/>
          <w:i/>
          <w:noProof/>
          <w:shd w:val="clear" w:color="auto" w:fill="FFFFFF"/>
        </w:rPr>
        <w:t>Приращения для Якобиана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D67A71">
        <w:rPr>
          <w:b/>
          <w:i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1A7F09"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Графическое окно</w:t>
      </w:r>
      <w:r w:rsidRPr="00D67A71">
        <w:rPr>
          <w:noProof/>
        </w:rPr>
        <w:t xml:space="preserve"> с результатами расчета. Используя опции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(вызов "всплывающего" меню - 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 xml:space="preserve">Min Y </w:t>
      </w:r>
      <w:r w:rsidRPr="00D67A71">
        <w:rPr>
          <w:noProof/>
        </w:rPr>
        <w:t xml:space="preserve">-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Pr="00D67A71">
        <w:rPr>
          <w:noProof/>
        </w:rPr>
        <w:t xml:space="preserve"> -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Количество делений - </w:t>
      </w:r>
      <w:r w:rsidRPr="00D67A71">
        <w:rPr>
          <w:b/>
          <w:noProof/>
        </w:rPr>
        <w:t>4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опцию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 (щелчок левой клавишей "мыши"): окно графиков заменится таблицей данных расчета. Прокруткой таблицы найдите строку, соответствующую</w:t>
      </w:r>
      <w:r w:rsidR="00BC164E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lg(ω)</m:t>
        </m:r>
      </m:oMath>
      <w:r w:rsidRPr="00D67A71">
        <w:rPr>
          <w:noProof/>
        </w:rPr>
        <w:t xml:space="preserve"> = </w:t>
      </w:r>
      <w:r w:rsidRPr="00D67A71">
        <w:rPr>
          <w:noProof/>
          <w:shd w:val="clear" w:color="auto" w:fill="FFFFFF"/>
        </w:rPr>
        <w:t>1.0413</w:t>
      </w:r>
      <w:r w:rsidRPr="00D67A71">
        <w:rPr>
          <w:noProof/>
        </w:rPr>
        <w:t xml:space="preserve"> (см. рис. 1.5),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&gt; 0 (0.141233),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 и показал ранее (в Лаб. Раб. № 1) график переходного процесса при исходных параметрах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 - 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опции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  <w:r w:rsidR="00D91416" w:rsidRPr="00D67A71">
        <w:rPr>
          <w:noProof/>
        </w:rPr>
        <w:t xml:space="preserve"> </w:t>
      </w:r>
      <w:r w:rsidRPr="00D67A71">
        <w:rPr>
          <w:noProof/>
        </w:rPr>
        <w:t xml:space="preserve">Закройте графическое окно с заголовком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по системной кнопке в правом верхнем угле окна).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Pr="00D67A71">
        <w:rPr>
          <w:noProof/>
        </w:rPr>
        <w:t xml:space="preserve"> для нашей разомкнутой системы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ним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, щелкнув по ней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клавишей "мыши" (</w:t>
      </w:r>
      <w:r w:rsidRPr="00D67A71">
        <w:rPr>
          <w:i/>
          <w:iCs/>
          <w:noProof/>
          <w:shd w:val="clear" w:color="auto" w:fill="FFFFFF"/>
        </w:rPr>
        <w:t xml:space="preserve">аналогично как указано на </w:t>
      </w:r>
      <w:r w:rsidRPr="00D67A71">
        <w:rPr>
          <w:noProof/>
          <w:shd w:val="clear" w:color="auto" w:fill="FFFFFF"/>
        </w:rPr>
        <w:t xml:space="preserve">рис. 1.2).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>. Введите параметры такие же, как на рис.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Pr="00D67A71">
        <w:rPr>
          <w:noProof/>
        </w:rPr>
        <w:t xml:space="preserve"> </w:t>
      </w:r>
      <w:r w:rsidRPr="00D67A71">
        <w:rPr>
          <w:bCs/>
          <w:i/>
          <w:iCs/>
          <w:noProof/>
        </w:rPr>
        <w:t>годографа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кнопкам </w:t>
      </w:r>
      <w:r w:rsidRPr="00D67A71">
        <w:rPr>
          <w:b/>
          <w:bCs/>
          <w:i/>
          <w:iCs/>
          <w:noProof/>
        </w:rPr>
        <w:t>Инициализация</w:t>
      </w:r>
      <w:r w:rsidRPr="00D67A71">
        <w:rPr>
          <w:noProof/>
        </w:rPr>
        <w:t xml:space="preserve"> и </w:t>
      </w:r>
      <w:r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: начнется расчет годографа АФЧХ (называемого в среде SimInTech годографом Найквиста), а в </w:t>
      </w:r>
      <w:r w:rsidRPr="00D67A71">
        <w:rPr>
          <w:b/>
          <w:bCs/>
          <w:i/>
          <w:noProof/>
        </w:rPr>
        <w:t>Графическом окне</w:t>
      </w:r>
      <w:r w:rsidRPr="00D67A71">
        <w:rPr>
          <w:noProof/>
        </w:rPr>
        <w:t xml:space="preserve"> - отображение результатов расчета.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опцию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командное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D67A71">
        <w:rPr>
          <w:noProof/>
        </w:rPr>
        <w:t>i).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опцию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командного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1.8 -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), то 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FC5B15" w:rsidRDefault="00FC5B15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Pr="00D67A71">
        <w:rPr>
          <w:noProof/>
        </w:rPr>
        <w:t xml:space="preserve"> - исследование устойчивости скорректированной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Закройте графическое окно </w:t>
      </w:r>
      <w:r w:rsidRPr="00D67A71">
        <w:rPr>
          <w:b/>
          <w:i/>
          <w:noProof/>
        </w:rPr>
        <w:t>Годограф Найквиста</w:t>
      </w:r>
      <w:r w:rsidRPr="00D67A71">
        <w:rPr>
          <w:noProof/>
        </w:rPr>
        <w:t xml:space="preserve">, щелкнув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"мыши".</w:t>
      </w:r>
    </w:p>
    <w:p w:rsidR="004B6471" w:rsidRPr="000F786B" w:rsidRDefault="0048767F" w:rsidP="000F786B">
      <w:pPr>
        <w:widowControl/>
        <w:suppressAutoHyphens w:val="0"/>
        <w:autoSpaceDE w:val="0"/>
        <w:adjustRightInd w:val="0"/>
        <w:spacing w:before="0" w:after="0"/>
        <w:ind w:firstLine="0"/>
        <w:jc w:val="left"/>
        <w:textAlignment w:val="auto"/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коэффициент</w:t>
      </w:r>
      <w:r w:rsidRPr="000F786B">
        <w:rPr>
          <w:noProof/>
        </w:rPr>
        <w:t xml:space="preserve"> </w:t>
      </w:r>
      <w:r w:rsidRPr="000F786B">
        <w:rPr>
          <w:i/>
          <w:iCs/>
          <w:noProof/>
        </w:rPr>
        <w:t>k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="000F786B" w:rsidRPr="000F786B">
        <w:rPr>
          <w:rFonts w:cs="Cambria"/>
          <w:kern w:val="0"/>
          <w:sz w:val="24"/>
          <w:szCs w:val="24"/>
          <w:lang w:val="en-US"/>
        </w:rPr>
        <w:t xml:space="preserve"> </w:t>
      </w:r>
      <w:r w:rsidRPr="00D67A71">
        <w:rPr>
          <w:noProof/>
        </w:rPr>
        <w:t xml:space="preserve">в 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командную кнопку </w:t>
      </w:r>
      <w:r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можно проводить расчет частотных характеристик. Переместите курсор на командную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и сделайте щелчок "мышью": расчет 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Запустите расчет годографа Найквиста (таким же образом, как Вы выполнили это выше). Сделайте график годографа 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Еще раз измените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(см. рис. 1.11). Линия годографа разомкнутой САР на рис. 1.11 </w:t>
      </w:r>
      <w:r w:rsidRPr="00D67A71">
        <w:rPr>
          <w:noProof/>
          <w:u w:val="single"/>
        </w:rPr>
        <w:t>без сомнения не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Вывод: </w:t>
      </w:r>
      <w:r w:rsidRPr="00D67A71">
        <w:rPr>
          <w:noProof/>
          <w:u w:val="single"/>
        </w:rPr>
        <w:t>скорректированная САР в замкнутом состоянии будет устойчива</w:t>
      </w:r>
      <w:r w:rsidRPr="00D67A71">
        <w:rPr>
          <w:noProof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1.10 -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85014D" w:rsidRPr="00D67A71" w:rsidRDefault="0048767F" w:rsidP="0085014D">
      <w:pPr>
        <w:spacing w:after="120"/>
        <w:ind w:firstLine="717"/>
        <w:rPr>
          <w:b/>
          <w:bCs/>
          <w:i/>
          <w:iCs/>
          <w:noProof/>
          <w:szCs w:val="28"/>
        </w:rPr>
      </w:pPr>
      <w:r w:rsidRPr="00D67A71">
        <w:rPr>
          <w:noProof/>
          <w:szCs w:val="28"/>
        </w:rPr>
        <w:t xml:space="preserve">Закройте графическое окно </w:t>
      </w:r>
      <w:r w:rsidRPr="00D67A71">
        <w:rPr>
          <w:b/>
          <w:bCs/>
          <w:i/>
          <w:iCs/>
          <w:noProof/>
          <w:szCs w:val="28"/>
        </w:rPr>
        <w:t>Критерий Найквиста</w:t>
      </w:r>
      <w:r w:rsidR="00E16FAE">
        <w:rPr>
          <w:noProof/>
          <w:szCs w:val="28"/>
        </w:rPr>
        <w:t xml:space="preserve"> и откройте графическое </w:t>
      </w:r>
      <w:r w:rsidRPr="00D67A71">
        <w:rPr>
          <w:noProof/>
          <w:szCs w:val="28"/>
        </w:rPr>
        <w:t xml:space="preserve">окно </w:t>
      </w:r>
      <w:r w:rsidRPr="00D67A71">
        <w:rPr>
          <w:b/>
          <w:bCs/>
          <w:i/>
          <w:iCs/>
          <w:noProof/>
          <w:szCs w:val="28"/>
        </w:rPr>
        <w:t>ЛАХ, ФЧХ.</w:t>
      </w:r>
    </w:p>
    <w:p w:rsidR="004B6471" w:rsidRPr="00D67A71" w:rsidRDefault="0048767F" w:rsidP="0085014D">
      <w:pPr>
        <w:spacing w:after="120"/>
        <w:ind w:firstLine="717"/>
        <w:rPr>
          <w:noProof/>
          <w:szCs w:val="28"/>
        </w:rPr>
      </w:pPr>
      <w:r w:rsidRPr="00D67A71">
        <w:rPr>
          <w:noProof/>
          <w:szCs w:val="28"/>
        </w:rPr>
        <w:t xml:space="preserve">Переместите курсор на кнопку </w:t>
      </w:r>
      <w:r w:rsidRPr="00D67A71">
        <w:rPr>
          <w:b/>
          <w:i/>
          <w:iCs/>
          <w:noProof/>
          <w:szCs w:val="28"/>
        </w:rPr>
        <w:t>Пуск</w:t>
      </w:r>
      <w:r w:rsidRPr="00D67A71">
        <w:rPr>
          <w:noProof/>
          <w:szCs w:val="28"/>
        </w:rPr>
        <w:t xml:space="preserve"> и сделайте щелчок левой клавишей "мыши": начнется расчет частотных характеристик и отображение результатов в специальном </w:t>
      </w:r>
      <w:r w:rsidRPr="00D67A71">
        <w:rPr>
          <w:i/>
          <w:noProof/>
          <w:szCs w:val="28"/>
        </w:rPr>
        <w:t>графическом окне</w:t>
      </w:r>
      <w:r w:rsidRPr="00D67A71">
        <w:rPr>
          <w:noProof/>
          <w:szCs w:val="28"/>
        </w:rPr>
        <w:t>, причем снова автоматически изменятся заголовок графика и подписи под осями координат (рис. 1.12).</w:t>
      </w:r>
    </w:p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Pr="00D67A71">
        <w:rPr>
          <w:noProof/>
          <w:u w:val="single"/>
        </w:rPr>
        <w:t>единичной</w:t>
      </w:r>
      <w:r w:rsidRPr="00D67A71">
        <w:rPr>
          <w:noProof/>
        </w:rPr>
        <w:t xml:space="preserve"> Главной обратной связью, если график ЛАХ 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 раньше, чем график ФЧХ линию </w:t>
      </w:r>
      <w:r w:rsidRPr="00D67A71">
        <w:rPr>
          <w:b/>
          <w:noProof/>
        </w:rPr>
        <w:t>- 180°</w:t>
      </w:r>
      <w:r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>показывает, что при замыкании единичной обратной связью САР станет</w:t>
      </w:r>
      <w:r w:rsidRPr="00D67A71">
        <w:rPr>
          <w:noProof/>
          <w:u w:val="single"/>
        </w:rPr>
        <w:t xml:space="preserve"> устойчивой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опции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k</w:t>
      </w:r>
      <w:r w:rsidRPr="00D67A71">
        <w:rPr>
          <w:noProof/>
          <w:vertAlign w:val="subscript"/>
        </w:rPr>
        <w:t>1</w:t>
      </w:r>
      <w:r w:rsidRPr="00D67A71">
        <w:rPr>
          <w:noProof/>
        </w:rPr>
        <w:t xml:space="preserve"> 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Закройте графическое окно с заголовком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>.</w:t>
      </w:r>
    </w:p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Pr="00D67A71">
        <w:rPr>
          <w:i/>
          <w:noProof/>
          <w:shd w:val="clear" w:color="auto" w:fill="FFFFFF"/>
        </w:rPr>
        <w:t>k</w:t>
      </w:r>
      <w:r w:rsidR="0085014D" w:rsidRPr="00D67A71">
        <w:rPr>
          <w:i/>
          <w:noProof/>
          <w:shd w:val="clear" w:color="auto" w:fill="FFFFFF"/>
          <w:vertAlign w:val="subscript"/>
        </w:rPr>
        <w:t>1</w:t>
      </w:r>
      <w:r w:rsidR="0085014D"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Выполните щелчок "мышью" по кнопкам </w:t>
      </w:r>
      <w:r w:rsidRPr="00D67A71">
        <w:rPr>
          <w:b/>
          <w:bCs/>
          <w:noProof/>
          <w:shd w:val="clear" w:color="auto" w:fill="FFFFFF"/>
        </w:rPr>
        <w:t xml:space="preserve">Инициализация </w:t>
      </w:r>
      <w:r w:rsidRPr="00D67A71">
        <w:rPr>
          <w:noProof/>
          <w:shd w:val="clear" w:color="auto" w:fill="FFFFFF"/>
        </w:rPr>
        <w:t>и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Пуск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разомкнутой</w:t>
      </w:r>
      <w:r w:rsidRPr="00D67A71">
        <w:rPr>
          <w:noProof/>
          <w:shd w:val="clear" w:color="auto" w:fill="FFFFFF"/>
        </w:rPr>
        <w:t xml:space="preserve"> САР инициализировалась) и затем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Стоп</w:t>
      </w:r>
      <w:r w:rsidRPr="00D67A71">
        <w:rPr>
          <w:noProof/>
          <w:shd w:val="clear" w:color="auto" w:fill="FFFFFF"/>
        </w:rPr>
        <w:t xml:space="preserve"> (моделирование прервано, так и не начавшись).</w:t>
      </w:r>
    </w:p>
    <w:p w:rsidR="004B6471" w:rsidRPr="00D67A71" w:rsidRDefault="0048767F" w:rsidP="00EC2F6C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="00DD73EF"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ним линии связи, как это показано на рис. 1.15.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Параметры диалоговых строк Относительное приращение для расчета Якобиана и Абсолютное приращение для расчета Якобиана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</w:t>
      </w:r>
      <w:r w:rsidR="0085014D" w:rsidRPr="00D67A71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как показано на рисунке 1.16.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Pr="00D67A71">
        <w:rPr>
          <w:b/>
          <w:noProof/>
          <w:shd w:val="clear" w:color="auto" w:fill="FFFFFF"/>
        </w:rPr>
        <w:t>Пуск</w:t>
      </w:r>
      <w:r w:rsidRPr="00D67A71">
        <w:rPr>
          <w:noProof/>
          <w:shd w:val="clear" w:color="auto" w:fill="FFFFFF"/>
        </w:rPr>
        <w:t xml:space="preserve"> и выполните щелчок "мышью": практически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407685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(</m:t>
          </m:r>
          <m:r>
            <w:rPr>
              <w:rFonts w:ascii="Cambria Math" w:hAnsi="Cambria Math"/>
              <w:noProof/>
              <w:shd w:val="clear" w:color="auto" w:fill="FFFFFF"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)∙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den>
          </m:f>
        </m:oMath>
      </m:oMathPara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Прямой подстановкой исходных передаточных функций в это соотношение легко убедиться в правильности расчета среды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 - 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Закройте </w:t>
      </w:r>
      <w:r w:rsidR="00952BD6" w:rsidRPr="00D67A71">
        <w:rPr>
          <w:noProof/>
          <w:shd w:val="clear" w:color="auto" w:fill="FFFFFF"/>
        </w:rPr>
        <w:t>блок</w:t>
      </w:r>
      <w:r w:rsidR="00CE66B3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Построение передаточных функций.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Инициализировать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Выполните щелчок по кнопке </w:t>
      </w:r>
      <w:r w:rsidRPr="00D67A71">
        <w:rPr>
          <w:b/>
          <w:noProof/>
          <w:shd w:val="clear" w:color="auto" w:fill="FFFFFF"/>
        </w:rPr>
        <w:t>Пуск</w:t>
      </w:r>
      <w:r w:rsidR="00855006" w:rsidRPr="00D67A71">
        <w:rPr>
          <w:noProof/>
          <w:shd w:val="clear" w:color="auto" w:fill="FFFFFF"/>
        </w:rPr>
        <w:t>. 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Pr="00D67A71">
        <w:rPr>
          <w:noProof/>
          <w:u w:val="single"/>
          <w:shd w:val="clear" w:color="auto" w:fill="FFFFFF"/>
        </w:rPr>
        <w:t>исходной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а в нижней части - полюсы и нули передаточных функций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 - в правой полуплоскости.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Измените значение коэффициента k</w:t>
      </w:r>
      <w:r w:rsidR="0085014D" w:rsidRPr="00D67A71">
        <w:rPr>
          <w:noProof/>
          <w:shd w:val="clear" w:color="auto" w:fill="FFFFFF"/>
          <w:vertAlign w:val="subscript"/>
        </w:rPr>
        <w:t>1</w:t>
      </w:r>
      <w:r w:rsidRPr="00D67A71">
        <w:rPr>
          <w:noProof/>
          <w:shd w:val="clear" w:color="auto" w:fill="FFFFFF"/>
        </w:rPr>
        <w:t xml:space="preserve"> 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таблицы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D67A71">
        <w:rPr>
          <w:noProof/>
          <w:u w:val="single"/>
          <w:shd w:val="clear" w:color="auto" w:fill="FFFFFF"/>
        </w:rPr>
        <w:t xml:space="preserve"> 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</w:t>
      </w:r>
      <w:r w:rsidR="00C253CA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Pr="00D67A71">
        <w:rPr>
          <w:noProof/>
          <w:shd w:val="clear" w:color="auto" w:fill="FFFFFF"/>
        </w:rPr>
        <w:t>(ЛАХ);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9A2582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Апериодическое звено 1-го порядка:</w:t>
      </w:r>
      <w:r w:rsidR="009A2582" w:rsidRPr="00D67A71">
        <w:rPr>
          <w:noProof/>
          <w:shd w:val="clear" w:color="auto" w:fill="FFFFFF"/>
        </w:rPr>
        <w:t xml:space="preserve"> K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 c; K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 c.</w:t>
      </w:r>
    </w:p>
    <w:p w:rsidR="00AB5693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Колебательное звено: </w:t>
      </w:r>
      <w:r w:rsidR="00AB5693" w:rsidRPr="00D67A71">
        <w:rPr>
          <w:noProof/>
          <w:shd w:val="clear" w:color="auto" w:fill="FFFFFF"/>
        </w:rPr>
        <w:t>K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=0.8; K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=0.2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Инерционно-дифференцирующее звено: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>=10 c; T</w:t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 xml:space="preserve">=1 c;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=10c; T</w:t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1.20).</w:t>
      </w:r>
    </w:p>
    <w:p w:rsidR="004B6471" w:rsidRPr="00D67A71" w:rsidRDefault="00CE66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52B5A9B" wp14:editId="7AB259C1">
            <wp:extent cx="4419600" cy="3752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 xml:space="preserve">с), поэтому структурные схемы на рис. 1.20 содержат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 параметрами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Pr="00D67A71">
        <w:rPr>
          <w:b/>
          <w:bCs/>
          <w:i/>
          <w:noProof/>
          <w:shd w:val="clear" w:color="auto" w:fill="FFFFFF"/>
        </w:rPr>
        <w:t>Графическое окно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Default="001C2CA7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 xml:space="preserve">годографы Найквиста (два </w:t>
      </w:r>
      <w:r w:rsidRPr="00D67A71">
        <w:rPr>
          <w:noProof/>
          <w:shd w:val="clear" w:color="auto" w:fill="FFFFFF"/>
        </w:rPr>
        <w:t>годографа на одном графике);</w:t>
      </w:r>
    </w:p>
    <w:p w:rsidR="00FC5B15" w:rsidRDefault="0089144A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48767F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- 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 xml:space="preserve">, а запас по фазе -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 xml:space="preserve">Выполнить проверку устойчивости скорректированной САР в замкнутом состоянии,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685" w:rsidRDefault="00407685">
      <w:r>
        <w:separator/>
      </w:r>
    </w:p>
  </w:endnote>
  <w:endnote w:type="continuationSeparator" w:id="0">
    <w:p w:rsidR="00407685" w:rsidRDefault="0040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685" w:rsidRDefault="00407685">
      <w:r>
        <w:rPr>
          <w:color w:val="000000"/>
        </w:rPr>
        <w:separator/>
      </w:r>
    </w:p>
  </w:footnote>
  <w:footnote w:type="continuationSeparator" w:id="0">
    <w:p w:rsidR="00407685" w:rsidRDefault="00407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995950"/>
    <w:multiLevelType w:val="hybridMultilevel"/>
    <w:tmpl w:val="16620E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1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1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2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3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9"/>
  </w:num>
  <w:num w:numId="5">
    <w:abstractNumId w:val="20"/>
  </w:num>
  <w:num w:numId="6">
    <w:abstractNumId w:val="2"/>
  </w:num>
  <w:num w:numId="7">
    <w:abstractNumId w:val="17"/>
  </w:num>
  <w:num w:numId="8">
    <w:abstractNumId w:val="10"/>
  </w:num>
  <w:num w:numId="9">
    <w:abstractNumId w:val="30"/>
  </w:num>
  <w:num w:numId="10">
    <w:abstractNumId w:val="23"/>
  </w:num>
  <w:num w:numId="11">
    <w:abstractNumId w:val="32"/>
  </w:num>
  <w:num w:numId="12">
    <w:abstractNumId w:val="22"/>
  </w:num>
  <w:num w:numId="13">
    <w:abstractNumId w:val="18"/>
  </w:num>
  <w:num w:numId="14">
    <w:abstractNumId w:val="12"/>
  </w:num>
  <w:num w:numId="15">
    <w:abstractNumId w:val="21"/>
  </w:num>
  <w:num w:numId="16">
    <w:abstractNumId w:val="8"/>
  </w:num>
  <w:num w:numId="17">
    <w:abstractNumId w:val="29"/>
  </w:num>
  <w:num w:numId="18">
    <w:abstractNumId w:val="25"/>
  </w:num>
  <w:num w:numId="19">
    <w:abstractNumId w:val="27"/>
  </w:num>
  <w:num w:numId="20">
    <w:abstractNumId w:val="19"/>
  </w:num>
  <w:num w:numId="21">
    <w:abstractNumId w:val="31"/>
  </w:num>
  <w:num w:numId="22">
    <w:abstractNumId w:val="18"/>
  </w:num>
  <w:num w:numId="23">
    <w:abstractNumId w:val="33"/>
  </w:num>
  <w:num w:numId="24">
    <w:abstractNumId w:val="18"/>
  </w:num>
  <w:num w:numId="25">
    <w:abstractNumId w:val="18"/>
  </w:num>
  <w:num w:numId="26">
    <w:abstractNumId w:val="16"/>
  </w:num>
  <w:num w:numId="27">
    <w:abstractNumId w:val="13"/>
  </w:num>
  <w:num w:numId="28">
    <w:abstractNumId w:val="14"/>
  </w:num>
  <w:num w:numId="29">
    <w:abstractNumId w:val="6"/>
  </w:num>
  <w:num w:numId="30">
    <w:abstractNumId w:val="28"/>
  </w:num>
  <w:num w:numId="31">
    <w:abstractNumId w:val="26"/>
  </w:num>
  <w:num w:numId="32">
    <w:abstractNumId w:val="28"/>
  </w:num>
  <w:num w:numId="33">
    <w:abstractNumId w:val="11"/>
  </w:num>
  <w:num w:numId="34">
    <w:abstractNumId w:val="28"/>
  </w:num>
  <w:num w:numId="35">
    <w:abstractNumId w:val="11"/>
  </w:num>
  <w:num w:numId="36">
    <w:abstractNumId w:val="28"/>
  </w:num>
  <w:num w:numId="37">
    <w:abstractNumId w:val="11"/>
  </w:num>
  <w:num w:numId="38">
    <w:abstractNumId w:val="28"/>
  </w:num>
  <w:num w:numId="39">
    <w:abstractNumId w:val="0"/>
  </w:num>
  <w:num w:numId="40">
    <w:abstractNumId w:val="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36E7F"/>
    <w:rsid w:val="00074794"/>
    <w:rsid w:val="000867F1"/>
    <w:rsid w:val="000A0568"/>
    <w:rsid w:val="000B510E"/>
    <w:rsid w:val="000C0C02"/>
    <w:rsid w:val="000F786B"/>
    <w:rsid w:val="0010547A"/>
    <w:rsid w:val="00113964"/>
    <w:rsid w:val="00123F43"/>
    <w:rsid w:val="0012656D"/>
    <w:rsid w:val="0012713D"/>
    <w:rsid w:val="00131137"/>
    <w:rsid w:val="00143A7B"/>
    <w:rsid w:val="00146933"/>
    <w:rsid w:val="0016064E"/>
    <w:rsid w:val="0016367E"/>
    <w:rsid w:val="00172F94"/>
    <w:rsid w:val="001A7F09"/>
    <w:rsid w:val="001C2CA7"/>
    <w:rsid w:val="001C38BE"/>
    <w:rsid w:val="001C3DA6"/>
    <w:rsid w:val="001C579B"/>
    <w:rsid w:val="002020CD"/>
    <w:rsid w:val="00215BED"/>
    <w:rsid w:val="0023688A"/>
    <w:rsid w:val="00263AFF"/>
    <w:rsid w:val="00275B76"/>
    <w:rsid w:val="002A53FA"/>
    <w:rsid w:val="002C25E3"/>
    <w:rsid w:val="002D29E7"/>
    <w:rsid w:val="002E17ED"/>
    <w:rsid w:val="002E4A75"/>
    <w:rsid w:val="002E677E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2ADA"/>
    <w:rsid w:val="00461BB5"/>
    <w:rsid w:val="00464D74"/>
    <w:rsid w:val="0047491C"/>
    <w:rsid w:val="00474B40"/>
    <w:rsid w:val="0048767F"/>
    <w:rsid w:val="004B6471"/>
    <w:rsid w:val="004D7D87"/>
    <w:rsid w:val="004E52D4"/>
    <w:rsid w:val="004F3ED5"/>
    <w:rsid w:val="005045C8"/>
    <w:rsid w:val="00537D0A"/>
    <w:rsid w:val="00553E52"/>
    <w:rsid w:val="005653BA"/>
    <w:rsid w:val="005958A2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D6167"/>
    <w:rsid w:val="006F3173"/>
    <w:rsid w:val="007208FB"/>
    <w:rsid w:val="007238D5"/>
    <w:rsid w:val="00761C50"/>
    <w:rsid w:val="00766415"/>
    <w:rsid w:val="00786BF5"/>
    <w:rsid w:val="00793F59"/>
    <w:rsid w:val="007B0D26"/>
    <w:rsid w:val="007D05AE"/>
    <w:rsid w:val="007D6A26"/>
    <w:rsid w:val="007E3C65"/>
    <w:rsid w:val="00834E61"/>
    <w:rsid w:val="0085014D"/>
    <w:rsid w:val="008535B7"/>
    <w:rsid w:val="00855006"/>
    <w:rsid w:val="0089144A"/>
    <w:rsid w:val="008B1D5A"/>
    <w:rsid w:val="008C470D"/>
    <w:rsid w:val="008D7279"/>
    <w:rsid w:val="008E0307"/>
    <w:rsid w:val="008E2D70"/>
    <w:rsid w:val="008F31E4"/>
    <w:rsid w:val="008F4829"/>
    <w:rsid w:val="00952BD6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B60D8F"/>
    <w:rsid w:val="00B76365"/>
    <w:rsid w:val="00BA03C5"/>
    <w:rsid w:val="00BA7759"/>
    <w:rsid w:val="00BA7B04"/>
    <w:rsid w:val="00BB5919"/>
    <w:rsid w:val="00BC164E"/>
    <w:rsid w:val="00C07BB5"/>
    <w:rsid w:val="00C24B31"/>
    <w:rsid w:val="00C253CA"/>
    <w:rsid w:val="00C40AC8"/>
    <w:rsid w:val="00C62E46"/>
    <w:rsid w:val="00C740FE"/>
    <w:rsid w:val="00C7701C"/>
    <w:rsid w:val="00C84276"/>
    <w:rsid w:val="00C8652F"/>
    <w:rsid w:val="00CA1769"/>
    <w:rsid w:val="00CA2D6B"/>
    <w:rsid w:val="00CA49C8"/>
    <w:rsid w:val="00CB77FB"/>
    <w:rsid w:val="00CC029E"/>
    <w:rsid w:val="00CD3859"/>
    <w:rsid w:val="00CE1570"/>
    <w:rsid w:val="00CE66B3"/>
    <w:rsid w:val="00CF23EB"/>
    <w:rsid w:val="00D01385"/>
    <w:rsid w:val="00D02A27"/>
    <w:rsid w:val="00D165DB"/>
    <w:rsid w:val="00D26066"/>
    <w:rsid w:val="00D63567"/>
    <w:rsid w:val="00D66C69"/>
    <w:rsid w:val="00D67A71"/>
    <w:rsid w:val="00D8670B"/>
    <w:rsid w:val="00D869E1"/>
    <w:rsid w:val="00D91416"/>
    <w:rsid w:val="00D92550"/>
    <w:rsid w:val="00DA1D2D"/>
    <w:rsid w:val="00DA49E6"/>
    <w:rsid w:val="00DC5A30"/>
    <w:rsid w:val="00DD056B"/>
    <w:rsid w:val="00DD6A8E"/>
    <w:rsid w:val="00DD73EF"/>
    <w:rsid w:val="00DF38DB"/>
    <w:rsid w:val="00E00224"/>
    <w:rsid w:val="00E16FAE"/>
    <w:rsid w:val="00E24215"/>
    <w:rsid w:val="00E43AD5"/>
    <w:rsid w:val="00E67F84"/>
    <w:rsid w:val="00E77E03"/>
    <w:rsid w:val="00E85E7C"/>
    <w:rsid w:val="00EC2F6C"/>
    <w:rsid w:val="00EC5CF1"/>
    <w:rsid w:val="00EC608C"/>
    <w:rsid w:val="00ED2912"/>
    <w:rsid w:val="00EF23BA"/>
    <w:rsid w:val="00F176F9"/>
    <w:rsid w:val="00F4358D"/>
    <w:rsid w:val="00F43D25"/>
    <w:rsid w:val="00F57C89"/>
    <w:rsid w:val="00F97B4F"/>
    <w:rsid w:val="00FA2DBC"/>
    <w:rsid w:val="00FB4E2A"/>
    <w:rsid w:val="00FB7771"/>
    <w:rsid w:val="00FC2E22"/>
    <w:rsid w:val="00FC5B15"/>
    <w:rsid w:val="00FD39E8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EC2F6C"/>
    <w:pPr>
      <w:widowControl/>
      <w:spacing w:before="0" w:after="0"/>
      <w:ind w:left="720"/>
    </w:pPr>
    <w:rPr>
      <w:rFonts w:ascii="Times New Roman" w:hAnsi="Times New Roman"/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3830</Words>
  <Characters>21832</Characters>
  <Application>Microsoft Office Word</Application>
  <DocSecurity>0</DocSecurity>
  <Lines>181</Lines>
  <Paragraphs>51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28</cp:revision>
  <cp:lastPrinted>2013-05-20T02:44:00Z</cp:lastPrinted>
  <dcterms:created xsi:type="dcterms:W3CDTF">2015-04-08T17:03:00Z</dcterms:created>
  <dcterms:modified xsi:type="dcterms:W3CDTF">2015-05-15T12:07:00Z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