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DA6C7E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A6C7E">
        <w:rPr>
          <w:noProof/>
        </w:rPr>
        <w:t>ЦЕЛЬ РАБОТЫ</w:t>
      </w:r>
      <w:r w:rsidR="00DA6C7E">
        <w:rPr>
          <w:noProof/>
        </w:rPr>
        <w:tab/>
      </w:r>
      <w:r w:rsidR="00DA6C7E">
        <w:rPr>
          <w:noProof/>
        </w:rPr>
        <w:fldChar w:fldCharType="begin"/>
      </w:r>
      <w:r w:rsidR="00DA6C7E">
        <w:rPr>
          <w:noProof/>
        </w:rPr>
        <w:instrText xml:space="preserve"> PAGEREF _Toc363331451 \h </w:instrText>
      </w:r>
      <w:r w:rsidR="00DA6C7E">
        <w:rPr>
          <w:noProof/>
        </w:rPr>
      </w:r>
      <w:r w:rsidR="00DA6C7E">
        <w:rPr>
          <w:noProof/>
        </w:rPr>
        <w:fldChar w:fldCharType="separate"/>
      </w:r>
      <w:r w:rsidR="00DA6C7E">
        <w:rPr>
          <w:noProof/>
        </w:rPr>
        <w:t>3</w:t>
      </w:r>
      <w:r w:rsidR="00DA6C7E"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475439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Блок </w:t>
      </w:r>
      <w:r w:rsidRPr="00475439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САМОСТОЯТЕЛЬНОЕ ИССЛЕДОВАНИЕ ДИНАМИКИ САР ЯР, ЗАДАННОЙ В ПЕРЕМЕННЫХ СОСТОЯНИЯ И В ФОРМЕ КОШИ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Heading1"/>
      </w:pPr>
      <w:bookmarkStart w:id="0" w:name="_Toc363331451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1" w:name="_Toc363331452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2" w:name="_Toc363331453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Heading2"/>
        <w:rPr>
          <w:i/>
        </w:rPr>
      </w:pPr>
      <w:bookmarkStart w:id="4" w:name="_Toc363331454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DB16A5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>
        <w:rPr>
          <w:lang w:val="en-US"/>
        </w:rPr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</w:t>
      </w:r>
      <w:r w:rsidR="009C14C1" w:rsidRPr="009C14C1">
        <w:t>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Default="008E5619" w:rsidP="002E59D1">
      <w:pPr>
        <w:rPr>
          <w:bCs/>
        </w:rPr>
      </w:pPr>
      <w:r>
        <w:rPr>
          <w:u w:val="single"/>
        </w:rPr>
        <w:t>Второй этап требует пояснений</w:t>
      </w:r>
      <w:r>
        <w:t xml:space="preserve">. Главная особенность структурной схемы 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380C8E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15792" cy="11044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 - макроблок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6"/>
                    <a:stretch/>
                  </pic:blipFill>
                  <pic:spPr bwMode="auto">
                    <a:xfrm>
                      <a:off x="0" y="0"/>
                      <a:ext cx="6120130" cy="11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EA3184" w:rsidRDefault="00EA3184" w:rsidP="00972755">
      <w:pPr>
        <w:ind w:firstLine="0"/>
        <w:rPr>
          <w:highlight w:val="yellow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  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D67BC1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84467" cy="427242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5" r="23495"/>
                    <a:stretch/>
                  </pic:blipFill>
                  <pic:spPr bwMode="auto">
                    <a:xfrm>
                      <a:off x="0" y="0"/>
                      <a:ext cx="3386868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5A3F15" w:rsidRDefault="00825B73" w:rsidP="006D35C0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>
        <w:rPr>
          <w:b/>
          <w:bCs/>
        </w:rPr>
        <w:t>1 1 1 1 1 1 1 1</w:t>
      </w:r>
      <w:r>
        <w:t xml:space="preserve"> (через пробел). </w:t>
      </w:r>
      <w:r w:rsidRPr="001D7209">
        <w:rPr>
          <w:highlight w:val="yellow"/>
        </w:rPr>
        <w:t>Символ # в диалоговых строках эквивалентен предлогу “</w:t>
      </w:r>
      <w:r w:rsidRPr="001D7209">
        <w:rPr>
          <w:b/>
          <w:bCs/>
          <w:highlight w:val="yellow"/>
        </w:rPr>
        <w:t>по</w:t>
      </w:r>
      <w:r w:rsidRPr="001D7209">
        <w:rPr>
          <w:highlight w:val="yellow"/>
        </w:rPr>
        <w:t xml:space="preserve">” ==&gt; </w:t>
      </w:r>
      <w:r w:rsidRPr="001D7209">
        <w:rPr>
          <w:b/>
          <w:bCs/>
          <w:highlight w:val="yellow"/>
        </w:rPr>
        <w:t>n1</w:t>
      </w:r>
      <w:r w:rsidRPr="001D7209">
        <w:rPr>
          <w:highlight w:val="yellow"/>
        </w:rPr>
        <w:t xml:space="preserve"> -элементов </w:t>
      </w:r>
      <w:r w:rsidRPr="001D7209">
        <w:rPr>
          <w:b/>
          <w:bCs/>
          <w:highlight w:val="yellow"/>
        </w:rPr>
        <w:t>по</w:t>
      </w:r>
      <w:r w:rsidRPr="001D7209">
        <w:rPr>
          <w:highlight w:val="yellow"/>
        </w:rPr>
        <w:t xml:space="preserve"> </w:t>
      </w:r>
      <w:commentRangeStart w:id="5"/>
      <w:r w:rsidRPr="001D7209">
        <w:rPr>
          <w:b/>
          <w:bCs/>
          <w:highlight w:val="yellow"/>
        </w:rPr>
        <w:t>1</w:t>
      </w:r>
      <w:commentRangeEnd w:id="5"/>
      <w:r w:rsidR="001D7209">
        <w:rPr>
          <w:rStyle w:val="CommentReference"/>
        </w:rPr>
        <w:commentReference w:id="5"/>
      </w:r>
      <w:r w:rsidRPr="001D7209">
        <w:rPr>
          <w:highlight w:val="yellow"/>
        </w:rPr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2/n1</w:t>
      </w:r>
      <w:r>
        <w:t xml:space="preserve"> = 2/8 = 0.25 c.</w:t>
      </w:r>
    </w:p>
    <w:p w:rsidR="001A787B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</w:p>
    <w:p w:rsidR="002F2E91" w:rsidRDefault="001B3D8F" w:rsidP="001B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2" r="2252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2F2E91" w:rsidRDefault="002F2E91" w:rsidP="00972755">
      <w:pPr>
        <w:ind w:firstLine="0"/>
      </w:pPr>
    </w:p>
    <w:p w:rsidR="00F35FDD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</w:p>
    <w:p w:rsidR="00F35FDD" w:rsidRDefault="00AE0C02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1" r="2621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>
        <w:t xml:space="preserve">-раз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972755">
      <w:pPr>
        <w:ind w:firstLine="0"/>
      </w:pP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 пунктирная – цепь из 8 блоков, сплошная – из 20 блоков.</w:t>
      </w:r>
    </w:p>
    <w:p w:rsidR="00AE0C02" w:rsidRDefault="001D7209" w:rsidP="001D7209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914775" cy="3705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9" r="20315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DB48B2" w:rsidRDefault="00DB48B2" w:rsidP="00972755">
      <w:pPr>
        <w:ind w:firstLine="0"/>
        <w:rPr>
          <w:highlight w:val="yellow"/>
        </w:rPr>
      </w:pP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811046" w:rsidRDefault="007573BA" w:rsidP="001D7209">
      <w:r>
        <w:t>Поскольку Вы изучили процедуры работы в режиме АНАЛИЗ, подробных инструкций не ждите.</w:t>
      </w:r>
    </w:p>
    <w:p w:rsidR="007573BA" w:rsidRDefault="00707302" w:rsidP="001D7209">
      <w:r>
        <w:t xml:space="preserve">Вы должны самостоятельно и </w:t>
      </w:r>
      <w:r>
        <w:rPr>
          <w:i/>
          <w:iCs/>
        </w:rPr>
        <w:t>правильно</w:t>
      </w:r>
      <w:r>
        <w:t xml:space="preserve"> выполнить расчет амплитудно-фазовых частотных характеристик для сопоставляемых звеньев.</w:t>
      </w:r>
    </w:p>
    <w:p w:rsidR="007573BA" w:rsidRDefault="00B06BA0" w:rsidP="001D7209">
      <w:r>
        <w:t xml:space="preserve">На рис. 1.8…рис. 1.10 (в качестве “эталона” для </w:t>
      </w:r>
      <w:r>
        <w:rPr>
          <w:u w:val="single"/>
        </w:rPr>
        <w:t>Ваших графиков</w:t>
      </w:r>
      <w:r>
        <w:t xml:space="preserve">) приведено сравнение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>
        <w:rPr>
          <w:i/>
          <w:iCs/>
        </w:rPr>
        <w:t>Идеального запаздывающего звена</w:t>
      </w:r>
      <w:r>
        <w:t>, пунктирными линиями – для цепи из 8 звеньев, и сплошной линией – для цепи из 20 блоков.</w:t>
      </w:r>
    </w:p>
    <w:p w:rsidR="00B06BA0" w:rsidRDefault="00B06BA0" w:rsidP="00B06BA0">
      <w:r>
        <w:t>Выполните оформление Ваших графиков подобно рис. 1.8…рис. 1.10.</w:t>
      </w:r>
    </w:p>
    <w:p w:rsidR="00B06BA0" w:rsidRDefault="00B06BA0" w:rsidP="00B06BA0">
      <w:pPr>
        <w:rPr>
          <w:i/>
          <w:iCs/>
        </w:rPr>
      </w:pPr>
      <w:r>
        <w:lastRenderedPageBreak/>
        <w:t xml:space="preserve"> Анализ графиков частотных характеристик показывает, что в области низких частот (менее 1.0 с</w:t>
      </w:r>
      <w:r>
        <w:rPr>
          <w:vertAlign w:val="superscript"/>
        </w:rPr>
        <w:t xml:space="preserve"> -1</w:t>
      </w:r>
      <w:r>
        <w:t xml:space="preserve">) аппроксимирующие цепи близки к </w:t>
      </w:r>
      <w:r>
        <w:rPr>
          <w:i/>
          <w:iCs/>
        </w:rPr>
        <w:t xml:space="preserve">Идеальному запаздывающему звену. </w:t>
      </w:r>
    </w:p>
    <w:p w:rsidR="00B06BA0" w:rsidRDefault="00B06BA0" w:rsidP="00B06BA0">
      <w:r>
        <w:t xml:space="preserve">При высокочастотных входных воздействиях аппроксимирующие цепи дают </w:t>
      </w:r>
      <w:r>
        <w:rPr>
          <w:u w:val="single"/>
        </w:rPr>
        <w:t>меньшее</w:t>
      </w:r>
      <w:r>
        <w:t xml:space="preserve"> значение фазового сдвига и существенно </w:t>
      </w:r>
      <w:r>
        <w:rPr>
          <w:u w:val="single"/>
        </w:rPr>
        <w:t>резкое ослабление</w:t>
      </w:r>
      <w:r>
        <w:t xml:space="preserve"> по амплитуде. </w:t>
      </w:r>
    </w:p>
    <w:p w:rsidR="00B06BA0" w:rsidRDefault="00B06BA0" w:rsidP="00B06BA0">
      <w:r>
        <w:rPr>
          <w:b/>
          <w:bCs/>
        </w:rPr>
        <w:t>Резюме</w:t>
      </w:r>
      <w: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1D7209" w:rsidRDefault="00425CFB" w:rsidP="00425CFB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623921" cy="2869324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2635588" cy="288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CFB" w:rsidRDefault="00425CFB" w:rsidP="00425CFB">
      <w:pPr>
        <w:ind w:firstLine="0"/>
        <w:jc w:val="center"/>
        <w:rPr>
          <w:b/>
        </w:rPr>
      </w:pPr>
      <w:r>
        <w:rPr>
          <w:b/>
        </w:rPr>
        <w:t>Рис. 1.8</w:t>
      </w:r>
    </w:p>
    <w:p w:rsidR="00425CFB" w:rsidRDefault="00425CFB" w:rsidP="00425CFB">
      <w:pPr>
        <w:ind w:firstLine="0"/>
        <w:jc w:val="center"/>
        <w:rPr>
          <w:highlight w:val="yellow"/>
        </w:rPr>
      </w:pPr>
    </w:p>
    <w:p w:rsidR="00425CFB" w:rsidRDefault="00257D19" w:rsidP="00257D1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924946" cy="3026979"/>
            <wp:effectExtent l="0" t="0" r="889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2930471" cy="303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527" w:rsidRDefault="00212527" w:rsidP="00212527">
      <w:pPr>
        <w:ind w:firstLine="0"/>
        <w:jc w:val="center"/>
        <w:rPr>
          <w:b/>
        </w:rPr>
      </w:pPr>
      <w:r>
        <w:rPr>
          <w:b/>
        </w:rPr>
        <w:t>Рис. 1.9</w:t>
      </w: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047CC2" w:rsidP="00047CC2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37338" cy="3216265"/>
            <wp:effectExtent l="0" t="0" r="635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138931" cy="32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0F3D3D" w:rsidRDefault="00047CC2" w:rsidP="000F3D3D">
      <w:pPr>
        <w:ind w:firstLine="0"/>
        <w:jc w:val="center"/>
        <w:rPr>
          <w:b/>
        </w:rPr>
      </w:pPr>
      <w:r>
        <w:rPr>
          <w:b/>
        </w:rPr>
        <w:t>Рис. 1.10</w:t>
      </w:r>
    </w:p>
    <w:p w:rsidR="003C5275" w:rsidRDefault="00EB7B8E" w:rsidP="008E6238">
      <w:pPr>
        <w:pStyle w:val="Heading2"/>
      </w:pPr>
      <w:bookmarkStart w:id="6" w:name="_Toc363331455"/>
      <w:r w:rsidRPr="00C2333A">
        <w:t xml:space="preserve">1.2 </w:t>
      </w:r>
      <w:r w:rsidR="005C0E73">
        <w:t>Определение устойчивости линейных систем с запаздыванием</w:t>
      </w:r>
      <w:bookmarkEnd w:id="6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САР имела вид, близкий рис. 1.12.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617FB1" w:rsidP="00617FB1">
      <w:pPr>
        <w:ind w:firstLine="0"/>
        <w:jc w:val="center"/>
        <w:rPr>
          <w:b/>
        </w:rPr>
      </w:pPr>
      <w:r>
        <w:rPr>
          <w:b/>
        </w:rPr>
        <w:t>Рис. 1.11</w:t>
      </w:r>
    </w:p>
    <w:p w:rsidR="00DB16A5" w:rsidRDefault="00DB16A5" w:rsidP="003E6F82">
      <w:r>
        <w:lastRenderedPageBreak/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8F7057">
        <w:t>рис. 1.12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95BD9" w:rsidP="00595BD9">
      <w:pPr>
        <w:ind w:firstLine="0"/>
        <w:jc w:val="center"/>
        <w:rPr>
          <w:b/>
        </w:rPr>
      </w:pPr>
      <w:r>
        <w:rPr>
          <w:b/>
        </w:rPr>
        <w:t>Рис. 1.1</w:t>
      </w:r>
      <w:r>
        <w:rPr>
          <w:b/>
        </w:rPr>
        <w:t>2</w:t>
      </w:r>
    </w:p>
    <w:p w:rsidR="00364CD8" w:rsidRDefault="00364CD8" w:rsidP="00364CD8">
      <w:pPr>
        <w:spacing w:before="0" w:after="0" w:line="360" w:lineRule="auto"/>
        <w:rPr>
          <w:szCs w:val="26"/>
        </w:rPr>
      </w:pP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EB7B8E" w:rsidP="008E6238">
      <w:pPr>
        <w:pStyle w:val="Heading2"/>
      </w:pPr>
      <w:bookmarkStart w:id="7" w:name="_Toc363331456"/>
      <w:r w:rsidRPr="00C2333A">
        <w:t xml:space="preserve">1.3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7"/>
    </w:p>
    <w:p w:rsidR="00782DEB" w:rsidRDefault="00E01546" w:rsidP="00D66781">
      <w:pPr>
        <w:rPr>
          <w:highlight w:val="yellow"/>
        </w:rPr>
      </w:pPr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>
        <w:t xml:space="preserve">. </w:t>
      </w:r>
      <w:r>
        <w:br/>
        <w:t xml:space="preserve">   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</w:p>
    <w:p w:rsidR="00E479CF" w:rsidRPr="00D81025" w:rsidRDefault="009C14C1" w:rsidP="000B2DE0">
      <w:pPr>
        <w:ind w:firstLine="0"/>
      </w:pPr>
      <w:r>
        <w:tab/>
      </w:r>
      <w:r w:rsidRPr="009C14C1">
        <w:tab/>
      </w:r>
      <w:r w:rsidRPr="009C14C1">
        <w:tab/>
      </w:r>
      <w:r w:rsidRPr="009C14C1">
        <w:tab/>
      </w:r>
      <w:r w:rsidRPr="009C14C1">
        <w:tab/>
        <w:t xml:space="preserve">      </w:t>
      </w:r>
    </w:p>
    <w:p w:rsidR="009C14C1" w:rsidRPr="00FB5978" w:rsidRDefault="00D81025" w:rsidP="00D81025">
      <w:pPr>
        <w:ind w:firstLine="0"/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/>
            <w:szCs w:val="26"/>
          </w:rPr>
          <m:t>,</m:t>
        </m:r>
      </m:oMath>
      <w:r w:rsidRPr="00D81025">
        <w:rPr>
          <w:szCs w:val="26"/>
        </w:rPr>
        <w:tab/>
      </w:r>
      <w:r w:rsidRPr="00D81025">
        <w:rPr>
          <w:szCs w:val="26"/>
        </w:rPr>
        <w:tab/>
      </w:r>
      <w:r w:rsidRPr="00D81025">
        <w:rPr>
          <w:szCs w:val="26"/>
        </w:rPr>
        <w:tab/>
      </w:r>
      <w:r w:rsidRPr="00D81025">
        <w:rPr>
          <w:szCs w:val="26"/>
        </w:rPr>
        <w:tab/>
      </w:r>
      <w:r w:rsidRPr="00D81025">
        <w:rPr>
          <w:szCs w:val="26"/>
        </w:rPr>
        <w:tab/>
      </w:r>
      <w:r w:rsidRPr="00D81025">
        <w:rPr>
          <w:szCs w:val="26"/>
        </w:rPr>
        <w:tab/>
      </w:r>
      <w:r w:rsidRPr="00D81025">
        <w:rPr>
          <w:szCs w:val="26"/>
        </w:rPr>
        <w:tab/>
        <w:t xml:space="preserve">       (1.4)</w:t>
      </w:r>
      <w:r w:rsidRPr="00D81025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</m:t>
        </m:r>
        <m:r>
          <w:rPr>
            <w:rFonts w:ascii="Cambria Math" w:hAnsi="Cambria Math"/>
            <w:szCs w:val="26"/>
          </w:rPr>
          <m:t>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  <m:r>
              <w:rPr>
                <w:rFonts w:ascii="Cambria Math" w:hAnsi="Cambria Math"/>
                <w:szCs w:val="26"/>
              </w:rPr>
              <m:t>,</m:t>
            </m:r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 xml:space="preserve">В уравнении (1.4)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пространственная (продольная) координата. </w:t>
      </w:r>
      <w:r w:rsidR="009C14C1">
        <w:br/>
        <w:t>   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</m:t>
        </m:r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</w:rPr>
          <m:t>z/L</m:t>
        </m:r>
      </m:oMath>
      <w:r w:rsidR="00FB5978" w:rsidRPr="00FB5978">
        <w:t xml:space="preserve"> </w:t>
      </w:r>
      <w:r w:rsidR="009C14C1">
        <w:t xml:space="preserve">и </w:t>
      </w:r>
      <w:r w:rsidR="009C14C1">
        <w:rPr>
          <w:u w:val="single"/>
        </w:rPr>
        <w:t>мгновенного</w:t>
      </w:r>
      <w:r w:rsidR="009C14C1"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</m:t>
        </m:r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</w:rPr>
          <m:t>L/u(t)</m:t>
        </m:r>
      </m:oMath>
      <w:r w:rsidR="009C14C1">
        <w:t xml:space="preserve"> уравнение записывается как</w:t>
      </w:r>
    </w:p>
    <w:p w:rsidR="00782DEB" w:rsidRPr="009B20EF" w:rsidRDefault="000B2DE0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  <m:r>
                  <w:rPr>
                    <w:rFonts w:ascii="Cambria Math" w:hAnsi="Cambria Math"/>
                    <w:szCs w:val="26"/>
                  </w:rPr>
                  <m:t>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  <m:r>
                  <w:rPr>
                    <w:rFonts w:ascii="Cambria Math" w:hAnsi="Cambria Math"/>
                    <w:szCs w:val="26"/>
                  </w:rPr>
                  <m:t>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</m:t>
        </m:r>
        <m:r>
          <w:rPr>
            <w:rFonts w:ascii="Cambria Math" w:hAnsi="Cambria Math"/>
            <w:szCs w:val="26"/>
          </w:rPr>
          <m:t>x</m:t>
        </m:r>
        <m:r>
          <w:rPr>
            <w:rFonts w:ascii="Cambria Math" w:hAnsi="Cambria Math"/>
            <w:szCs w:val="26"/>
          </w:rPr>
          <m:t>,t</m:t>
        </m:r>
        <m:r>
          <w:rPr>
            <w:rFonts w:ascii="Cambria Math" w:hAnsi="Cambria Math"/>
            <w:szCs w:val="26"/>
          </w:rPr>
          <m:t>)</m:t>
        </m:r>
      </m:oMath>
      <w:r w:rsidR="009B20EF" w:rsidRPr="009B20EF">
        <w:rPr>
          <w:szCs w:val="26"/>
        </w:rPr>
        <w:t xml:space="preserve">; </w:t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  <w:t xml:space="preserve">        </w:t>
      </w:r>
      <w:r w:rsidR="009B20EF">
        <w:rPr>
          <w:szCs w:val="26"/>
        </w:rPr>
        <w:t>(1.</w:t>
      </w:r>
      <w:r w:rsidR="009B20EF" w:rsidRPr="009B20EF">
        <w:rPr>
          <w:szCs w:val="26"/>
        </w:rPr>
        <w:t>5</w:t>
      </w:r>
      <w:r w:rsidR="009B20EF" w:rsidRPr="00D81025">
        <w:rPr>
          <w:szCs w:val="26"/>
        </w:rPr>
        <w:t>)</w:t>
      </w:r>
    </w:p>
    <w:p w:rsidR="00A63E3C" w:rsidRDefault="00A957DB" w:rsidP="00D66781">
      <w:pPr>
        <w:rPr>
          <w:lang w:val="en-US"/>
        </w:rPr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D66224" w:rsidP="00D66781">
      <w:pPr>
        <w:rPr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  <w:szCs w:val="26"/>
                </w:rPr>
                <m:t>θ</m:t>
              </m:r>
            </m:num>
            <m:den>
              <m:r>
                <w:rPr>
                  <w:rFonts w:ascii="Cambria Math" w:hAnsi="Cambria Math"/>
                  <w:szCs w:val="26"/>
                </w:rPr>
                <m:t>∂t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τ(t)</m:t>
              </m:r>
            </m:den>
          </m:f>
          <m:r>
            <w:rPr>
              <w:rFonts w:ascii="Cambria Math" w:hAnsi="Cambria Math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</m:t>
          </m:r>
        </m:oMath>
      </m:oMathPara>
    </w:p>
    <w:p w:rsidR="00782DEB" w:rsidRPr="00A63E3C" w:rsidRDefault="00A63E3C" w:rsidP="00D66781">
      <w:pPr>
        <w:rPr>
          <w:highlight w:val="yellow"/>
        </w:rPr>
      </w:pPr>
      <w:r>
        <w:t>дифференциальное уравнение (1.5) принимает вид:</w:t>
      </w:r>
    </w:p>
    <w:p w:rsidR="00DA6C7E" w:rsidRPr="009B20EF" w:rsidRDefault="00A63E3C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  <m:r>
                  <w:rPr>
                    <w:rFonts w:ascii="Cambria Math" w:hAnsi="Cambria Math"/>
                    <w:szCs w:val="26"/>
                  </w:rPr>
                  <m:t>,</m:t>
                </m:r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  <m:r>
                  <w:rPr>
                    <w:rFonts w:ascii="Cambria Math" w:hAnsi="Cambria Math"/>
                    <w:szCs w:val="26"/>
                  </w:rPr>
                  <m:t>,</m:t>
                </m:r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</m:t>
            </m:r>
            <m:r>
              <w:rPr>
                <w:rFonts w:ascii="Cambria Math" w:hAnsi="Cambria Math"/>
                <w:szCs w:val="26"/>
              </w:rPr>
              <m:t>x</m:t>
            </m:r>
          </m:den>
        </m:f>
        <m:r>
          <w:rPr>
            <w:rFonts w:ascii="Cambria Math" w:hAnsi="Cambria Math"/>
            <w:szCs w:val="26"/>
          </w:rPr>
          <m:t>+</m:t>
        </m:r>
        <m:r>
          <w:rPr>
            <w:rFonts w:ascii="Cambria Math" w:hAnsi="Cambria Math"/>
            <w:szCs w:val="26"/>
          </w:rPr>
          <m:t>λ</m:t>
        </m:r>
        <m:r>
          <w:rPr>
            <w:rFonts w:ascii="Cambria Math" w:hAnsi="Cambria Math"/>
            <w:szCs w:val="26"/>
          </w:rPr>
          <m:t>∙</m:t>
        </m:r>
        <m:r>
          <w:rPr>
            <w:rFonts w:ascii="Cambria Math" w:hAnsi="Cambria Math"/>
            <w:szCs w:val="26"/>
          </w:rPr>
          <m:t>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</m:t>
        </m:r>
        <m:r>
          <w:rPr>
            <w:rFonts w:ascii="Cambria Math" w:hAnsi="Cambria Math"/>
            <w:szCs w:val="26"/>
          </w:rPr>
          <m:t>.</m:t>
        </m:r>
      </m:oMath>
      <w:r w:rsidR="00DA6C7E" w:rsidRPr="00DA6C7E">
        <w:rPr>
          <w:szCs w:val="26"/>
        </w:rPr>
        <w:t xml:space="preserve"> </w:t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  <w:t xml:space="preserve">        </w:t>
      </w:r>
      <w:r w:rsidR="00DA6C7E">
        <w:rPr>
          <w:szCs w:val="26"/>
        </w:rPr>
        <w:t>(1.</w:t>
      </w:r>
      <w:r w:rsidR="00DA6C7E" w:rsidRPr="00DA6C7E">
        <w:rPr>
          <w:szCs w:val="26"/>
        </w:rPr>
        <w:t>6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4329F2">
        <w:t>уравнения 1.7</w:t>
      </w:r>
      <w:r w:rsidRPr="00DA6C7E">
        <w:t>:</w:t>
      </w:r>
    </w:p>
    <w:p w:rsidR="00DB0BE1" w:rsidRDefault="00187C28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  <w:szCs w:val="26"/>
                  </w:rPr>
                  <m:t>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</m:t>
        </m:r>
        <m:r>
          <w:rPr>
            <w:rFonts w:ascii="Cambria Math" w:hAnsi="Cambria Math"/>
            <w:szCs w:val="26"/>
          </w:rPr>
          <m:t>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</w:t>
      </w:r>
      <w:r>
        <w:t xml:space="preserve">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  <w:szCs w:val="26"/>
                  </w:rPr>
                  <m:t>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>расчете используется запоминание текущих значений</w:t>
      </w:r>
      <w:r w:rsidR="00C75C2C">
        <w:t xml:space="preserve">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</m:t>
        </m:r>
        <m: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/>
            <w:szCs w:val="26"/>
          </w:rPr>
          <m:t>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8652A7">
        <w:trPr>
          <w:trHeight w:val="601"/>
        </w:trPr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006E2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D57D1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8652A7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8652A7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853B6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853B6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853B6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853B6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8652A7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</w:tr>
      <w:tr w:rsidR="005A4228" w:rsidTr="008652A7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</w:tr>
      <w:tr w:rsidR="005A4228" w:rsidTr="008652A7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</w:tr>
      <w:tr w:rsidR="005A4228" w:rsidTr="008652A7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</w:tr>
      <w:tr w:rsidR="005A4228" w:rsidTr="008652A7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EE76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5A4228" w:rsidRPr="008652A7" w:rsidRDefault="005A4228" w:rsidP="008652A7">
            <w:pPr>
              <w:rPr>
                <w:sz w:val="20"/>
                <w:szCs w:val="20"/>
              </w:rPr>
            </w:pPr>
          </w:p>
        </w:tc>
      </w:tr>
      <w:tr w:rsidR="00E12103" w:rsidTr="008652A7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EE76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</w:tr>
      <w:tr w:rsidR="00E12103" w:rsidTr="008652A7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EE76EA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</w:tr>
      <w:tr w:rsidR="00E12103" w:rsidTr="008652A7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</w:rPr>
            </w:pPr>
          </w:p>
        </w:tc>
      </w:tr>
      <w:tr w:rsidR="008652A7" w:rsidTr="008652A7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EE76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</w:tr>
      <w:tr w:rsidR="008652A7" w:rsidTr="008652A7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  <w:bookmarkStart w:id="8" w:name="_GoBack"/>
            <w:bookmarkEnd w:id="8"/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</w:rPr>
            </w:pPr>
          </w:p>
        </w:tc>
      </w:tr>
    </w:tbl>
    <w:p w:rsidR="00782DEB" w:rsidRDefault="00782DEB" w:rsidP="00D66781">
      <w:pPr>
        <w:rPr>
          <w:highlight w:val="yellow"/>
        </w:rPr>
      </w:pPr>
    </w:p>
    <w:p w:rsidR="003C5275" w:rsidRDefault="00EB7B8E" w:rsidP="003373AA">
      <w:pPr>
        <w:pStyle w:val="Heading1"/>
      </w:pPr>
      <w:bookmarkStart w:id="9" w:name="_Toc363331457"/>
      <w:r w:rsidRPr="00C2333A">
        <w:lastRenderedPageBreak/>
        <w:t>2 САМОСТОЯТЕЛЬНОЕ ИССЛЕДОВАНИЕ ДИНАМИКИ САР Я</w:t>
      </w:r>
      <w:r w:rsidR="00D440C9">
        <w:t>Р</w:t>
      </w:r>
      <w:r w:rsidRPr="00C2333A">
        <w:t>, ЗАДАННОЙ В ПЕРЕМЕННЫХ СОСТОЯНИЯ И В ФОРМЕ КОШИ</w:t>
      </w:r>
      <w:bookmarkEnd w:id="9"/>
    </w:p>
    <w:p w:rsidR="00925009" w:rsidRPr="00591C65" w:rsidRDefault="00925009" w:rsidP="00925009">
      <w:pPr>
        <w:pStyle w:val="a0"/>
        <w:rPr>
          <w:highlight w:val="yellow"/>
        </w:rPr>
      </w:pPr>
    </w:p>
    <w:sectPr w:rsidR="00925009" w:rsidRPr="00591C65" w:rsidSect="005749A1">
      <w:foot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ONY" w:date="2013-07-31T22:49:00Z" w:initials="S">
    <w:p w:rsidR="00DB16A5" w:rsidRDefault="00DB16A5">
      <w:pPr>
        <w:pStyle w:val="CommentText"/>
      </w:pPr>
      <w:r>
        <w:rPr>
          <w:rStyle w:val="CommentReference"/>
        </w:rPr>
        <w:annotationRef/>
      </w:r>
      <w:r>
        <w:t>Такая команда в новой версии не поддерживается. Требует уточнения.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F23" w:rsidRDefault="00D34F23" w:rsidP="00EA08AC">
      <w:pPr>
        <w:spacing w:before="0" w:after="0"/>
      </w:pPr>
      <w:r>
        <w:separator/>
      </w:r>
    </w:p>
  </w:endnote>
  <w:endnote w:type="continuationSeparator" w:id="0">
    <w:p w:rsidR="00D34F23" w:rsidRDefault="00D34F23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Content>
      <w:p w:rsidR="00DB16A5" w:rsidRDefault="00DB16A5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6EA">
          <w:rPr>
            <w:noProof/>
          </w:rPr>
          <w:t>15</w:t>
        </w:r>
        <w:r>
          <w:fldChar w:fldCharType="end"/>
        </w:r>
      </w:p>
    </w:sdtContent>
  </w:sdt>
  <w:p w:rsidR="00DB16A5" w:rsidRDefault="00DB1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F23" w:rsidRDefault="00D34F23" w:rsidP="00EA08AC">
      <w:pPr>
        <w:spacing w:before="0" w:after="0"/>
      </w:pPr>
      <w:r>
        <w:separator/>
      </w:r>
    </w:p>
  </w:footnote>
  <w:footnote w:type="continuationSeparator" w:id="0">
    <w:p w:rsidR="00D34F23" w:rsidRDefault="00D34F23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35CA"/>
    <w:rsid w:val="00065CE3"/>
    <w:rsid w:val="00080606"/>
    <w:rsid w:val="00082F5E"/>
    <w:rsid w:val="00084252"/>
    <w:rsid w:val="000843EC"/>
    <w:rsid w:val="00085F72"/>
    <w:rsid w:val="00086E74"/>
    <w:rsid w:val="00090818"/>
    <w:rsid w:val="00096672"/>
    <w:rsid w:val="000A6337"/>
    <w:rsid w:val="000B2DE0"/>
    <w:rsid w:val="000B3B5D"/>
    <w:rsid w:val="000C11AA"/>
    <w:rsid w:val="000C292B"/>
    <w:rsid w:val="000E678A"/>
    <w:rsid w:val="000F241B"/>
    <w:rsid w:val="000F3024"/>
    <w:rsid w:val="000F3D3D"/>
    <w:rsid w:val="00103EC1"/>
    <w:rsid w:val="00106EF1"/>
    <w:rsid w:val="00112508"/>
    <w:rsid w:val="00116D49"/>
    <w:rsid w:val="00117276"/>
    <w:rsid w:val="00136A22"/>
    <w:rsid w:val="001412BD"/>
    <w:rsid w:val="001579F7"/>
    <w:rsid w:val="0017517E"/>
    <w:rsid w:val="00183A5F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6CE4"/>
    <w:rsid w:val="00212527"/>
    <w:rsid w:val="002127EA"/>
    <w:rsid w:val="002209B0"/>
    <w:rsid w:val="00224C75"/>
    <w:rsid w:val="002324AF"/>
    <w:rsid w:val="00257D19"/>
    <w:rsid w:val="00263EA8"/>
    <w:rsid w:val="00281D1D"/>
    <w:rsid w:val="00281F4E"/>
    <w:rsid w:val="00295127"/>
    <w:rsid w:val="00297986"/>
    <w:rsid w:val="002A18D2"/>
    <w:rsid w:val="002A4998"/>
    <w:rsid w:val="002B173C"/>
    <w:rsid w:val="002B68A1"/>
    <w:rsid w:val="002C2E1F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212FF"/>
    <w:rsid w:val="003337C9"/>
    <w:rsid w:val="003373AA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B20BE"/>
    <w:rsid w:val="003B5F1D"/>
    <w:rsid w:val="003B66B4"/>
    <w:rsid w:val="003B7231"/>
    <w:rsid w:val="003C5275"/>
    <w:rsid w:val="003D2C2D"/>
    <w:rsid w:val="003E474D"/>
    <w:rsid w:val="003E4F44"/>
    <w:rsid w:val="003E5FC1"/>
    <w:rsid w:val="003E6F82"/>
    <w:rsid w:val="003F48A9"/>
    <w:rsid w:val="003F4A60"/>
    <w:rsid w:val="003F537B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41B"/>
    <w:rsid w:val="00527619"/>
    <w:rsid w:val="00531FF2"/>
    <w:rsid w:val="005321B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1C65"/>
    <w:rsid w:val="00595BD9"/>
    <w:rsid w:val="005A3F15"/>
    <w:rsid w:val="005A4228"/>
    <w:rsid w:val="005B6563"/>
    <w:rsid w:val="005C0E73"/>
    <w:rsid w:val="005C51D3"/>
    <w:rsid w:val="005C5AFF"/>
    <w:rsid w:val="005D18A3"/>
    <w:rsid w:val="005D4CC5"/>
    <w:rsid w:val="005D4E50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7FB1"/>
    <w:rsid w:val="00621FF2"/>
    <w:rsid w:val="0062540D"/>
    <w:rsid w:val="00625EB0"/>
    <w:rsid w:val="006276A4"/>
    <w:rsid w:val="00631095"/>
    <w:rsid w:val="0063757C"/>
    <w:rsid w:val="00661630"/>
    <w:rsid w:val="00691E79"/>
    <w:rsid w:val="00695182"/>
    <w:rsid w:val="00695C03"/>
    <w:rsid w:val="006B2011"/>
    <w:rsid w:val="006B3286"/>
    <w:rsid w:val="006C2922"/>
    <w:rsid w:val="006D35C0"/>
    <w:rsid w:val="006D62B7"/>
    <w:rsid w:val="006E6A8B"/>
    <w:rsid w:val="006F5702"/>
    <w:rsid w:val="007009A3"/>
    <w:rsid w:val="00700E1D"/>
    <w:rsid w:val="00702179"/>
    <w:rsid w:val="00704E30"/>
    <w:rsid w:val="00707302"/>
    <w:rsid w:val="00722FED"/>
    <w:rsid w:val="00727E23"/>
    <w:rsid w:val="0075204B"/>
    <w:rsid w:val="007573BA"/>
    <w:rsid w:val="00757E10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B2C63"/>
    <w:rsid w:val="007B2F5A"/>
    <w:rsid w:val="007C44C6"/>
    <w:rsid w:val="007D32A8"/>
    <w:rsid w:val="007D5233"/>
    <w:rsid w:val="007D55AE"/>
    <w:rsid w:val="007E7D91"/>
    <w:rsid w:val="007F0C8B"/>
    <w:rsid w:val="00800E9C"/>
    <w:rsid w:val="00801D3A"/>
    <w:rsid w:val="00803030"/>
    <w:rsid w:val="00811046"/>
    <w:rsid w:val="00811774"/>
    <w:rsid w:val="008213B1"/>
    <w:rsid w:val="00823D55"/>
    <w:rsid w:val="00825B73"/>
    <w:rsid w:val="00826590"/>
    <w:rsid w:val="0083094B"/>
    <w:rsid w:val="008468B2"/>
    <w:rsid w:val="008525A3"/>
    <w:rsid w:val="00853B69"/>
    <w:rsid w:val="00860608"/>
    <w:rsid w:val="0086161A"/>
    <w:rsid w:val="00862634"/>
    <w:rsid w:val="008652A7"/>
    <w:rsid w:val="00865CD9"/>
    <w:rsid w:val="00866DA9"/>
    <w:rsid w:val="00871B3F"/>
    <w:rsid w:val="008822F5"/>
    <w:rsid w:val="00884104"/>
    <w:rsid w:val="008914E2"/>
    <w:rsid w:val="008A27E2"/>
    <w:rsid w:val="008A31D1"/>
    <w:rsid w:val="008A6FDC"/>
    <w:rsid w:val="008B2E39"/>
    <w:rsid w:val="008D1205"/>
    <w:rsid w:val="008D43CA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B1180"/>
    <w:rsid w:val="009B20EF"/>
    <w:rsid w:val="009C14C1"/>
    <w:rsid w:val="009C4C12"/>
    <w:rsid w:val="009C6B55"/>
    <w:rsid w:val="009D3C4D"/>
    <w:rsid w:val="009E4413"/>
    <w:rsid w:val="009F0E24"/>
    <w:rsid w:val="009F4D78"/>
    <w:rsid w:val="00A163FA"/>
    <w:rsid w:val="00A17F69"/>
    <w:rsid w:val="00A25CE3"/>
    <w:rsid w:val="00A3579C"/>
    <w:rsid w:val="00A40A90"/>
    <w:rsid w:val="00A43624"/>
    <w:rsid w:val="00A56886"/>
    <w:rsid w:val="00A57ADB"/>
    <w:rsid w:val="00A63E3C"/>
    <w:rsid w:val="00A8234A"/>
    <w:rsid w:val="00A864B7"/>
    <w:rsid w:val="00A904B0"/>
    <w:rsid w:val="00A957DB"/>
    <w:rsid w:val="00AA03A2"/>
    <w:rsid w:val="00AA6453"/>
    <w:rsid w:val="00AA7029"/>
    <w:rsid w:val="00AD355E"/>
    <w:rsid w:val="00AE0C02"/>
    <w:rsid w:val="00AE25C3"/>
    <w:rsid w:val="00AE5AE3"/>
    <w:rsid w:val="00AF0226"/>
    <w:rsid w:val="00B03E40"/>
    <w:rsid w:val="00B06BA0"/>
    <w:rsid w:val="00B41A24"/>
    <w:rsid w:val="00B43552"/>
    <w:rsid w:val="00B44F19"/>
    <w:rsid w:val="00B47EC1"/>
    <w:rsid w:val="00B55C0D"/>
    <w:rsid w:val="00B56A0F"/>
    <w:rsid w:val="00B61CED"/>
    <w:rsid w:val="00B672B4"/>
    <w:rsid w:val="00B74489"/>
    <w:rsid w:val="00B76403"/>
    <w:rsid w:val="00B905F9"/>
    <w:rsid w:val="00B90892"/>
    <w:rsid w:val="00B9361A"/>
    <w:rsid w:val="00BA2A14"/>
    <w:rsid w:val="00BA2B8D"/>
    <w:rsid w:val="00BA737A"/>
    <w:rsid w:val="00BC3419"/>
    <w:rsid w:val="00BD3ECE"/>
    <w:rsid w:val="00BE2054"/>
    <w:rsid w:val="00BF2805"/>
    <w:rsid w:val="00C0069A"/>
    <w:rsid w:val="00C03A11"/>
    <w:rsid w:val="00C139D0"/>
    <w:rsid w:val="00C22CDA"/>
    <w:rsid w:val="00C22DEE"/>
    <w:rsid w:val="00C32EF5"/>
    <w:rsid w:val="00C42D07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819C7"/>
    <w:rsid w:val="00C85D64"/>
    <w:rsid w:val="00C9158F"/>
    <w:rsid w:val="00C976AB"/>
    <w:rsid w:val="00CA0745"/>
    <w:rsid w:val="00CB1DC9"/>
    <w:rsid w:val="00CB72D3"/>
    <w:rsid w:val="00CC18DC"/>
    <w:rsid w:val="00CD1EAE"/>
    <w:rsid w:val="00CD293D"/>
    <w:rsid w:val="00CE495D"/>
    <w:rsid w:val="00CE649B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61F7"/>
    <w:rsid w:val="00D40F34"/>
    <w:rsid w:val="00D41DB7"/>
    <w:rsid w:val="00D440C9"/>
    <w:rsid w:val="00D57D12"/>
    <w:rsid w:val="00D63373"/>
    <w:rsid w:val="00D66224"/>
    <w:rsid w:val="00D66781"/>
    <w:rsid w:val="00D67061"/>
    <w:rsid w:val="00D67BC1"/>
    <w:rsid w:val="00D703BF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6FCC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3956"/>
    <w:rsid w:val="00E339C0"/>
    <w:rsid w:val="00E36C48"/>
    <w:rsid w:val="00E4412B"/>
    <w:rsid w:val="00E479CF"/>
    <w:rsid w:val="00E53E19"/>
    <w:rsid w:val="00E65C16"/>
    <w:rsid w:val="00E66AF5"/>
    <w:rsid w:val="00E71137"/>
    <w:rsid w:val="00E75928"/>
    <w:rsid w:val="00E75A95"/>
    <w:rsid w:val="00E83E37"/>
    <w:rsid w:val="00E85DC7"/>
    <w:rsid w:val="00E90EE6"/>
    <w:rsid w:val="00E94A92"/>
    <w:rsid w:val="00E95B1C"/>
    <w:rsid w:val="00EA08AC"/>
    <w:rsid w:val="00EA2E6C"/>
    <w:rsid w:val="00EA3184"/>
    <w:rsid w:val="00EA515B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4E3E"/>
    <w:rsid w:val="00EE5773"/>
    <w:rsid w:val="00EE76EA"/>
    <w:rsid w:val="00EF3F43"/>
    <w:rsid w:val="00F02B41"/>
    <w:rsid w:val="00F03463"/>
    <w:rsid w:val="00F0537E"/>
    <w:rsid w:val="00F15A59"/>
    <w:rsid w:val="00F35FDD"/>
    <w:rsid w:val="00F4087B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5"/>
    <w:rsid w:val="001322CE"/>
    <w:rsid w:val="003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7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7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B3B4A-4EB4-48C0-9349-DB79A080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17</Pages>
  <Words>2428</Words>
  <Characters>13844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16240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111</cp:revision>
  <dcterms:created xsi:type="dcterms:W3CDTF">2013-07-27T14:50:00Z</dcterms:created>
  <dcterms:modified xsi:type="dcterms:W3CDTF">2013-08-03T18:59:00Z</dcterms:modified>
</cp:coreProperties>
</file>