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D1070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D1070E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D1070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D1070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D1070E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D1070E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D1070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D1070E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D1070E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D1070E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D1070E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D1070E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D1070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D1070E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D1070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1070E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8A0876" w:rsidRPr="008A0876">
        <w:rPr>
          <w:b/>
          <w:bCs/>
          <w:i/>
        </w:rPr>
        <w:t>Пуск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D1070E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D1070E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</w:t>
      </w:r>
      <w:r w:rsidR="003451D5">
        <w:t>блоков</w:t>
      </w:r>
      <w:r>
        <w:t xml:space="preserve">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>
        <w:t>(</w:t>
      </w:r>
      <w:bookmarkStart w:id="24" w:name="_GoBack"/>
      <w:bookmarkEnd w:id="24"/>
      <w:r>
        <w:t xml:space="preserve">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1070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1070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D1070E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70E" w:rsidRDefault="00D1070E">
      <w:r>
        <w:separator/>
      </w:r>
    </w:p>
  </w:endnote>
  <w:endnote w:type="continuationSeparator" w:id="0">
    <w:p w:rsidR="00D1070E" w:rsidRDefault="00D1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70E" w:rsidRDefault="00D1070E">
      <w:r>
        <w:rPr>
          <w:color w:val="000000"/>
        </w:rPr>
        <w:separator/>
      </w:r>
    </w:p>
  </w:footnote>
  <w:footnote w:type="continuationSeparator" w:id="0">
    <w:p w:rsidR="00D1070E" w:rsidRDefault="00D1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481E-AF43-4242-B5B4-841F8AD3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6129</Words>
  <Characters>34940</Characters>
  <Application>Microsoft Office Word</Application>
  <DocSecurity>0</DocSecurity>
  <Lines>291</Lines>
  <Paragraphs>81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77</cp:revision>
  <cp:lastPrinted>2013-05-20T02:44:00Z</cp:lastPrinted>
  <dcterms:created xsi:type="dcterms:W3CDTF">2015-04-29T11:19:00Z</dcterms:created>
  <dcterms:modified xsi:type="dcterms:W3CDTF">2015-05-24T23:33:00Z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