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ДИСЦИПЛИНА: УПРАВЛЕНИЕ В ТЕХНИЧЕСКИХ СИСТЕМАХ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Козлов Олег Степанович,</w:t>
      </w:r>
    </w:p>
    <w:p w:rsidR="004B6471" w:rsidRPr="00DD73EF" w:rsidRDefault="0048767F">
      <w:pPr>
        <w:pStyle w:val="a5"/>
        <w:jc w:val="right"/>
        <w:rPr>
          <w:rFonts w:ascii="Cambria" w:hAnsi="Cambria"/>
          <w:bCs/>
          <w:i/>
          <w:sz w:val="28"/>
          <w:szCs w:val="28"/>
        </w:rPr>
      </w:pPr>
      <w:r w:rsidRPr="00DD73EF">
        <w:rPr>
          <w:rFonts w:ascii="Cambria" w:hAnsi="Cambria"/>
          <w:bCs/>
          <w:i/>
          <w:sz w:val="28"/>
          <w:szCs w:val="28"/>
        </w:rPr>
        <w:t>Щекатуров Александр Михайлович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ind w:firstLine="0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ЛАБОРАТОРНАЯ РАБОТА № 6</w:t>
      </w:r>
    </w:p>
    <w:p w:rsidR="000B689C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РЕАЛИЗАЦИЯ ТОЧНЫХ МЕТОДОВ АНАЛИЗА УСТОЙЧИВОСТИ НЕЛИНЕЙНЫХ</w:t>
      </w:r>
    </w:p>
    <w:p w:rsidR="000B689C" w:rsidRPr="00F1164D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ДИНАМИЧЕСКИХ СИСТЕМ В СРЕДЕ </w:t>
      </w:r>
      <w:r>
        <w:rPr>
          <w:rFonts w:ascii="Cambria" w:hAnsi="Cambria"/>
          <w:b/>
          <w:bCs/>
          <w:sz w:val="28"/>
          <w:szCs w:val="28"/>
          <w:lang w:val="en-US"/>
        </w:rPr>
        <w:t>SIMINTECH</w:t>
      </w:r>
    </w:p>
    <w:p w:rsidR="004B6471" w:rsidRPr="00DD73EF" w:rsidRDefault="000B689C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 </w:t>
      </w: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B6471">
      <w:pPr>
        <w:pStyle w:val="a5"/>
        <w:jc w:val="center"/>
        <w:rPr>
          <w:rFonts w:ascii="Cambria" w:hAnsi="Cambria"/>
          <w:b/>
          <w:bCs/>
          <w:sz w:val="28"/>
          <w:szCs w:val="28"/>
        </w:rPr>
      </w:pPr>
    </w:p>
    <w:p w:rsidR="004B6471" w:rsidRPr="00DD73EF" w:rsidRDefault="0048767F">
      <w:pPr>
        <w:pStyle w:val="a5"/>
        <w:jc w:val="center"/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b/>
          <w:bCs/>
          <w:sz w:val="28"/>
          <w:szCs w:val="28"/>
        </w:rPr>
        <w:t>Москва, 201</w:t>
      </w:r>
      <w:bookmarkStart w:id="0" w:name="content"/>
      <w:bookmarkEnd w:id="0"/>
      <w:r w:rsidRPr="00DD73EF">
        <w:rPr>
          <w:rFonts w:ascii="Cambria" w:hAnsi="Cambria"/>
          <w:b/>
          <w:bCs/>
          <w:sz w:val="28"/>
          <w:szCs w:val="28"/>
        </w:rPr>
        <w:t>5</w:t>
      </w:r>
    </w:p>
    <w:p w:rsidR="004B6471" w:rsidRPr="00DD73EF" w:rsidRDefault="0048767F">
      <w:pPr>
        <w:pStyle w:val="Standard"/>
        <w:pageBreakBefore/>
        <w:rPr>
          <w:rFonts w:ascii="Cambria" w:hAnsi="Cambria"/>
          <w:b/>
          <w:sz w:val="28"/>
          <w:szCs w:val="28"/>
        </w:rPr>
      </w:pPr>
      <w:r w:rsidRPr="00DD73EF">
        <w:rPr>
          <w:rFonts w:ascii="Cambria" w:hAnsi="Cambria"/>
          <w:b/>
          <w:sz w:val="28"/>
          <w:szCs w:val="28"/>
        </w:rPr>
        <w:lastRenderedPageBreak/>
        <w:t>СОДЕРЖАНИЕ</w:t>
      </w:r>
    </w:p>
    <w:p w:rsidR="004B6471" w:rsidRPr="00DD73EF" w:rsidRDefault="004B6471">
      <w:pPr>
        <w:pStyle w:val="Standard"/>
        <w:rPr>
          <w:rFonts w:ascii="Cambria" w:hAnsi="Cambria"/>
          <w:b/>
          <w:sz w:val="28"/>
          <w:szCs w:val="28"/>
        </w:rPr>
      </w:pPr>
    </w:p>
    <w:p w:rsidR="001423CA" w:rsidRDefault="0048767F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TOC \o "1-3" </w:instrText>
      </w:r>
      <w:r w:rsidRPr="00DD73EF">
        <w:rPr>
          <w:szCs w:val="28"/>
        </w:rPr>
        <w:fldChar w:fldCharType="separate"/>
      </w:r>
      <w:r w:rsidR="001423CA">
        <w:rPr>
          <w:noProof/>
        </w:rPr>
        <w:t>ВВЕДЕНИЕ</w:t>
      </w:r>
      <w:r w:rsidR="001423CA">
        <w:rPr>
          <w:noProof/>
        </w:rPr>
        <w:tab/>
      </w:r>
      <w:r w:rsidR="001423CA">
        <w:rPr>
          <w:noProof/>
        </w:rPr>
        <w:fldChar w:fldCharType="begin"/>
      </w:r>
      <w:r w:rsidR="001423CA">
        <w:rPr>
          <w:noProof/>
        </w:rPr>
        <w:instrText xml:space="preserve"> PAGEREF _Toc417534711 \h </w:instrText>
      </w:r>
      <w:r w:rsidR="001423CA">
        <w:rPr>
          <w:noProof/>
        </w:rPr>
      </w:r>
      <w:r w:rsidR="001423CA">
        <w:rPr>
          <w:noProof/>
        </w:rPr>
        <w:fldChar w:fldCharType="separate"/>
      </w:r>
      <w:r w:rsidR="001423CA">
        <w:rPr>
          <w:noProof/>
        </w:rPr>
        <w:t>3</w:t>
      </w:r>
      <w:r w:rsidR="001423CA">
        <w:rPr>
          <w:noProof/>
        </w:rPr>
        <w:fldChar w:fldCharType="end"/>
      </w:r>
    </w:p>
    <w:p w:rsidR="001423CA" w:rsidRDefault="001423CA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423CA" w:rsidRDefault="001423CA">
      <w:pPr>
        <w:pStyle w:val="1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 КРИТЕРИЙ В.М. ПОПОВА ДЛЯ АНАЛИЗА УСТОЙЧИВОСТИ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2.1 О критерии абсолютной устойчивости В.М. Попова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  <w:shd w:val="clear" w:color="auto" w:fill="FFFFFF"/>
        </w:rPr>
        <w:t>2.2 Преобразование линейной САР в нелинейную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2.3 Формулировка заданий к анализу устойчивости нелинейной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2.4 А можно ли использовать критерий В.М. Попова?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2.5 Анализ устойчивости с использованием критерия В.М. Попова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2.6 Новая коррекция САР и определение типа устойчивости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2.7 Анализ устойчивости скорректированной нелинейной САР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23CA" w:rsidRDefault="001423CA">
      <w:pPr>
        <w:pStyle w:val="20"/>
        <w:tabs>
          <w:tab w:val="right" w:leader="dot" w:pos="1529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E0583C">
        <w:rPr>
          <w:noProof/>
        </w:rPr>
        <w:t>2.8 Расчет переходных процессов при подаче управляющего воздействия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_Toc417534721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C1836" w:rsidRDefault="0048767F" w:rsidP="008F31E4">
      <w:pPr>
        <w:pStyle w:val="Standard"/>
        <w:tabs>
          <w:tab w:val="right" w:leader="dot" w:pos="10065"/>
        </w:tabs>
        <w:rPr>
          <w:rFonts w:ascii="Cambria" w:hAnsi="Cambria"/>
          <w:sz w:val="28"/>
          <w:szCs w:val="28"/>
        </w:rPr>
      </w:pPr>
      <w:r w:rsidRPr="00DD73EF">
        <w:rPr>
          <w:rFonts w:ascii="Cambria" w:hAnsi="Cambria"/>
          <w:sz w:val="28"/>
          <w:szCs w:val="28"/>
        </w:rPr>
        <w:fldChar w:fldCharType="end"/>
      </w:r>
    </w:p>
    <w:p w:rsidR="00CC1836" w:rsidRDefault="00CC1836" w:rsidP="00CC1836"/>
    <w:p w:rsidR="004B6471" w:rsidRPr="00CC1836" w:rsidRDefault="004B6471" w:rsidP="00CC1836">
      <w:pPr>
        <w:jc w:val="center"/>
      </w:pPr>
    </w:p>
    <w:p w:rsidR="004B6471" w:rsidRPr="00DD73EF" w:rsidRDefault="0048767F">
      <w:pPr>
        <w:pStyle w:val="1"/>
        <w:rPr>
          <w:sz w:val="28"/>
          <w:szCs w:val="28"/>
        </w:rPr>
      </w:pPr>
      <w:bookmarkStart w:id="1" w:name="intro"/>
      <w:bookmarkStart w:id="2" w:name="_Toc360285165"/>
      <w:bookmarkStart w:id="3" w:name="_Toc417534711"/>
      <w:bookmarkEnd w:id="1"/>
      <w:r w:rsidRPr="00DD73EF">
        <w:rPr>
          <w:sz w:val="28"/>
          <w:szCs w:val="28"/>
        </w:rPr>
        <w:t>ВВЕДЕНИЕ</w:t>
      </w:r>
      <w:bookmarkEnd w:id="2"/>
      <w:bookmarkEnd w:id="3"/>
    </w:p>
    <w:p w:rsidR="000B689C" w:rsidRDefault="000B689C">
      <w:pPr>
        <w:pStyle w:val="Textbody"/>
      </w:pPr>
      <w:r>
        <w:t xml:space="preserve">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 w:rsidR="00A1599F">
        <w:t xml:space="preserve"> уравнений динамики.</w:t>
      </w:r>
    </w:p>
    <w:p w:rsidR="000B689C" w:rsidRDefault="000B689C">
      <w:pPr>
        <w:pStyle w:val="Textbody"/>
      </w:pPr>
      <w:r>
        <w:t xml:space="preserve">Кроме того, при моделировании и анализе динамических систем в среде </w:t>
      </w:r>
      <w:r>
        <w:rPr>
          <w:lang w:val="en-US"/>
        </w:rPr>
        <w:t>SimInTech</w:t>
      </w:r>
      <w:r>
        <w:t xml:space="preserve"> используется ряд процедур и приемо</w:t>
      </w:r>
      <w:r w:rsidR="00A1599F">
        <w:t>в, которые пока Вам не известны.</w:t>
      </w:r>
    </w:p>
    <w:p w:rsidR="000B689C" w:rsidRPr="000B689C" w:rsidRDefault="000B689C">
      <w:pPr>
        <w:pStyle w:val="Textbody"/>
      </w:pPr>
      <w:r>
        <w:t xml:space="preserve">Поэтому лабораторный практикум настоящего семестра направлен, во-первых, на изучение методов моделирования и анализа нелинейных динамических систем и, во-вторых, на освоение Вами новых процедур работы в среде </w:t>
      </w:r>
      <w:r>
        <w:rPr>
          <w:lang w:val="en-US"/>
        </w:rPr>
        <w:t>SimInTech</w:t>
      </w:r>
      <w:r w:rsidRPr="000B689C">
        <w:t>.</w:t>
      </w:r>
    </w:p>
    <w:p w:rsidR="000B689C" w:rsidRDefault="000B689C">
      <w:pPr>
        <w:pStyle w:val="Textbody"/>
      </w:pPr>
      <w:r>
        <w:t xml:space="preserve">Основной целью настоящей лабораторной работы является исследование </w:t>
      </w:r>
      <w:r>
        <w:rPr>
          <w:i/>
          <w:iCs/>
        </w:rPr>
        <w:t>нелинейных</w:t>
      </w:r>
      <w:r>
        <w:t xml:space="preserve"> САР с использованием известных </w:t>
      </w:r>
      <w:r>
        <w:rPr>
          <w:u w:val="single"/>
        </w:rPr>
        <w:t>точных</w:t>
      </w:r>
      <w:r>
        <w:t xml:space="preserve"> методов анализа устойчивости. </w:t>
      </w:r>
    </w:p>
    <w:p w:rsidR="000B689C" w:rsidRDefault="000B689C">
      <w:pPr>
        <w:pStyle w:val="Textbody"/>
      </w:pPr>
      <w:r>
        <w:t xml:space="preserve">В предыдущей лабораторной работе Вы ознакомились с упрощенной реализацией метода фазовых траекторий в среде </w:t>
      </w:r>
      <w:r>
        <w:rPr>
          <w:lang w:val="en-US"/>
        </w:rPr>
        <w:t>SimInTech</w:t>
      </w:r>
      <w:r>
        <w:t xml:space="preserve">, заключающейся в том, что закономерности собственного движения </w:t>
      </w:r>
      <w:r>
        <w:rPr>
          <w:u w:val="single"/>
        </w:rPr>
        <w:t>автономной нелинейной</w:t>
      </w:r>
      <w:r>
        <w:t xml:space="preserve"> динамической системы на фазовой плоскости исследуется на основании </w:t>
      </w:r>
      <w:r>
        <w:rPr>
          <w:u w:val="single"/>
        </w:rPr>
        <w:t>последовательных</w:t>
      </w:r>
      <w:r>
        <w:t xml:space="preserve"> расчетов переходных процессов при варьировании</w:t>
      </w:r>
      <w:r w:rsidR="00A1599F">
        <w:t xml:space="preserve"> начальных условий.</w:t>
      </w:r>
    </w:p>
    <w:p w:rsidR="000B689C" w:rsidRDefault="000B689C">
      <w:pPr>
        <w:pStyle w:val="Textbody"/>
      </w:pPr>
      <w:r>
        <w:t xml:space="preserve">Программно-технические возможности среды </w:t>
      </w:r>
      <w:r>
        <w:rPr>
          <w:lang w:val="en-US"/>
        </w:rPr>
        <w:t>SimInTech</w:t>
      </w:r>
      <w:r>
        <w:t xml:space="preserve"> позволяют реализовать </w:t>
      </w:r>
      <w:r>
        <w:rPr>
          <w:u w:val="single"/>
        </w:rPr>
        <w:t>одновременный</w:t>
      </w:r>
      <w:r>
        <w:t xml:space="preserve"> расчет переходных процессов при </w:t>
      </w:r>
      <w:r>
        <w:rPr>
          <w:u w:val="single"/>
        </w:rPr>
        <w:t>различных</w:t>
      </w:r>
      <w: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>
        <w:rPr>
          <w:i/>
          <w:iCs/>
        </w:rPr>
        <w:t>векторизованным методом фазовых траекторий</w:t>
      </w:r>
      <w:r>
        <w:t xml:space="preserve">. </w:t>
      </w:r>
      <w:r>
        <w:br/>
        <w:t xml:space="preserve">  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</w:t>
      </w:r>
      <w:r>
        <w:rPr>
          <w:lang w:val="en-US"/>
        </w:rPr>
        <w:t>SimInTech</w:t>
      </w:r>
      <w:r w:rsidR="00A1599F">
        <w:t xml:space="preserve"> для анализа нелинейных САР.</w:t>
      </w:r>
    </w:p>
    <w:p w:rsidR="000B689C" w:rsidRPr="000B689C" w:rsidRDefault="000B689C">
      <w:pPr>
        <w:pStyle w:val="Textbody"/>
      </w:pPr>
      <w:r>
        <w:t xml:space="preserve">Для </w:t>
      </w:r>
      <w:r>
        <w:rPr>
          <w:u w:val="single"/>
        </w:rPr>
        <w:t>самостоятельного</w:t>
      </w:r>
      <w:r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>
        <w:rPr>
          <w:u w:val="single"/>
        </w:rPr>
        <w:t>релейны</w:t>
      </w:r>
      <w:r>
        <w:t xml:space="preserve">м регулятором и с </w:t>
      </w:r>
      <w:r>
        <w:rPr>
          <w:u w:val="single"/>
        </w:rPr>
        <w:t>более точной</w:t>
      </w:r>
      <w:r>
        <w:t xml:space="preserve"> моделью кинетики нейтронов</w:t>
      </w:r>
      <w:r w:rsidRPr="000B689C">
        <w:t>.</w:t>
      </w:r>
    </w:p>
    <w:p w:rsidR="000B689C" w:rsidRDefault="000B689C">
      <w:pPr>
        <w:pStyle w:val="Textbody"/>
      </w:pPr>
      <w:r>
        <w:t>Перейдем к выполнению задани</w:t>
      </w:r>
      <w:r w:rsidR="00A1599F">
        <w:t>й настоящей лабораторной работы.</w:t>
      </w:r>
    </w:p>
    <w:p w:rsidR="000B689C" w:rsidRDefault="000B689C">
      <w:pPr>
        <w:pStyle w:val="Textbody"/>
      </w:pPr>
    </w:p>
    <w:p w:rsidR="004B6471" w:rsidRPr="00DD73EF" w:rsidRDefault="0048767F">
      <w:pPr>
        <w:pStyle w:val="1"/>
        <w:tabs>
          <w:tab w:val="left" w:pos="806"/>
        </w:tabs>
        <w:ind w:firstLine="750"/>
        <w:rPr>
          <w:sz w:val="28"/>
          <w:szCs w:val="28"/>
        </w:rPr>
      </w:pPr>
      <w:bookmarkStart w:id="4" w:name="_Toc360285166"/>
      <w:bookmarkStart w:id="5" w:name="_Toc417534712"/>
      <w:r w:rsidRPr="00DD73EF">
        <w:rPr>
          <w:sz w:val="28"/>
          <w:szCs w:val="28"/>
        </w:rPr>
        <w:t>ЦЕЛЬ РАБОТЫ</w:t>
      </w:r>
      <w:bookmarkEnd w:id="4"/>
      <w:bookmarkEnd w:id="5"/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8"/>
        </w:rPr>
      </w:pPr>
      <w:r w:rsidRPr="00CA39CD">
        <w:rPr>
          <w:rFonts w:ascii="Cambria" w:hAnsi="Cambria"/>
          <w:sz w:val="28"/>
          <w:szCs w:val="28"/>
        </w:rPr>
        <w:t xml:space="preserve">освоение способов реализации </w:t>
      </w:r>
      <w:r w:rsidRPr="00A1599F">
        <w:rPr>
          <w:rFonts w:ascii="Cambria" w:hAnsi="Cambria"/>
          <w:sz w:val="28"/>
          <w:szCs w:val="28"/>
          <w:u w:val="single"/>
        </w:rPr>
        <w:t>векторизованного</w:t>
      </w:r>
      <w:r>
        <w:rPr>
          <w:rFonts w:ascii="Cambria" w:hAnsi="Cambria"/>
          <w:sz w:val="28"/>
          <w:szCs w:val="28"/>
        </w:rPr>
        <w:t xml:space="preserve"> метода фазовых траекторий</w:t>
      </w:r>
      <w:r w:rsidRPr="00CA39CD">
        <w:rPr>
          <w:rFonts w:ascii="Cambria" w:hAnsi="Cambria"/>
          <w:sz w:val="28"/>
          <w:szCs w:val="28"/>
        </w:rPr>
        <w:t>;</w:t>
      </w:r>
    </w:p>
    <w:p w:rsidR="00CA39CD" w:rsidRPr="00CA39CD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8"/>
        </w:rPr>
      </w:pPr>
      <w:r w:rsidRPr="00CA39CD">
        <w:rPr>
          <w:rFonts w:ascii="Cambria" w:hAnsi="Cambria"/>
          <w:sz w:val="28"/>
          <w:szCs w:val="28"/>
        </w:rPr>
        <w:t>изучение критерия В.М. Попова для анализа абсолютной устойчивости</w:t>
      </w:r>
      <w:r>
        <w:rPr>
          <w:rFonts w:ascii="Cambria" w:hAnsi="Cambria"/>
          <w:sz w:val="28"/>
          <w:szCs w:val="28"/>
        </w:rPr>
        <w:t xml:space="preserve"> нелинейных динамических систем.</w:t>
      </w:r>
    </w:p>
    <w:p w:rsidR="00CA39CD" w:rsidRPr="005E5058" w:rsidRDefault="00CA39CD" w:rsidP="00CA39CD">
      <w:pPr>
        <w:pStyle w:val="Standard"/>
        <w:ind w:left="694" w:firstLine="0"/>
        <w:rPr>
          <w:rFonts w:ascii="Cambria" w:hAnsi="Cambria"/>
          <w:sz w:val="28"/>
          <w:szCs w:val="28"/>
        </w:rPr>
      </w:pPr>
    </w:p>
    <w:p w:rsidR="004B6471" w:rsidRPr="00D968D3" w:rsidRDefault="00D968D3" w:rsidP="00DD73EF">
      <w:pPr>
        <w:pStyle w:val="1"/>
        <w:rPr>
          <w:sz w:val="28"/>
          <w:szCs w:val="28"/>
        </w:rPr>
      </w:pPr>
      <w:bookmarkStart w:id="6" w:name="main1"/>
      <w:bookmarkStart w:id="7" w:name="_Toc360285167"/>
      <w:bookmarkStart w:id="8" w:name="_Toc417534713"/>
      <w:bookmarkEnd w:id="6"/>
      <w:r>
        <w:rPr>
          <w:sz w:val="28"/>
          <w:szCs w:val="28"/>
        </w:rPr>
        <w:t>2</w:t>
      </w:r>
      <w:r w:rsidR="00DD73EF" w:rsidRPr="00DD73EF">
        <w:rPr>
          <w:sz w:val="28"/>
          <w:szCs w:val="28"/>
        </w:rPr>
        <w:t xml:space="preserve"> </w:t>
      </w:r>
      <w:bookmarkEnd w:id="7"/>
      <w:r>
        <w:rPr>
          <w:sz w:val="28"/>
          <w:szCs w:val="28"/>
        </w:rPr>
        <w:t>КРИТЕРИЙ В.М. ПОПОВА ДЛЯ АНАЛИЗА УСТОЙЧИВОСТИ САР</w:t>
      </w:r>
      <w:bookmarkEnd w:id="8"/>
    </w:p>
    <w:p w:rsidR="004B6471" w:rsidRDefault="00D968D3">
      <w:pPr>
        <w:pStyle w:val="2"/>
        <w:rPr>
          <w:rFonts w:ascii="Cambria" w:hAnsi="Cambria"/>
        </w:rPr>
      </w:pPr>
      <w:bookmarkStart w:id="9" w:name="prop11"/>
      <w:bookmarkStart w:id="10" w:name="_Toc360285168"/>
      <w:bookmarkStart w:id="11" w:name="_Toc417534714"/>
      <w:bookmarkEnd w:id="9"/>
      <w:r>
        <w:rPr>
          <w:rFonts w:ascii="Cambria" w:hAnsi="Cambria"/>
        </w:rPr>
        <w:t>2</w:t>
      </w:r>
      <w:r w:rsidR="0048767F" w:rsidRPr="00E04271">
        <w:rPr>
          <w:rFonts w:ascii="Cambria" w:hAnsi="Cambria"/>
        </w:rPr>
        <w:t xml:space="preserve">.1 </w:t>
      </w:r>
      <w:bookmarkEnd w:id="10"/>
      <w:r w:rsidR="00E04271" w:rsidRPr="00E04271">
        <w:rPr>
          <w:rFonts w:ascii="Cambria" w:hAnsi="Cambria"/>
        </w:rPr>
        <w:t>О</w:t>
      </w:r>
      <w:r>
        <w:rPr>
          <w:rFonts w:ascii="Cambria" w:hAnsi="Cambria"/>
        </w:rPr>
        <w:t xml:space="preserve"> критерии абсолютной устойчивости В.М. Попова</w:t>
      </w:r>
      <w:bookmarkEnd w:id="11"/>
    </w:p>
    <w:p w:rsidR="00D968D3" w:rsidRDefault="00D968D3" w:rsidP="00D968D3">
      <w:pPr>
        <w:pStyle w:val="Textbody"/>
        <w:rPr>
          <w:b/>
          <w:bCs/>
          <w:i/>
          <w:iCs/>
        </w:rPr>
      </w:pPr>
      <w:r>
        <w:t xml:space="preserve">Одним из </w:t>
      </w:r>
      <w:r>
        <w:rPr>
          <w:b/>
          <w:bCs/>
          <w:i/>
          <w:iCs/>
        </w:rPr>
        <w:t>точных</w:t>
      </w:r>
      <w:r>
        <w:t xml:space="preserve"> методов (критериев) анализа устойчивости </w:t>
      </w:r>
      <w:r>
        <w:rPr>
          <w:b/>
          <w:bCs/>
          <w:i/>
          <w:iCs/>
        </w:rPr>
        <w:t>нелинейных</w:t>
      </w:r>
      <w:r>
        <w:t xml:space="preserve"> САР, не утративших свою актуальность и в настоящее время, является </w:t>
      </w:r>
      <w:r>
        <w:rPr>
          <w:b/>
          <w:bCs/>
          <w:i/>
          <w:iCs/>
        </w:rPr>
        <w:t>критерий абсолютной устойчивости В.М. Попова.</w:t>
      </w:r>
    </w:p>
    <w:p w:rsidR="00D968D3" w:rsidRPr="00D968D3" w:rsidRDefault="00D968D3" w:rsidP="00D968D3">
      <w:pPr>
        <w:pStyle w:val="Textbody"/>
        <w:rPr>
          <w:highlight w:val="yellow"/>
        </w:rPr>
      </w:pPr>
      <w:r>
        <w:t>Напомним основные положения критерия абсолютной устойчивости В.М. Попова.</w:t>
      </w:r>
    </w:p>
    <w:p w:rsidR="00D968D3" w:rsidRDefault="00D968D3">
      <w:pPr>
        <w:pStyle w:val="Textbody"/>
        <w:rPr>
          <w:iCs/>
          <w:highlight w:val="yellow"/>
        </w:rPr>
      </w:pPr>
      <w:r>
        <w:t xml:space="preserve">В этом критерии нелинейная САР условно разделена на </w:t>
      </w:r>
      <w:r>
        <w:rPr>
          <w:i/>
          <w:iCs/>
        </w:rPr>
        <w:t>чисто линейную</w:t>
      </w:r>
      <w:r>
        <w:t xml:space="preserve"> часть, обычно расположенную в прямой цепи, и </w:t>
      </w:r>
      <w:r>
        <w:rPr>
          <w:i/>
          <w:iCs/>
        </w:rPr>
        <w:t>чисто нелинейную</w:t>
      </w:r>
      <w:r>
        <w:t xml:space="preserve"> часть, обычно расположенную в цепи обратной связи (см. рис. 2.1 ниже по тексту).</w:t>
      </w:r>
    </w:p>
    <w:p w:rsidR="00D968D3" w:rsidRDefault="00DC55EF" w:rsidP="00DC55EF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2667372" cy="315321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EF" w:rsidRPr="00555214" w:rsidRDefault="00DC55EF" w:rsidP="00DC55EF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Pr="00555214">
        <w:rPr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 xml:space="preserve"> – Пример линейной и нелинейной САР</w:t>
      </w:r>
    </w:p>
    <w:p w:rsidR="00D968D3" w:rsidRDefault="00D968D3" w:rsidP="00DC55EF">
      <w:pPr>
        <w:pStyle w:val="Textbody"/>
        <w:jc w:val="center"/>
        <w:rPr>
          <w:iCs/>
          <w:highlight w:val="yellow"/>
        </w:rPr>
      </w:pPr>
    </w:p>
    <w:p w:rsidR="00DC55EF" w:rsidRDefault="009A339D" w:rsidP="009A339D">
      <w:pPr>
        <w:pStyle w:val="Textbody"/>
      </w:pPr>
      <w:r>
        <w:t>В “классическом” варианте доказательства данного критерия принят ряд допущений:</w:t>
      </w:r>
    </w:p>
    <w:p w:rsidR="00645786" w:rsidRDefault="0064578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645786">
        <w:rPr>
          <w:rFonts w:ascii="Cambria" w:hAnsi="Cambria"/>
          <w:sz w:val="28"/>
          <w:szCs w:val="24"/>
        </w:rPr>
        <w:t xml:space="preserve">Нелинейная часть – </w:t>
      </w:r>
      <w:proofErr w:type="spellStart"/>
      <w:r w:rsidRPr="00645786">
        <w:rPr>
          <w:rFonts w:ascii="Cambria" w:hAnsi="Cambria"/>
          <w:sz w:val="28"/>
          <w:szCs w:val="24"/>
        </w:rPr>
        <w:t>безинерционна</w:t>
      </w:r>
      <w:proofErr w:type="spellEnd"/>
      <w:r w:rsidRPr="00645786">
        <w:rPr>
          <w:rFonts w:ascii="Cambria" w:hAnsi="Cambria"/>
          <w:sz w:val="28"/>
          <w:szCs w:val="24"/>
        </w:rPr>
        <w:t>.</w:t>
      </w:r>
    </w:p>
    <w:p w:rsidR="00645786" w:rsidRDefault="00A541CC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A541CC">
        <w:rPr>
          <w:rFonts w:ascii="Cambria" w:hAnsi="Cambria"/>
          <w:sz w:val="28"/>
          <w:szCs w:val="24"/>
        </w:rPr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Pr="00A541CC">
        <w:rPr>
          <w:rFonts w:ascii="Cambria" w:hAnsi="Cambria"/>
          <w:b/>
          <w:sz w:val="28"/>
          <w:szCs w:val="24"/>
        </w:rPr>
        <w:t>К</w:t>
      </w:r>
      <w:r>
        <w:rPr>
          <w:rFonts w:ascii="Cambria" w:hAnsi="Cambria"/>
          <w:b/>
          <w:sz w:val="28"/>
          <w:szCs w:val="24"/>
        </w:rPr>
        <w:t xml:space="preserve"> (</w:t>
      </w:r>
      <w:r w:rsidRPr="00A541CC">
        <w:rPr>
          <w:rFonts w:ascii="Cambria" w:hAnsi="Cambria"/>
          <w:sz w:val="28"/>
          <w:szCs w:val="24"/>
        </w:rPr>
        <w:t>0&lt;</w:t>
      </w:r>
      <w:proofErr w:type="gramStart"/>
      <w:r w:rsidRPr="00A1599F">
        <w:rPr>
          <w:rFonts w:ascii="Cambria" w:hAnsi="Cambria"/>
          <w:b/>
          <w:sz w:val="28"/>
          <w:szCs w:val="24"/>
        </w:rPr>
        <w:t>К</w:t>
      </w:r>
      <w:r w:rsidRPr="00A541CC">
        <w:rPr>
          <w:rFonts w:ascii="Cambria" w:hAnsi="Cambria"/>
          <w:sz w:val="28"/>
          <w:szCs w:val="24"/>
        </w:rPr>
        <w:t>&lt;</w:t>
      </w:r>
      <w:proofErr w:type="gramEnd"/>
      <w:r>
        <w:rPr>
          <w:rFonts w:ascii="Cambria" w:hAnsi="Cambria"/>
          <w:sz w:val="28"/>
          <w:szCs w:val="24"/>
        </w:rPr>
        <w:sym w:font="Symbol" w:char="F0A5"/>
      </w:r>
      <w:r w:rsidRPr="00A541CC">
        <w:rPr>
          <w:rFonts w:ascii="Cambria" w:hAnsi="Cambria"/>
          <w:b/>
          <w:sz w:val="28"/>
          <w:szCs w:val="24"/>
        </w:rPr>
        <w:t>)</w:t>
      </w:r>
      <w:r w:rsidRPr="00A541CC">
        <w:rPr>
          <w:rFonts w:ascii="Cambria" w:hAnsi="Cambria"/>
          <w:sz w:val="28"/>
          <w:szCs w:val="24"/>
        </w:rPr>
        <w:t>.</w:t>
      </w:r>
    </w:p>
    <w:p w:rsidR="008F42AF" w:rsidRDefault="008F42AF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8F42AF">
        <w:rPr>
          <w:rFonts w:ascii="Cambria" w:hAnsi="Cambria"/>
          <w:sz w:val="28"/>
          <w:szCs w:val="24"/>
        </w:rPr>
        <w:t xml:space="preserve"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 </w:t>
      </w:r>
    </w:p>
    <w:p w:rsidR="000D4856" w:rsidRPr="000D4856" w:rsidRDefault="000D4856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0D4856">
        <w:rPr>
          <w:rFonts w:ascii="Cambria" w:hAnsi="Cambria"/>
          <w:sz w:val="28"/>
          <w:szCs w:val="24"/>
        </w:rPr>
        <w:t xml:space="preserve">В особых случаях должна иметь место предельная устойчивость. </w:t>
      </w:r>
    </w:p>
    <w:p w:rsidR="000D4856" w:rsidRDefault="001B4723" w:rsidP="00F47EC0">
      <w:pPr>
        <w:widowControl/>
        <w:numPr>
          <w:ilvl w:val="0"/>
          <w:numId w:val="24"/>
        </w:numPr>
        <w:tabs>
          <w:tab w:val="left" w:pos="993"/>
        </w:tabs>
        <w:suppressAutoHyphens w:val="0"/>
        <w:autoSpaceDN/>
        <w:spacing w:before="100" w:beforeAutospacing="1" w:after="100" w:afterAutospacing="1"/>
        <w:ind w:hanging="11"/>
        <w:jc w:val="both"/>
        <w:textAlignment w:val="auto"/>
        <w:rPr>
          <w:rFonts w:ascii="Cambria" w:hAnsi="Cambria"/>
          <w:sz w:val="28"/>
          <w:szCs w:val="24"/>
        </w:rPr>
      </w:pPr>
      <w:r w:rsidRPr="001B4723">
        <w:rPr>
          <w:rFonts w:ascii="Cambria" w:hAnsi="Cambria"/>
          <w:sz w:val="28"/>
          <w:szCs w:val="24"/>
        </w:rPr>
        <w:t xml:space="preserve">В.М. Попов ввел понятие видоизмененной АФЧХ, обозначаемой </w:t>
      </w:r>
      <w:proofErr w:type="gramStart"/>
      <w:r w:rsidRPr="001B4723">
        <w:rPr>
          <w:rFonts w:ascii="Cambria" w:hAnsi="Cambria"/>
          <w:sz w:val="28"/>
          <w:szCs w:val="24"/>
        </w:rPr>
        <w:t>обычно</w:t>
      </w:r>
      <w:r w:rsidR="00DD365E" w:rsidRPr="00DD365E">
        <w:rPr>
          <w:rFonts w:ascii="Cambria" w:hAnsi="Cambr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(iω)</m:t>
        </m:r>
      </m:oMath>
      <w:r w:rsidR="00F75E14" w:rsidRPr="00F75E14">
        <w:rPr>
          <w:rFonts w:ascii="Cambria" w:hAnsi="Cambria"/>
          <w:sz w:val="28"/>
          <w:szCs w:val="28"/>
        </w:rPr>
        <w:t xml:space="preserve"> </w:t>
      </w:r>
      <w:r w:rsidR="00F75E14" w:rsidRPr="00F75E14">
        <w:rPr>
          <w:rFonts w:ascii="Cambria" w:hAnsi="Cambria"/>
          <w:sz w:val="28"/>
          <w:szCs w:val="24"/>
        </w:rPr>
        <w:t>и</w:t>
      </w:r>
      <w:proofErr w:type="gramEnd"/>
      <w:r w:rsidR="00F75E14" w:rsidRPr="00F75E14">
        <w:rPr>
          <w:rFonts w:ascii="Cambria" w:hAnsi="Cambria"/>
          <w:sz w:val="28"/>
          <w:szCs w:val="24"/>
        </w:rPr>
        <w:t xml:space="preserve"> определяемой соотношениями:</w:t>
      </w:r>
    </w:p>
    <w:p w:rsidR="00F75E14" w:rsidRPr="00F75E14" w:rsidRDefault="00A336C5" w:rsidP="00F75E14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left="720"/>
        <w:textAlignment w:val="auto"/>
        <w:rPr>
          <w:rFonts w:ascii="Cambria" w:hAnsi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+i∙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75E14" w:rsidRDefault="00F75E14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proofErr w:type="gramStart"/>
      <w:r>
        <w:rPr>
          <w:rFonts w:ascii="Cambria" w:hAnsi="Cambr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(ω)</m:t>
        </m:r>
      </m:oMath>
      <w:r w:rsidRPr="00204C71">
        <w:rPr>
          <w:rFonts w:ascii="Cambria" w:hAnsi="Cambria"/>
          <w:sz w:val="28"/>
          <w:szCs w:val="28"/>
        </w:rPr>
        <w:t>;</w:t>
      </w:r>
      <w:proofErr w:type="gramEnd"/>
      <w:r w:rsidRPr="00204C71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≡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∙ω∙ν(ω)</m:t>
        </m:r>
      </m:oMath>
      <w:r w:rsidR="00204C71" w:rsidRPr="00204C71">
        <w:rPr>
          <w:rFonts w:ascii="Cambria" w:hAnsi="Cambria"/>
          <w:sz w:val="28"/>
          <w:szCs w:val="28"/>
        </w:rPr>
        <w:t>;</w:t>
      </w:r>
      <w:r w:rsidR="00531847" w:rsidRPr="00531847">
        <w:rPr>
          <w:rFonts w:ascii="Cambria" w:hAnsi="Cambria"/>
          <w:sz w:val="28"/>
          <w:szCs w:val="28"/>
        </w:rPr>
        <w:t xml:space="preserve"> </w:t>
      </w:r>
      <w:r w:rsidR="00531847" w:rsidRPr="00531847">
        <w:rPr>
          <w:rFonts w:ascii="Cambria" w:hAnsi="Cambria"/>
          <w:i/>
          <w:sz w:val="28"/>
          <w:szCs w:val="28"/>
          <w:lang w:val="en-US"/>
        </w:rPr>
        <w:t>T</w:t>
      </w:r>
      <w:r w:rsidR="00531847" w:rsidRPr="00531847">
        <w:rPr>
          <w:rFonts w:ascii="Cambria" w:hAnsi="Cambria"/>
          <w:sz w:val="28"/>
          <w:szCs w:val="28"/>
        </w:rPr>
        <w:t xml:space="preserve">=1 </w:t>
      </w:r>
      <w:r w:rsidR="00531847" w:rsidRPr="00531847">
        <w:rPr>
          <w:rFonts w:ascii="Cambria" w:hAnsi="Cambria"/>
          <w:sz w:val="28"/>
          <w:szCs w:val="28"/>
          <w:lang w:val="en-US"/>
        </w:rPr>
        <w:t>c</w:t>
      </w:r>
      <w:r w:rsidR="00531847" w:rsidRPr="00531847">
        <w:rPr>
          <w:rFonts w:ascii="Cambria" w:hAnsi="Cambria"/>
          <w:sz w:val="28"/>
          <w:szCs w:val="28"/>
        </w:rPr>
        <w:t xml:space="preserve">; </w:t>
      </w:r>
      <w:r w:rsidR="00531847">
        <w:rPr>
          <w:rFonts w:ascii="Cambria" w:hAnsi="Cambria"/>
          <w:sz w:val="28"/>
          <w:szCs w:val="28"/>
          <w:lang w:val="en-US"/>
        </w:rPr>
        <w:t>u</w:t>
      </w:r>
      <w:r w:rsidR="00531847" w:rsidRPr="00531847">
        <w:rPr>
          <w:rFonts w:ascii="Cambria" w:hAnsi="Cambria"/>
          <w:sz w:val="28"/>
          <w:szCs w:val="28"/>
        </w:rPr>
        <w:t>(</w:t>
      </w:r>
      <w:r w:rsidR="00531847">
        <w:rPr>
          <w:rFonts w:ascii="Cambria" w:hAnsi="Cambria"/>
          <w:sz w:val="28"/>
          <w:szCs w:val="28"/>
        </w:rPr>
        <w:sym w:font="Symbol" w:char="F077"/>
      </w:r>
      <w:r w:rsidR="00531847" w:rsidRPr="00531847">
        <w:rPr>
          <w:rFonts w:ascii="Cambria" w:hAnsi="Cambria"/>
          <w:sz w:val="28"/>
          <w:szCs w:val="28"/>
        </w:rPr>
        <w:t xml:space="preserve">), </w:t>
      </w:r>
      <w:r w:rsidR="00531847">
        <w:rPr>
          <w:rFonts w:ascii="Cambria" w:hAnsi="Cambria"/>
          <w:sz w:val="28"/>
          <w:szCs w:val="28"/>
        </w:rPr>
        <w:sym w:font="Symbol" w:char="F06E"/>
      </w:r>
      <w:r w:rsidR="00531847" w:rsidRPr="00531847">
        <w:rPr>
          <w:rFonts w:ascii="Cambria" w:hAnsi="Cambria"/>
          <w:sz w:val="28"/>
          <w:szCs w:val="28"/>
        </w:rPr>
        <w:t>(</w:t>
      </w:r>
      <w:r w:rsidR="00531847">
        <w:rPr>
          <w:rFonts w:ascii="Cambria" w:hAnsi="Cambria"/>
          <w:sz w:val="28"/>
          <w:szCs w:val="28"/>
          <w:lang w:val="en-US"/>
        </w:rPr>
        <w:sym w:font="Symbol" w:char="F077"/>
      </w:r>
      <w:r w:rsidR="00531847" w:rsidRPr="00531847">
        <w:rPr>
          <w:rFonts w:ascii="Cambria" w:hAnsi="Cambria"/>
          <w:sz w:val="28"/>
          <w:szCs w:val="28"/>
        </w:rPr>
        <w:t xml:space="preserve">) </w:t>
      </w:r>
      <w:r w:rsidR="00531847" w:rsidRPr="00531847">
        <w:rPr>
          <w:rFonts w:ascii="Cambria" w:hAnsi="Cambria"/>
          <w:sz w:val="28"/>
          <w:szCs w:val="24"/>
        </w:rPr>
        <w:t>- действительная и мнимая части АФЧХ линейной части, соответственно.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 xml:space="preserve">Существуют аналитическая и геометрическая формулировки абсолютной </w:t>
      </w:r>
      <w:r>
        <w:rPr>
          <w:rFonts w:ascii="Cambria" w:hAnsi="Cambria"/>
          <w:sz w:val="28"/>
          <w:szCs w:val="24"/>
        </w:rPr>
        <w:t xml:space="preserve">устойчивости по В.М. Попову. </w:t>
      </w:r>
    </w:p>
    <w:p w:rsidR="00531847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>Более наглядной является геометрическая формулировка.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 xml:space="preserve">Для того, чтобы имела место абсолютная устойчивость в угле </w:t>
      </w:r>
      <w:r w:rsidRPr="00131E4F">
        <w:rPr>
          <w:rFonts w:ascii="Cambria" w:hAnsi="Cambria"/>
          <w:b/>
          <w:sz w:val="28"/>
          <w:szCs w:val="24"/>
        </w:rPr>
        <w:t>[0; К]</w:t>
      </w:r>
      <w:r w:rsidRPr="00131E4F">
        <w:rPr>
          <w:rFonts w:ascii="Cambria" w:hAnsi="Cambria"/>
          <w:sz w:val="28"/>
          <w:szCs w:val="24"/>
        </w:rPr>
        <w:t xml:space="preserve"> в основном и в угле </w:t>
      </w:r>
      <w:r w:rsidRPr="00131E4F">
        <w:rPr>
          <w:rFonts w:ascii="Cambria" w:hAnsi="Cambria"/>
          <w:b/>
          <w:sz w:val="28"/>
          <w:szCs w:val="24"/>
        </w:rPr>
        <w:t>[</w:t>
      </w:r>
      <w:proofErr w:type="spellStart"/>
      <w:r w:rsidRPr="00131E4F">
        <w:rPr>
          <w:rFonts w:ascii="Cambria" w:hAnsi="Cambria"/>
          <w:b/>
          <w:sz w:val="28"/>
          <w:szCs w:val="24"/>
        </w:rPr>
        <w:t>eps</w:t>
      </w:r>
      <w:proofErr w:type="spellEnd"/>
      <w:r w:rsidRPr="00131E4F">
        <w:rPr>
          <w:rFonts w:ascii="Cambria" w:hAnsi="Cambria"/>
          <w:b/>
          <w:sz w:val="28"/>
          <w:szCs w:val="24"/>
        </w:rPr>
        <w:t>; К]</w:t>
      </w:r>
      <w:r w:rsidRPr="00131E4F">
        <w:rPr>
          <w:rFonts w:ascii="Cambria" w:hAnsi="Cambria"/>
          <w:sz w:val="28"/>
          <w:szCs w:val="24"/>
        </w:rPr>
        <w:t xml:space="preserve"> (где </w:t>
      </w:r>
      <w:proofErr w:type="spellStart"/>
      <w:r w:rsidRPr="00131E4F">
        <w:rPr>
          <w:rFonts w:ascii="Cambria" w:hAnsi="Cambria"/>
          <w:b/>
          <w:sz w:val="28"/>
          <w:szCs w:val="24"/>
        </w:rPr>
        <w:t>eps</w:t>
      </w:r>
      <w:proofErr w:type="spellEnd"/>
      <w:r w:rsidRPr="00131E4F">
        <w:rPr>
          <w:rFonts w:ascii="Cambria" w:hAnsi="Cambria"/>
          <w:b/>
          <w:sz w:val="28"/>
          <w:szCs w:val="24"/>
        </w:rPr>
        <w:t xml:space="preserve"> </w:t>
      </w:r>
      <w:r w:rsidRPr="00131E4F">
        <w:rPr>
          <w:rFonts w:ascii="Cambria" w:hAnsi="Cambria"/>
          <w:sz w:val="28"/>
          <w:szCs w:val="24"/>
        </w:rPr>
        <w:t xml:space="preserve">– бесконечно малое положительное число) в особых случаях, достаточно, чтобы в </w:t>
      </w:r>
      <w:proofErr w:type="gramStart"/>
      <w:r w:rsidRPr="00131E4F">
        <w:rPr>
          <w:rFonts w:ascii="Cambria" w:hAnsi="Cambria"/>
          <w:sz w:val="28"/>
          <w:szCs w:val="24"/>
        </w:rPr>
        <w:t xml:space="preserve">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(iω)</m:t>
        </m:r>
      </m:oMath>
      <w:r w:rsidRPr="00131E4F">
        <w:rPr>
          <w:rFonts w:ascii="Cambria" w:hAnsi="Cambria"/>
          <w:sz w:val="28"/>
          <w:szCs w:val="28"/>
        </w:rPr>
        <w:t xml:space="preserve"> </w:t>
      </w:r>
      <w:r w:rsidRPr="00131E4F">
        <w:rPr>
          <w:rFonts w:ascii="Cambria" w:hAnsi="Cambria"/>
          <w:sz w:val="28"/>
          <w:szCs w:val="24"/>
        </w:rPr>
        <w:t>можно</w:t>
      </w:r>
      <w:proofErr w:type="gramEnd"/>
      <w:r w:rsidRPr="00131E4F">
        <w:rPr>
          <w:rFonts w:ascii="Cambria" w:hAnsi="Cambria"/>
          <w:sz w:val="28"/>
          <w:szCs w:val="24"/>
        </w:rPr>
        <w:t xml:space="preserve"> было выбрать прямую, проходящую через точку действительной оси с абсциссой </w:t>
      </w:r>
      <w:r w:rsidRPr="00131E4F">
        <w:rPr>
          <w:rFonts w:ascii="Cambria" w:hAnsi="Cambria"/>
          <w:b/>
          <w:sz w:val="28"/>
          <w:szCs w:val="24"/>
        </w:rPr>
        <w:t>–1/K</w:t>
      </w:r>
      <w:r w:rsidRPr="00131E4F">
        <w:rPr>
          <w:rFonts w:ascii="Cambria" w:hAnsi="Cambria"/>
          <w:sz w:val="28"/>
          <w:szCs w:val="24"/>
        </w:rPr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/>
            <w:sz w:val="28"/>
            <w:szCs w:val="28"/>
          </w:rPr>
          <m:t>(iω)</m:t>
        </m:r>
      </m:oMath>
      <w:r w:rsidRPr="00131E4F">
        <w:rPr>
          <w:rFonts w:ascii="Cambria" w:hAnsi="Cambria"/>
          <w:sz w:val="28"/>
          <w:szCs w:val="28"/>
        </w:rPr>
        <w:t xml:space="preserve"> </w:t>
      </w:r>
      <w:r w:rsidRPr="00131E4F">
        <w:rPr>
          <w:rFonts w:ascii="Cambria" w:hAnsi="Cambria"/>
          <w:sz w:val="28"/>
          <w:szCs w:val="24"/>
        </w:rPr>
        <w:t>весь лежал строго справа от этой прямой и чтобы, кроме того, в особых случаях имела место предельная устойчивость.</w:t>
      </w:r>
    </w:p>
    <w:p w:rsidR="00131E4F" w:rsidRDefault="00131E4F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131E4F">
        <w:rPr>
          <w:rFonts w:ascii="Cambria" w:hAnsi="Cambria"/>
          <w:sz w:val="28"/>
          <w:szCs w:val="24"/>
        </w:rPr>
        <w:t>На рис. 2.2 ниже по тексту представлена графическая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</w:t>
      </w:r>
      <w:proofErr w:type="spellStart"/>
      <w:r w:rsidRPr="00131E4F">
        <w:rPr>
          <w:rFonts w:ascii="Cambria" w:hAnsi="Cambria"/>
          <w:sz w:val="28"/>
          <w:szCs w:val="24"/>
        </w:rPr>
        <w:t>W_лин</w:t>
      </w:r>
      <w:proofErr w:type="spellEnd"/>
      <w:r w:rsidRPr="00131E4F">
        <w:rPr>
          <w:rFonts w:ascii="Cambria" w:hAnsi="Cambria"/>
          <w:sz w:val="28"/>
          <w:szCs w:val="24"/>
        </w:rPr>
        <w:t xml:space="preserve">), сплошной линией представлен видоизмененный годограф Попова, а точка на оси абсцисс с координатой </w:t>
      </w:r>
      <w:r w:rsidRPr="00D91691">
        <w:rPr>
          <w:rFonts w:ascii="Cambria" w:hAnsi="Cambria"/>
          <w:b/>
          <w:sz w:val="28"/>
          <w:szCs w:val="24"/>
        </w:rPr>
        <w:t>-1/K</w:t>
      </w:r>
      <w:r w:rsidRPr="00131E4F">
        <w:rPr>
          <w:rFonts w:ascii="Cambria" w:hAnsi="Cambria"/>
          <w:sz w:val="28"/>
          <w:szCs w:val="24"/>
        </w:rPr>
        <w:t xml:space="preserve"> (</w:t>
      </w:r>
      <w:r w:rsidRPr="00D91691">
        <w:rPr>
          <w:rFonts w:ascii="Cambria" w:hAnsi="Cambria"/>
          <w:b/>
          <w:sz w:val="28"/>
          <w:szCs w:val="24"/>
        </w:rPr>
        <w:t>K</w:t>
      </w:r>
      <w:r w:rsidRPr="00131E4F">
        <w:rPr>
          <w:rFonts w:ascii="Cambria" w:hAnsi="Cambria"/>
          <w:sz w:val="28"/>
          <w:szCs w:val="24"/>
        </w:rPr>
        <w:t xml:space="preserve"> – Гурвицев угол) расположена левее точки пересечения годографа Попова с осью абсцисс.</w:t>
      </w:r>
    </w:p>
    <w:p w:rsidR="00D91691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F1164D">
        <w:rPr>
          <w:rFonts w:ascii="Cambria" w:hAnsi="Cambria"/>
          <w:sz w:val="28"/>
          <w:szCs w:val="24"/>
        </w:rPr>
        <w:t xml:space="preserve">Очевидно, что через точку </w:t>
      </w:r>
      <w:r w:rsidRPr="00A1599F">
        <w:rPr>
          <w:rFonts w:ascii="Cambria" w:hAnsi="Cambria"/>
          <w:b/>
          <w:sz w:val="28"/>
          <w:szCs w:val="24"/>
        </w:rPr>
        <w:t>-1/К</w:t>
      </w:r>
      <w:r w:rsidRPr="00F1164D">
        <w:rPr>
          <w:rFonts w:ascii="Cambria" w:hAnsi="Cambria"/>
          <w:sz w:val="28"/>
          <w:szCs w:val="24"/>
        </w:rPr>
        <w:t xml:space="preserve"> можно провести множество прямых</w:t>
      </w:r>
      <w:r>
        <w:rPr>
          <w:rFonts w:ascii="Cambria" w:hAnsi="Cambria"/>
          <w:sz w:val="28"/>
          <w:szCs w:val="24"/>
        </w:rPr>
        <w:t>.</w:t>
      </w:r>
    </w:p>
    <w:p w:rsidR="00F1164D" w:rsidRDefault="00F1164D" w:rsidP="00131E4F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Cambria" w:hAnsi="Cambria"/>
          <w:sz w:val="28"/>
          <w:szCs w:val="24"/>
        </w:rPr>
      </w:pPr>
      <w:r w:rsidRPr="00F1164D">
        <w:rPr>
          <w:rFonts w:ascii="Cambria" w:hAnsi="Cambria"/>
          <w:sz w:val="28"/>
          <w:szCs w:val="24"/>
        </w:rPr>
        <w:t>На рис. 2.2 одна из множества прямых проведена так, что видоизмененный годограф Попова лежит строго справа от этой прямой.</w:t>
      </w:r>
    </w:p>
    <w:p w:rsidR="00131E4F" w:rsidRPr="00131E4F" w:rsidRDefault="003C6FFE" w:rsidP="003C6FFE">
      <w:pPr>
        <w:widowControl/>
        <w:tabs>
          <w:tab w:val="left" w:pos="993"/>
        </w:tabs>
        <w:suppressAutoHyphens w:val="0"/>
        <w:autoSpaceDN/>
        <w:spacing w:before="100" w:beforeAutospacing="1" w:after="100" w:afterAutospacing="1"/>
        <w:ind w:firstLine="709"/>
        <w:jc w:val="center"/>
        <w:textAlignment w:val="auto"/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>
            <wp:extent cx="3715268" cy="2724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FE" w:rsidRDefault="003C6FFE" w:rsidP="003C6FFE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2.2 – Годографы Найквиста и Попова</w:t>
      </w:r>
    </w:p>
    <w:p w:rsidR="00A541CC" w:rsidRDefault="00314051" w:rsidP="00314051">
      <w:pPr>
        <w:widowControl/>
        <w:suppressAutoHyphens w:val="0"/>
        <w:autoSpaceDN/>
        <w:spacing w:before="100" w:beforeAutospacing="1" w:after="100" w:afterAutospacing="1"/>
        <w:ind w:firstLine="720"/>
        <w:textAlignment w:val="auto"/>
        <w:rPr>
          <w:rFonts w:ascii="Cambria" w:hAnsi="Cambria"/>
          <w:sz w:val="28"/>
          <w:szCs w:val="24"/>
        </w:rPr>
      </w:pPr>
      <w:r w:rsidRPr="00314051">
        <w:rPr>
          <w:rFonts w:ascii="Cambria" w:hAnsi="Cambria"/>
          <w:sz w:val="28"/>
          <w:szCs w:val="24"/>
        </w:rPr>
        <w:t>На этом завершим краткое изложение основных положений критерия В.М. Попова и перейдем непосредственно к</w:t>
      </w:r>
      <w:r>
        <w:rPr>
          <w:rFonts w:ascii="Cambria" w:hAnsi="Cambria"/>
          <w:sz w:val="28"/>
          <w:szCs w:val="24"/>
        </w:rPr>
        <w:t xml:space="preserve"> выполнению лабораторной работы.</w:t>
      </w:r>
    </w:p>
    <w:p w:rsidR="00E13262" w:rsidRPr="00383C0A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2" w:name="_Toc417534715"/>
      <w:r>
        <w:rPr>
          <w:rFonts w:ascii="Cambria" w:hAnsi="Cambria"/>
          <w:shd w:val="clear" w:color="auto" w:fill="FFFFFF"/>
        </w:rPr>
        <w:t>2</w:t>
      </w:r>
      <w:r w:rsidRPr="00DA039A">
        <w:rPr>
          <w:rFonts w:ascii="Cambria" w:hAnsi="Cambria"/>
          <w:shd w:val="clear" w:color="auto" w:fill="FFFFFF"/>
        </w:rPr>
        <w:t xml:space="preserve">.2 </w:t>
      </w:r>
      <w:r w:rsidR="00C3372B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2"/>
    </w:p>
    <w:p w:rsidR="00314051" w:rsidRPr="00645786" w:rsidRDefault="004B4647" w:rsidP="004B4647">
      <w:pPr>
        <w:widowControl/>
        <w:suppressAutoHyphens w:val="0"/>
        <w:autoSpaceDN/>
        <w:spacing w:before="100" w:beforeAutospacing="1" w:after="100" w:afterAutospacing="1"/>
        <w:ind w:firstLine="720"/>
        <w:jc w:val="both"/>
        <w:textAlignment w:val="auto"/>
        <w:rPr>
          <w:rFonts w:ascii="Cambria" w:hAnsi="Cambria"/>
          <w:sz w:val="28"/>
          <w:szCs w:val="24"/>
        </w:rPr>
      </w:pPr>
      <w:r w:rsidRPr="004B4647">
        <w:rPr>
          <w:rFonts w:ascii="Cambria" w:hAnsi="Cambria"/>
          <w:sz w:val="28"/>
          <w:szCs w:val="24"/>
        </w:rPr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Default="00551301" w:rsidP="0055130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7544853" cy="2953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Default="00C04C84" w:rsidP="00C04C84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2.3 – Структурная схема САР</w:t>
      </w:r>
    </w:p>
    <w:p w:rsidR="00D968D3" w:rsidRDefault="00632536">
      <w:pPr>
        <w:pStyle w:val="Textbody"/>
      </w:pPr>
      <w:r>
        <w:t xml:space="preserve">Объект управления с передаточной функцией </w:t>
      </w:r>
      <w:r w:rsidRPr="00632536">
        <w:rPr>
          <w:iCs/>
        </w:rPr>
        <w:t>W_2</w:t>
      </w:r>
      <w:r w:rsidRPr="00632536">
        <w:t xml:space="preserve"> (s),</w:t>
      </w:r>
      <w:r>
        <w:t xml:space="preserve"> соответствует типовому звену (колебательному) с параметрами: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rPr>
          <w:iCs/>
        </w:rPr>
        <w:t xml:space="preserve">k2 </w:t>
      </w:r>
      <w:r w:rsidRPr="00632536">
        <w:t xml:space="preserve">= 1.0; </w:t>
      </w:r>
      <w:r w:rsidRPr="00632536">
        <w:rPr>
          <w:iCs/>
        </w:rPr>
        <w:t>T2</w:t>
      </w:r>
      <w:r w:rsidRPr="00632536">
        <w:t xml:space="preserve"> = 1 c; параметр демпфирования </w:t>
      </w:r>
      <w:r w:rsidRPr="00632536">
        <w:rPr>
          <w:iCs/>
        </w:rPr>
        <w:t>b</w:t>
      </w:r>
      <w:r w:rsidRPr="00632536">
        <w:t xml:space="preserve"> = 0.5; начальные условия - нулевые.</w:t>
      </w:r>
    </w:p>
    <w:p w:rsidR="00632536" w:rsidRPr="00632536" w:rsidRDefault="00632536" w:rsidP="00632536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4"/>
        </w:rPr>
      </w:pPr>
      <w:r w:rsidRPr="00632536">
        <w:rPr>
          <w:rFonts w:ascii="Cambria" w:hAnsi="Cambria"/>
          <w:sz w:val="28"/>
          <w:szCs w:val="24"/>
        </w:rPr>
        <w:t>Местная обратная связь с передаточной функцией W_3 (s), соответствует типовому звену - апериодическому 1-го порядка с параметрами: k3 = 0.6; T3 = 5 c.</w:t>
      </w:r>
    </w:p>
    <w:p w:rsidR="00C04C84" w:rsidRDefault="00632536">
      <w:pPr>
        <w:pStyle w:val="Textbody"/>
      </w:pPr>
      <w:r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632536" w:rsidRDefault="00632536">
      <w:pPr>
        <w:pStyle w:val="Textbody"/>
        <w:rPr>
          <w:iCs/>
          <w:highlight w:val="yellow"/>
        </w:rPr>
      </w:pPr>
      <w:r w:rsidRPr="00632536">
        <w:t xml:space="preserve">Удалите линию связи между </w:t>
      </w:r>
      <w:r w:rsidRPr="00632536">
        <w:rPr>
          <w:b/>
          <w:i/>
          <w:iCs/>
        </w:rPr>
        <w:t>Главным сравнивающим устройством</w:t>
      </w:r>
      <w:r w:rsidRPr="00632536">
        <w:t xml:space="preserve"> и блоком с подписью </w:t>
      </w:r>
      <w:r w:rsidRPr="00632536">
        <w:rPr>
          <w:iCs/>
        </w:rPr>
        <w:t>W_1(s)</w:t>
      </w:r>
      <w:r w:rsidRPr="00632536">
        <w:t xml:space="preserve">, а также подписи под обоими </w:t>
      </w:r>
      <w:r w:rsidRPr="00632536">
        <w:rPr>
          <w:iCs/>
        </w:rPr>
        <w:t>Сравнивающими устройствами</w:t>
      </w:r>
      <w:r w:rsidRPr="00632536">
        <w:t xml:space="preserve"> (удаление подписи – процедура, обратная вводу подписи).</w:t>
      </w:r>
    </w:p>
    <w:p w:rsidR="00D968D3" w:rsidRDefault="00632536">
      <w:pPr>
        <w:pStyle w:val="Textbody"/>
      </w:pPr>
      <w:r>
        <w:t xml:space="preserve">Используя процедуры “перетаскивания” блоков, освободите место для вставки в структурную схему САР </w:t>
      </w:r>
      <w:r>
        <w:rPr>
          <w:i/>
          <w:iCs/>
        </w:rPr>
        <w:t>нового нелинейного</w:t>
      </w:r>
      <w:r>
        <w:t xml:space="preserve"> блока (см. рис. 2.4 ниже по тексту).</w:t>
      </w:r>
    </w:p>
    <w:p w:rsidR="00632536" w:rsidRDefault="00632536">
      <w:pPr>
        <w:pStyle w:val="Textbody"/>
      </w:pPr>
      <w:r>
        <w:t xml:space="preserve">Инициализируйте библиотеку </w:t>
      </w:r>
      <w:r>
        <w:rPr>
          <w:b/>
          <w:bCs/>
          <w:i/>
          <w:iCs/>
        </w:rPr>
        <w:t>Нелинейные</w:t>
      </w:r>
      <w:r>
        <w:rPr>
          <w:i/>
          <w:iCs/>
        </w:rPr>
        <w:t xml:space="preserve"> звенья</w:t>
      </w:r>
      <w:r>
        <w:t xml:space="preserve"> и перенесите в Схемное окно типовой блок </w:t>
      </w:r>
      <w:r w:rsidRPr="00632536">
        <w:rPr>
          <w:b/>
          <w:i/>
          <w:iCs/>
        </w:rPr>
        <w:t xml:space="preserve">Релейное с зоной </w:t>
      </w:r>
      <w:proofErr w:type="spellStart"/>
      <w:r w:rsidRPr="00632536">
        <w:rPr>
          <w:b/>
          <w:i/>
          <w:iCs/>
        </w:rPr>
        <w:t>нечуствительности</w:t>
      </w:r>
      <w:proofErr w:type="spellEnd"/>
      <w:r w:rsidRPr="00632536">
        <w:rPr>
          <w:b/>
        </w:rPr>
        <w:t>.</w:t>
      </w:r>
      <w:r>
        <w:t xml:space="preserve"> Сделайте под этим блоком поясняющую подпись (</w:t>
      </w:r>
      <w:r>
        <w:rPr>
          <w:i/>
          <w:iCs/>
        </w:rPr>
        <w:t>Управляющее реле</w:t>
      </w:r>
      <w:r>
        <w:t>), соедините его линиями связи с соседними блоками.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 xml:space="preserve">Управляющее реле </w:t>
      </w:r>
      <w:r>
        <w:t xml:space="preserve">и введите в 1-ой диалоговой строке следующие </w:t>
      </w:r>
      <w:r>
        <w:rPr>
          <w:i/>
          <w:iCs/>
        </w:rPr>
        <w:t xml:space="preserve">шесть </w:t>
      </w:r>
      <w:r>
        <w:t xml:space="preserve">параметров (через пробел): </w:t>
      </w:r>
      <w:r>
        <w:rPr>
          <w:b/>
          <w:bCs/>
        </w:rPr>
        <w:t xml:space="preserve">-0.02 -0.02 0.02 0.02 -1 1. </w:t>
      </w:r>
      <w:r>
        <w:t xml:space="preserve">Фактически нелинейный блок, добавленный в структурную, реализует </w:t>
      </w:r>
      <w:r>
        <w:rPr>
          <w:i/>
          <w:iCs/>
        </w:rPr>
        <w:t>однозначную</w:t>
      </w:r>
      <w:r>
        <w:t xml:space="preserve"> нелинейность типа </w:t>
      </w:r>
      <w:r w:rsidRPr="00632536">
        <w:rPr>
          <w:b/>
          <w:i/>
          <w:iCs/>
        </w:rPr>
        <w:t>Релейная с зоной нечувствительности</w:t>
      </w:r>
      <w:r>
        <w:t xml:space="preserve">. Закройте диалоговое окно щелчком по кнопке </w:t>
      </w:r>
      <w:r>
        <w:rPr>
          <w:b/>
          <w:bCs/>
        </w:rPr>
        <w:t>Да</w:t>
      </w:r>
      <w:r>
        <w:t>.</w:t>
      </w:r>
    </w:p>
    <w:p w:rsidR="00632536" w:rsidRDefault="00632536">
      <w:pPr>
        <w:pStyle w:val="Textbody"/>
      </w:pPr>
      <w:r>
        <w:t xml:space="preserve">Откройте диалоговое окно блока </w:t>
      </w:r>
      <w:r w:rsidRPr="00F54975">
        <w:rPr>
          <w:b/>
          <w:i/>
          <w:iCs/>
        </w:rPr>
        <w:t>Интегратор</w:t>
      </w:r>
      <w:r>
        <w:t xml:space="preserve"> (блок с подписью </w:t>
      </w:r>
      <w:r>
        <w:rPr>
          <w:i/>
          <w:iCs/>
        </w:rPr>
        <w:t>W_1(s)</w:t>
      </w:r>
      <w:r>
        <w:t xml:space="preserve">) и установите “оптимальное” значение коэффициента </w:t>
      </w:r>
      <w:r>
        <w:rPr>
          <w:i/>
          <w:iCs/>
        </w:rPr>
        <w:t>k1</w:t>
      </w:r>
      <w:r>
        <w:t xml:space="preserve"> = </w:t>
      </w:r>
      <w:r>
        <w:rPr>
          <w:b/>
          <w:bCs/>
        </w:rPr>
        <w:t>0.35</w:t>
      </w:r>
      <w:r>
        <w:t>.</w:t>
      </w:r>
    </w:p>
    <w:p w:rsidR="00E127B9" w:rsidRPr="00DD73EF" w:rsidRDefault="00E127B9" w:rsidP="00E127B9">
      <w:pPr>
        <w:pStyle w:val="Textbody"/>
        <w:jc w:val="left"/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>зи, как это показано на рис. 2.4</w:t>
      </w:r>
      <w:r w:rsidRPr="00DD73EF">
        <w:rPr>
          <w:szCs w:val="28"/>
        </w:rPr>
        <w:t>.</w:t>
      </w:r>
    </w:p>
    <w:p w:rsidR="00632536" w:rsidRDefault="00C03E22" w:rsidP="00F5497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8830907" cy="36009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090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F54975" w:rsidRDefault="00F54975" w:rsidP="00F54975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2.4 – Структурная схема САР </w:t>
      </w:r>
      <w:r>
        <w:rPr>
          <w:szCs w:val="28"/>
          <w:shd w:val="clear" w:color="auto" w:fill="FFFFFF"/>
          <w:lang w:val="en-US"/>
        </w:rPr>
        <w:t>c</w:t>
      </w:r>
      <w:r w:rsidRPr="00F5497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блоком для построения годографов Попова и Найквиста</w:t>
      </w:r>
    </w:p>
    <w:p w:rsidR="00632536" w:rsidRDefault="00632536">
      <w:pPr>
        <w:pStyle w:val="Textbody"/>
        <w:rPr>
          <w:iCs/>
          <w:highlight w:val="yellow"/>
        </w:rPr>
      </w:pPr>
    </w:p>
    <w:p w:rsidR="00F54975" w:rsidRDefault="00F54975" w:rsidP="00F54975">
      <w:pPr>
        <w:pStyle w:val="2"/>
        <w:rPr>
          <w:rFonts w:ascii="Cambria" w:hAnsi="Cambria"/>
        </w:rPr>
      </w:pPr>
      <w:bookmarkStart w:id="13" w:name="_Toc417534716"/>
      <w:r>
        <w:rPr>
          <w:rFonts w:ascii="Cambria" w:hAnsi="Cambria"/>
        </w:rPr>
        <w:t>2.3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Формулировка заданий к анализу устойчивости нелинейной САР</w:t>
      </w:r>
      <w:bookmarkEnd w:id="13"/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rFonts w:ascii="Cambria" w:hAnsi="Cambria"/>
          <w:sz w:val="28"/>
          <w:szCs w:val="28"/>
        </w:rPr>
      </w:pPr>
      <w:r w:rsidRPr="00F54975">
        <w:rPr>
          <w:rFonts w:ascii="Cambria" w:hAnsi="Cambria"/>
          <w:sz w:val="28"/>
          <w:szCs w:val="28"/>
        </w:rPr>
        <w:t xml:space="preserve">Используя критерий абсолютной устойчивости В.М. Попова, определить </w:t>
      </w:r>
      <w:r w:rsidRPr="00A85FAB">
        <w:rPr>
          <w:rFonts w:ascii="Cambria" w:hAnsi="Cambria"/>
          <w:i/>
          <w:sz w:val="28"/>
          <w:szCs w:val="28"/>
        </w:rPr>
        <w:t>скоростную эффективность</w:t>
      </w:r>
      <w:r w:rsidRPr="00F54975">
        <w:rPr>
          <w:rFonts w:ascii="Cambria" w:hAnsi="Cambria"/>
          <w:sz w:val="28"/>
          <w:szCs w:val="28"/>
        </w:rPr>
        <w:t xml:space="preserve"> интегрирующего регулятора (блок с подписью W_1(s)), при которой созданная нелинейная САР (см. рис. 2.4) будет абсолютно устойчивой.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rFonts w:ascii="Cambria" w:hAnsi="Cambria"/>
          <w:sz w:val="28"/>
          <w:szCs w:val="28"/>
        </w:rPr>
      </w:pPr>
      <w:r w:rsidRPr="00F54975">
        <w:rPr>
          <w:rFonts w:ascii="Cambria" w:hAnsi="Cambria"/>
          <w:sz w:val="28"/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F54975" w:rsidRPr="00F54975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rFonts w:ascii="Cambria" w:hAnsi="Cambria"/>
          <w:sz w:val="28"/>
          <w:szCs w:val="28"/>
        </w:rPr>
      </w:pPr>
      <w:r w:rsidRPr="00F54975">
        <w:rPr>
          <w:rFonts w:ascii="Cambria" w:hAnsi="Cambria"/>
          <w:sz w:val="28"/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F54975">
        <w:rPr>
          <w:rFonts w:ascii="Cambria" w:hAnsi="Cambria"/>
          <w:b/>
          <w:sz w:val="28"/>
          <w:szCs w:val="28"/>
        </w:rPr>
        <w:t>0.8*1(t)</w:t>
      </w:r>
      <w:r w:rsidRPr="00F54975">
        <w:rPr>
          <w:rFonts w:ascii="Cambria" w:hAnsi="Cambria"/>
          <w:sz w:val="28"/>
          <w:szCs w:val="28"/>
        </w:rPr>
        <w:t xml:space="preserve">. </w:t>
      </w:r>
    </w:p>
    <w:p w:rsidR="00DC5405" w:rsidRPr="00DC5405" w:rsidRDefault="00DC5405" w:rsidP="00DC5405">
      <w:pPr>
        <w:pStyle w:val="2"/>
        <w:rPr>
          <w:rFonts w:ascii="Cambria" w:hAnsi="Cambria"/>
        </w:rPr>
      </w:pPr>
      <w:bookmarkStart w:id="14" w:name="_Toc417534717"/>
      <w:r>
        <w:rPr>
          <w:rFonts w:ascii="Cambria" w:hAnsi="Cambria"/>
        </w:rPr>
        <w:t>2.4</w:t>
      </w:r>
      <w:r w:rsidRPr="00E04271"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А</w:t>
      </w:r>
      <w:proofErr w:type="gramEnd"/>
      <w:r>
        <w:rPr>
          <w:rFonts w:ascii="Cambria" w:hAnsi="Cambria"/>
        </w:rPr>
        <w:t xml:space="preserve"> можно ли использовать критерий В.М. Попова</w:t>
      </w:r>
      <w:r w:rsidRPr="00DC5405">
        <w:rPr>
          <w:rFonts w:ascii="Cambria" w:hAnsi="Cambria"/>
        </w:rPr>
        <w:t>?</w:t>
      </w:r>
      <w:bookmarkEnd w:id="14"/>
    </w:p>
    <w:p w:rsidR="00DC5405" w:rsidRDefault="00DC5405" w:rsidP="00DC5405">
      <w:pPr>
        <w:pStyle w:val="Textbody"/>
      </w:pPr>
      <w:r>
        <w:t xml:space="preserve">Проверим, удовлетворяет ли </w:t>
      </w:r>
      <w:r>
        <w:rPr>
          <w:i/>
          <w:iCs/>
        </w:rPr>
        <w:t>нелинейная</w:t>
      </w:r>
      <w:r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Default="00DC5405" w:rsidP="00DC5405">
      <w:pPr>
        <w:pStyle w:val="Textbody"/>
      </w:pPr>
      <w:r>
        <w:t xml:space="preserve">Для </w:t>
      </w:r>
      <w:r>
        <w:rPr>
          <w:i/>
          <w:iCs/>
        </w:rPr>
        <w:t xml:space="preserve">нелинейной </w:t>
      </w:r>
      <w:r>
        <w:t>части системы: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proofErr w:type="spellStart"/>
      <w:r>
        <w:rPr>
          <w:i/>
          <w:iCs/>
        </w:rPr>
        <w:t>безинерционным</w:t>
      </w:r>
      <w:proofErr w:type="spellEnd"/>
      <w:r>
        <w:rPr>
          <w:i/>
          <w:iCs/>
        </w:rPr>
        <w:t xml:space="preserve"> </w:t>
      </w:r>
      <w:r>
        <w:t>(см. справку по данному блоку)</w:t>
      </w:r>
      <w:r>
        <w:rPr>
          <w:i/>
          <w:iCs/>
        </w:rPr>
        <w:t>.</w:t>
      </w:r>
    </w:p>
    <w:p w:rsidR="00DC5405" w:rsidRDefault="00DC5405" w:rsidP="00DC5405">
      <w:pPr>
        <w:pStyle w:val="Textbody"/>
      </w:pPr>
      <w:r>
        <w:t xml:space="preserve">Статическая характеристика нелинейной части (нелинейного звена с введенными Вами его параметрами) не имеет гистерезиса, т.е. является </w:t>
      </w:r>
      <w:proofErr w:type="gramStart"/>
      <w:r>
        <w:rPr>
          <w:i/>
          <w:iCs/>
        </w:rPr>
        <w:t>однозначной</w:t>
      </w:r>
      <w:proofErr w:type="gramEnd"/>
      <w:r>
        <w:rPr>
          <w:i/>
          <w:iCs/>
        </w:rPr>
        <w:t xml:space="preserve"> </w:t>
      </w:r>
      <w:r>
        <w:t xml:space="preserve">и ее статическая характеристика </w:t>
      </w:r>
      <w:r>
        <w:rPr>
          <w:i/>
          <w:iCs/>
        </w:rPr>
        <w:t xml:space="preserve">вписывается в Гурвицев угол </w:t>
      </w:r>
      <w:r>
        <w:t>[</w:t>
      </w:r>
      <w:r>
        <w:rPr>
          <w:b/>
          <w:bCs/>
        </w:rPr>
        <w:t>0; 50</w:t>
      </w:r>
      <w:r>
        <w:t xml:space="preserve">] (т.к. 1/ 0.02 = 50 = </w:t>
      </w:r>
      <w:r>
        <w:rPr>
          <w:b/>
          <w:bCs/>
        </w:rPr>
        <w:t>К</w:t>
      </w:r>
      <w:r>
        <w:t>).</w:t>
      </w:r>
    </w:p>
    <w:p w:rsidR="00DC5405" w:rsidRDefault="00DC5405" w:rsidP="00DC5405">
      <w:pPr>
        <w:pStyle w:val="Textbody"/>
      </w:pPr>
      <w:r>
        <w:t>Для линейной части системы:</w:t>
      </w:r>
    </w:p>
    <w:p w:rsidR="00DC5405" w:rsidRDefault="00DC5405" w:rsidP="00DC5405">
      <w:pPr>
        <w:pStyle w:val="Textbody"/>
      </w:pPr>
      <w:r>
        <w:t xml:space="preserve">Линейная часть САР, расположенная между точками подключения переменных </w:t>
      </w:r>
      <w:r>
        <w:rPr>
          <w:b/>
          <w:bCs/>
        </w:rPr>
        <w:t>Вход_2</w:t>
      </w:r>
      <w:r>
        <w:t xml:space="preserve"> и </w:t>
      </w:r>
      <w:r>
        <w:rPr>
          <w:b/>
          <w:bCs/>
        </w:rPr>
        <w:t>Выход</w:t>
      </w:r>
      <w:r>
        <w:t xml:space="preserve">, соответствует варианту </w:t>
      </w:r>
      <w:r>
        <w:rPr>
          <w:i/>
          <w:iCs/>
        </w:rPr>
        <w:t>особого случая</w:t>
      </w:r>
      <w:r>
        <w:t xml:space="preserve">, так как она имеет </w:t>
      </w:r>
      <w:r>
        <w:rPr>
          <w:i/>
          <w:iCs/>
        </w:rPr>
        <w:t>один нулевой</w:t>
      </w:r>
      <w:r>
        <w:t xml:space="preserve"> полюс (за счет блока </w:t>
      </w:r>
      <w:r w:rsidRPr="00DC5405">
        <w:rPr>
          <w:b/>
          <w:i/>
          <w:iCs/>
        </w:rPr>
        <w:t>Интегратор</w:t>
      </w:r>
      <w:r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Default="00DC5405" w:rsidP="00DC5405">
      <w:pPr>
        <w:pStyle w:val="Textbody"/>
        <w:rPr>
          <w:i/>
          <w:iCs/>
        </w:rPr>
      </w:pPr>
      <w:r>
        <w:t xml:space="preserve">Для линейной части с введенным Вами значением </w:t>
      </w:r>
      <w:r>
        <w:rPr>
          <w:i/>
          <w:iCs/>
        </w:rPr>
        <w:t>скоростной эффективности</w:t>
      </w:r>
      <w:r>
        <w:t xml:space="preserve"> привода (</w:t>
      </w:r>
      <w:r>
        <w:rPr>
          <w:i/>
          <w:iCs/>
        </w:rPr>
        <w:t>k1</w:t>
      </w:r>
      <w:r>
        <w:rPr>
          <w:vertAlign w:val="subscript"/>
        </w:rPr>
        <w:t xml:space="preserve"> </w:t>
      </w:r>
      <w:r>
        <w:t xml:space="preserve">= </w:t>
      </w:r>
      <w:r>
        <w:rPr>
          <w:b/>
          <w:bCs/>
        </w:rPr>
        <w:t>0.35</w:t>
      </w:r>
      <w:r>
        <w:t xml:space="preserve">) </w:t>
      </w:r>
      <w:r>
        <w:rPr>
          <w:i/>
          <w:iCs/>
        </w:rPr>
        <w:t>существует предельная устойчивость</w:t>
      </w:r>
      <w:r>
        <w:t xml:space="preserve">, т.е. при замыкании линейной части </w:t>
      </w:r>
      <w:r>
        <w:rPr>
          <w:i/>
          <w:iCs/>
        </w:rPr>
        <w:t>отрицательной</w:t>
      </w:r>
      <w:r>
        <w:t xml:space="preserve"> жесткой обратной связью с </w:t>
      </w:r>
      <w:r>
        <w:rPr>
          <w:i/>
          <w:iCs/>
        </w:rPr>
        <w:t>бесконечно малым</w:t>
      </w:r>
      <w:r>
        <w:t xml:space="preserve"> коэффициентом усиления САР </w:t>
      </w:r>
      <w:r>
        <w:rPr>
          <w:i/>
          <w:iCs/>
        </w:rPr>
        <w:t>несомненно будет устойчивой.</w:t>
      </w:r>
    </w:p>
    <w:p w:rsidR="00DC5405" w:rsidRDefault="00DC5405" w:rsidP="00DC5405">
      <w:pPr>
        <w:pStyle w:val="Textbody"/>
      </w:pPr>
      <w:r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>
        <w:rPr>
          <w:i/>
          <w:iCs/>
        </w:rPr>
        <w:t>скорректированной</w:t>
      </w:r>
      <w:r>
        <w:t xml:space="preserve"> линейной части </w:t>
      </w:r>
      <w:r>
        <w:rPr>
          <w:i/>
          <w:iCs/>
        </w:rPr>
        <w:t>даже единичной обратной связью</w:t>
      </w:r>
      <w:r>
        <w:t xml:space="preserve"> САР является устойчивой. Поэтому при </w:t>
      </w:r>
      <w:r>
        <w:rPr>
          <w:i/>
          <w:iCs/>
        </w:rPr>
        <w:t>меньшем</w:t>
      </w:r>
      <w:r>
        <w:t xml:space="preserve"> коэффициенте усиления в цепи </w:t>
      </w:r>
      <w:r w:rsidRPr="00834F57">
        <w:rPr>
          <w:b/>
          <w:i/>
          <w:iCs/>
        </w:rPr>
        <w:t>Главной обратной связи</w:t>
      </w:r>
      <w:r>
        <w:t xml:space="preserve"> скорректированная линейная САР в замкнутом состоянии тем более будет устойчивой.</w:t>
      </w:r>
    </w:p>
    <w:p w:rsidR="00A136A4" w:rsidRPr="00DC5405" w:rsidRDefault="00EE313B" w:rsidP="00A136A4">
      <w:pPr>
        <w:pStyle w:val="2"/>
        <w:rPr>
          <w:rFonts w:ascii="Cambria" w:hAnsi="Cambria"/>
        </w:rPr>
      </w:pPr>
      <w:bookmarkStart w:id="15" w:name="_Toc417534718"/>
      <w:r>
        <w:rPr>
          <w:rFonts w:ascii="Cambria" w:hAnsi="Cambria"/>
        </w:rPr>
        <w:t>2.5</w:t>
      </w:r>
      <w:r w:rsidR="00A136A4" w:rsidRPr="00E04271">
        <w:rPr>
          <w:rFonts w:ascii="Cambria" w:hAnsi="Cambria"/>
        </w:rPr>
        <w:t xml:space="preserve"> </w:t>
      </w:r>
      <w:r w:rsidR="00A136A4">
        <w:rPr>
          <w:rFonts w:ascii="Cambria" w:hAnsi="Cambria"/>
        </w:rPr>
        <w:t>Анализ устойчивости с использованием критерия В.М. Попова</w:t>
      </w:r>
      <w:bookmarkEnd w:id="15"/>
    </w:p>
    <w:p w:rsidR="00834F57" w:rsidRDefault="00EC110C" w:rsidP="00DC5405">
      <w:pPr>
        <w:pStyle w:val="Textbody"/>
      </w:pPr>
      <w:r>
        <w:t xml:space="preserve">Приведите созданную Вами нелинейную САР к </w:t>
      </w:r>
      <w:r>
        <w:rPr>
          <w:i/>
          <w:iCs/>
        </w:rPr>
        <w:t>автономной.</w:t>
      </w:r>
      <w:r>
        <w:t xml:space="preserve"> Для этого установите </w:t>
      </w:r>
      <w:r>
        <w:rPr>
          <w:b/>
          <w:bCs/>
        </w:rPr>
        <w:t xml:space="preserve">нулевую </w:t>
      </w:r>
      <w:r>
        <w:t xml:space="preserve">высоту “ступеньки” в диалоговом окне блока </w:t>
      </w:r>
      <w:r>
        <w:rPr>
          <w:i/>
          <w:iCs/>
        </w:rPr>
        <w:t>Управляющее воздействие</w:t>
      </w:r>
      <w:r>
        <w:t>.</w:t>
      </w:r>
    </w:p>
    <w:p w:rsidR="00EC110C" w:rsidRDefault="00EC110C" w:rsidP="00DC5405">
      <w:pPr>
        <w:pStyle w:val="Textbody"/>
      </w:pPr>
      <w:r>
        <w:t xml:space="preserve">Разомкните цепь </w:t>
      </w:r>
      <w:r>
        <w:rPr>
          <w:i/>
          <w:iCs/>
        </w:rPr>
        <w:t>Главной обратной связи</w:t>
      </w:r>
      <w:r>
        <w:t xml:space="preserve">, установив в диалоговом окне </w:t>
      </w:r>
      <w:r>
        <w:rPr>
          <w:i/>
          <w:iCs/>
        </w:rPr>
        <w:t>Главного сравнивающего устройства</w:t>
      </w:r>
      <w:r>
        <w:rPr>
          <w:b/>
          <w:bCs/>
        </w:rPr>
        <w:t xml:space="preserve"> нулевое </w:t>
      </w:r>
      <w:r>
        <w:t>значение 2-го весового коэффициента.</w:t>
      </w:r>
    </w:p>
    <w:p w:rsidR="00DC5405" w:rsidRPr="00DC5405" w:rsidRDefault="00D638A6" w:rsidP="00DC5405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Старт</w:t>
      </w:r>
      <w:r>
        <w:t xml:space="preserve"> (структурная схема </w:t>
      </w:r>
      <w:r>
        <w:rPr>
          <w:i/>
          <w:iCs/>
        </w:rPr>
        <w:t>разомкнутой</w:t>
      </w:r>
      <w:r>
        <w:t xml:space="preserve"> нелинейной САР инициализировалась) и затем по кнопке </w:t>
      </w:r>
      <w:r>
        <w:rPr>
          <w:b/>
          <w:bCs/>
        </w:rPr>
        <w:t>Стоп</w:t>
      </w:r>
      <w:r>
        <w:t xml:space="preserve"> (расчет прерван).</w:t>
      </w:r>
    </w:p>
    <w:p w:rsidR="001759D4" w:rsidRPr="00DD73EF" w:rsidRDefault="001759D4" w:rsidP="001759D4">
      <w:pPr>
        <w:pStyle w:val="Textbody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>
        <w:rPr>
          <w:szCs w:val="28"/>
          <w:shd w:val="clear" w:color="auto" w:fill="FFFFFF"/>
        </w:rPr>
        <w:t>Годограф Попова,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2.5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F54975" w:rsidRDefault="00A47FF1" w:rsidP="00A47FF1">
      <w:pPr>
        <w:pStyle w:val="Textbody"/>
        <w:jc w:val="center"/>
      </w:pPr>
      <w:r>
        <w:rPr>
          <w:noProof/>
        </w:rPr>
        <w:drawing>
          <wp:inline distT="0" distB="0" distL="0" distR="0">
            <wp:extent cx="4286992" cy="2327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.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7" r="32436" b="36527"/>
                    <a:stretch/>
                  </pic:blipFill>
                  <pic:spPr bwMode="auto">
                    <a:xfrm>
                      <a:off x="0" y="0"/>
                      <a:ext cx="4288524" cy="232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</w:rPr>
      </w:pPr>
      <w:r>
        <w:rPr>
          <w:szCs w:val="28"/>
          <w:shd w:val="clear" w:color="auto" w:fill="FFFFFF"/>
        </w:rPr>
        <w:t>Рисунок 2.5</w:t>
      </w:r>
      <w:r w:rsidRPr="00DD73EF">
        <w:rPr>
          <w:szCs w:val="28"/>
          <w:shd w:val="clear" w:color="auto" w:fill="FFFFFF"/>
        </w:rPr>
        <w:t xml:space="preserve"> — Свойства объекта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47FF1" w:rsidRDefault="00A47FF1" w:rsidP="00A47FF1">
      <w:pPr>
        <w:pStyle w:val="Textbody"/>
        <w:jc w:val="center"/>
      </w:pPr>
    </w:p>
    <w:p w:rsidR="00A47FF1" w:rsidRDefault="00A47FF1" w:rsidP="00A47FF1">
      <w:pPr>
        <w:pStyle w:val="Textbody"/>
        <w:ind w:firstLine="700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В открывшемся меню выберите опцию —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>Свойства</w:t>
      </w:r>
      <w:r w:rsidRPr="00DD73EF">
        <w:rPr>
          <w:i/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>. Введите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  <w:shd w:val="clear" w:color="auto" w:fill="FFFFFF"/>
        </w:rPr>
        <w:t>п</w:t>
      </w:r>
      <w:r>
        <w:rPr>
          <w:szCs w:val="28"/>
          <w:shd w:val="clear" w:color="auto" w:fill="FFFFFF"/>
        </w:rPr>
        <w:t>араметры такие же, как на рис. 2.6</w:t>
      </w:r>
      <w:r w:rsidRPr="00DD73EF">
        <w:rPr>
          <w:szCs w:val="28"/>
          <w:shd w:val="clear" w:color="auto" w:fill="FFFFFF"/>
        </w:rPr>
        <w:t>.</w:t>
      </w:r>
    </w:p>
    <w:p w:rsidR="00A47FF1" w:rsidRPr="00DD73EF" w:rsidRDefault="00A47FF1" w:rsidP="00A47FF1">
      <w:pPr>
        <w:pStyle w:val="Textbody"/>
        <w:ind w:firstLine="7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162550" cy="2149434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.6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61"/>
                    <a:stretch/>
                  </pic:blipFill>
                  <pic:spPr bwMode="auto">
                    <a:xfrm>
                      <a:off x="0" y="0"/>
                      <a:ext cx="5163271" cy="2149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F1" w:rsidRPr="00DD73EF" w:rsidRDefault="00A47FF1" w:rsidP="00A47FF1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2.6</w:t>
      </w:r>
      <w:r w:rsidRPr="00DD73EF">
        <w:rPr>
          <w:szCs w:val="28"/>
          <w:shd w:val="clear" w:color="auto" w:fill="FFFFFF"/>
        </w:rPr>
        <w:t xml:space="preserve"> — Параметры блока </w:t>
      </w:r>
      <w:r w:rsidRPr="00DD73EF">
        <w:rPr>
          <w:b/>
          <w:bCs/>
          <w:i/>
          <w:iCs/>
          <w:szCs w:val="28"/>
          <w:shd w:val="clear" w:color="auto" w:fill="FFFFFF"/>
        </w:rPr>
        <w:t>Построение частотных характеристик</w:t>
      </w:r>
    </w:p>
    <w:p w:rsidR="00A3728D" w:rsidRPr="00A3728D" w:rsidRDefault="00A3728D" w:rsidP="00A3728D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sz w:val="28"/>
          <w:szCs w:val="28"/>
          <w:shd w:val="clear" w:color="auto" w:fill="FFFFFF"/>
        </w:rPr>
      </w:pPr>
      <w:r w:rsidRPr="00A3728D">
        <w:rPr>
          <w:rFonts w:ascii="Cambria" w:hAnsi="Cambria"/>
          <w:sz w:val="28"/>
          <w:szCs w:val="28"/>
          <w:shd w:val="clear" w:color="auto" w:fill="FFFFFF"/>
        </w:rPr>
        <w:t>Переместите курсор на кнопку Расчет и выполните щелчок левой клавишей “мыши”: в поле Графического окна начнется отображение результатов расчета и заголовок окна изменится на новый – Годограф Попова, Годограф Найквиста. Вид линий годографов в поле Графического окна буд</w:t>
      </w:r>
      <w:r>
        <w:rPr>
          <w:rFonts w:ascii="Cambria" w:hAnsi="Cambria"/>
          <w:sz w:val="28"/>
          <w:szCs w:val="28"/>
          <w:shd w:val="clear" w:color="auto" w:fill="FFFFFF"/>
        </w:rPr>
        <w:t>ет подобным графикам на рис. 2.7</w:t>
      </w:r>
      <w:r w:rsidRPr="00A3728D">
        <w:rPr>
          <w:rFonts w:ascii="Cambria" w:hAnsi="Cambria"/>
          <w:sz w:val="28"/>
          <w:szCs w:val="28"/>
          <w:shd w:val="clear" w:color="auto" w:fill="FFFFFF"/>
        </w:rPr>
        <w:t xml:space="preserve"> ниже по тексту. </w:t>
      </w:r>
    </w:p>
    <w:p w:rsidR="009974B9" w:rsidRDefault="00D8798F" w:rsidP="00A3728D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noProof/>
          <w:szCs w:val="28"/>
          <w:shd w:val="clear" w:color="auto" w:fill="FFFFFF"/>
        </w:rPr>
        <w:drawing>
          <wp:inline distT="0" distB="0" distL="0" distR="0">
            <wp:extent cx="5020376" cy="5077534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9974B9" w:rsidRDefault="00A3728D" w:rsidP="009974B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2.7</w:t>
      </w:r>
      <w:r w:rsidRPr="00DD73EF">
        <w:rPr>
          <w:szCs w:val="28"/>
          <w:shd w:val="clear" w:color="auto" w:fill="FFFFFF"/>
        </w:rPr>
        <w:t xml:space="preserve"> — </w:t>
      </w:r>
      <w:r w:rsidR="009974B9">
        <w:rPr>
          <w:szCs w:val="28"/>
          <w:shd w:val="clear" w:color="auto" w:fill="FFFFFF"/>
        </w:rPr>
        <w:t>Годографы Попова и Михайлова</w:t>
      </w:r>
    </w:p>
    <w:p w:rsidR="006B2481" w:rsidRDefault="00006E13">
      <w:pPr>
        <w:pStyle w:val="Textbody"/>
      </w:pPr>
      <w:r>
        <w:t xml:space="preserve">Используя опцию </w:t>
      </w:r>
      <w:r>
        <w:rPr>
          <w:i/>
          <w:iCs/>
        </w:rPr>
        <w:t>Свойства</w:t>
      </w:r>
      <w:r>
        <w:t xml:space="preserve"> меню </w:t>
      </w:r>
      <w:r>
        <w:rPr>
          <w:i/>
          <w:iCs/>
        </w:rPr>
        <w:t>Графического окна</w:t>
      </w:r>
      <w:r>
        <w:t xml:space="preserve"> измените в диалоговом окне </w:t>
      </w:r>
      <w:r>
        <w:rPr>
          <w:b/>
          <w:bCs/>
          <w:i/>
          <w:iCs/>
        </w:rPr>
        <w:t>Свойства</w:t>
      </w:r>
      <w:r w:rsidR="009974B9">
        <w:t xml:space="preserve"> параметры осей координат </w:t>
      </w:r>
      <w:r>
        <w:t xml:space="preserve">и тип линии годографа Найквиста (синяя сплошная на рис. 2.6) на </w:t>
      </w:r>
      <w:r>
        <w:rPr>
          <w:i/>
          <w:iCs/>
        </w:rPr>
        <w:t>пунктирный.</w:t>
      </w:r>
    </w:p>
    <w:p w:rsidR="00006E13" w:rsidRDefault="00006E13">
      <w:pPr>
        <w:pStyle w:val="Textbody"/>
        <w:rPr>
          <w:i/>
          <w:iCs/>
        </w:rPr>
      </w:pPr>
      <w:r>
        <w:t xml:space="preserve">Для изменения типа линии годографа Найквиста </w:t>
      </w:r>
      <w:r w:rsidR="006B2481">
        <w:t>п</w:t>
      </w:r>
      <w:r>
        <w:t xml:space="preserve">ереместите курсор на </w:t>
      </w:r>
      <w:r w:rsidR="006B2481">
        <w:t xml:space="preserve">список </w:t>
      </w:r>
      <w:r w:rsidR="006B2481" w:rsidRPr="006B2481">
        <w:rPr>
          <w:b/>
          <w:i/>
        </w:rPr>
        <w:t>Стиль линии</w:t>
      </w:r>
      <w:r w:rsidR="006B2481">
        <w:t>, расположенный</w:t>
      </w:r>
      <w:r>
        <w:t xml:space="preserve"> чуть ниже, выполните щелчок “мышью” и далее выберите новый тип линии – </w:t>
      </w:r>
      <w:r>
        <w:rPr>
          <w:i/>
          <w:iCs/>
        </w:rPr>
        <w:t>пунктирный.</w:t>
      </w:r>
    </w:p>
    <w:p w:rsidR="006B2481" w:rsidRDefault="006B2481">
      <w:pPr>
        <w:pStyle w:val="Textbody"/>
      </w:pPr>
      <w:r>
        <w:t xml:space="preserve">Измените параметры осей координат, как это выполнено в диалоговом окне </w:t>
      </w:r>
      <w:r w:rsidR="005A2DA9">
        <w:rPr>
          <w:b/>
          <w:bCs/>
          <w:i/>
          <w:iCs/>
        </w:rPr>
        <w:t xml:space="preserve">Свойства </w:t>
      </w:r>
      <w:r>
        <w:t>ниже по тексту на рис. 2.8.</w:t>
      </w:r>
    </w:p>
    <w:p w:rsidR="006B2481" w:rsidRDefault="006B2481" w:rsidP="006B2481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5496692" cy="680179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.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9" w:rsidRPr="009974B9" w:rsidRDefault="005A2DA9" w:rsidP="005A2DA9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2.8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Настройка Графического окна</w:t>
      </w:r>
    </w:p>
    <w:p w:rsidR="00F54975" w:rsidRDefault="005A2DA9">
      <w:pPr>
        <w:pStyle w:val="Textbody"/>
        <w:rPr>
          <w:iCs/>
          <w:highlight w:val="yellow"/>
        </w:rPr>
      </w:pPr>
      <w:r>
        <w:t xml:space="preserve">Переместите в диалоговом окне </w:t>
      </w:r>
      <w:r>
        <w:rPr>
          <w:b/>
          <w:bCs/>
          <w:i/>
          <w:iCs/>
        </w:rPr>
        <w:t>Свойства</w:t>
      </w:r>
      <w:r>
        <w:t xml:space="preserve"> курсор на </w:t>
      </w:r>
      <w:proofErr w:type="gramStart"/>
      <w:r>
        <w:t>кнопку</w:t>
      </w:r>
      <w:proofErr w:type="gramEnd"/>
      <w:r>
        <w:t xml:space="preserve"> </w:t>
      </w:r>
      <w:r>
        <w:rPr>
          <w:b/>
          <w:bCs/>
        </w:rPr>
        <w:t>Да</w:t>
      </w:r>
      <w:r>
        <w:t xml:space="preserve"> и выполните щелчок </w:t>
      </w:r>
      <w:r>
        <w:rPr>
          <w:i/>
          <w:iCs/>
        </w:rPr>
        <w:t>левой</w:t>
      </w:r>
      <w:r>
        <w:t xml:space="preserve"> клавишей “мыши”: преобразованное графическое окно с линиями годографа Попова (черная сплошная) и годографа Найквиста (синяя пунктирная) будут иметь вид, аналогичный рис. 2.9.</w:t>
      </w:r>
    </w:p>
    <w:p w:rsidR="00F54975" w:rsidRDefault="009F4FCB" w:rsidP="00A5331C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5020376" cy="507753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.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1C" w:rsidRPr="009974B9" w:rsidRDefault="00B418EE" w:rsidP="00A5331C">
      <w:pPr>
        <w:pStyle w:val="Textbody"/>
        <w:ind w:firstLine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2.9</w:t>
      </w:r>
      <w:r w:rsidR="00A5331C" w:rsidRPr="00DD73EF">
        <w:rPr>
          <w:szCs w:val="28"/>
          <w:shd w:val="clear" w:color="auto" w:fill="FFFFFF"/>
        </w:rPr>
        <w:t xml:space="preserve"> — </w:t>
      </w:r>
      <w:r w:rsidR="00A5331C">
        <w:rPr>
          <w:szCs w:val="28"/>
          <w:shd w:val="clear" w:color="auto" w:fill="FFFFFF"/>
        </w:rPr>
        <w:t>Годографы Попова и Михайлова</w:t>
      </w:r>
    </w:p>
    <w:p w:rsidR="00F54975" w:rsidRDefault="00B64939">
      <w:pPr>
        <w:pStyle w:val="Textbody"/>
        <w:rPr>
          <w:iCs/>
          <w:highlight w:val="yellow"/>
        </w:rPr>
      </w:pPr>
      <w:r>
        <w:t>Одновременное отображение графиков годографа Найквиста и видоизмененного годогр</w:t>
      </w:r>
      <w:r w:rsidR="00B418EE">
        <w:t>афа Попова (см. рис. 2.7</w:t>
      </w:r>
      <w:r>
        <w:t xml:space="preserve"> и рис. 2.9) показывает, что при одном и том же значении частоты </w:t>
      </w:r>
      <w:r>
        <w:rPr>
          <w:i/>
          <w:iCs/>
        </w:rPr>
        <w:t>вещественные части</w:t>
      </w:r>
      <w:r>
        <w:t xml:space="preserve"> у обоих годографов </w:t>
      </w:r>
      <w:r>
        <w:rPr>
          <w:i/>
          <w:iCs/>
        </w:rPr>
        <w:t>одинаковые.</w:t>
      </w:r>
      <w:r>
        <w:t xml:space="preserve"> Поэтому </w:t>
      </w:r>
      <w:r>
        <w:rPr>
          <w:i/>
          <w:iCs/>
        </w:rPr>
        <w:t>точки пересечения</w:t>
      </w:r>
      <w:r>
        <w:t xml:space="preserve"> линий этих годографов с осью абсцисс </w:t>
      </w:r>
      <w:r>
        <w:rPr>
          <w:i/>
          <w:iCs/>
        </w:rPr>
        <w:t>совпадают.</w:t>
      </w:r>
      <w:r>
        <w:t xml:space="preserve"> Это позволяет во многих случаях использовать для анализа устойчивости нелинейных САР </w:t>
      </w:r>
      <w:r>
        <w:rPr>
          <w:i/>
          <w:iCs/>
        </w:rPr>
        <w:t>не видоизмененный</w:t>
      </w:r>
      <w:r>
        <w:t xml:space="preserve"> годограф, а </w:t>
      </w:r>
      <w:r>
        <w:rPr>
          <w:i/>
          <w:iCs/>
        </w:rPr>
        <w:t xml:space="preserve">годограф Найквиста. </w:t>
      </w:r>
    </w:p>
    <w:p w:rsidR="00632536" w:rsidRPr="009B335F" w:rsidRDefault="009B335F">
      <w:pPr>
        <w:pStyle w:val="Textbody"/>
        <w:rPr>
          <w:iCs/>
          <w:highlight w:val="yellow"/>
        </w:rPr>
      </w:pPr>
      <w:r w:rsidRPr="009B335F">
        <w:t xml:space="preserve">При частоте стремящейся к нулю годограф Попова стремится в точку с </w:t>
      </w:r>
      <w:proofErr w:type="gramStart"/>
      <w:r w:rsidRPr="009B335F">
        <w:t>координатами</w:t>
      </w:r>
      <w:r w:rsidRPr="009B335F">
        <w:rPr>
          <w:iCs/>
        </w:rPr>
        <w:t>(</w:t>
      </w:r>
      <w:proofErr w:type="gramEnd"/>
      <w:r w:rsidRPr="009B335F">
        <w:rPr>
          <w:iCs/>
        </w:rPr>
        <w:t>b</w:t>
      </w:r>
      <w:r w:rsidRPr="009B335F">
        <w:rPr>
          <w:iCs/>
          <w:vertAlign w:val="subscript"/>
        </w:rPr>
        <w:t>1</w:t>
      </w:r>
      <w:r w:rsidR="006424B9">
        <w:rPr>
          <w:iCs/>
          <w:vertAlign w:val="subscript"/>
        </w:rPr>
        <w:t xml:space="preserve"> </w:t>
      </w:r>
      <w:r w:rsidR="006424B9">
        <w:rPr>
          <w:iCs/>
        </w:rPr>
        <w:t>,</w:t>
      </w:r>
      <w:r w:rsidRPr="009B335F">
        <w:rPr>
          <w:iCs/>
          <w:vertAlign w:val="subscript"/>
        </w:rPr>
        <w:t xml:space="preserve"> </w:t>
      </w:r>
      <w:r>
        <w:rPr>
          <w:iCs/>
        </w:rPr>
        <w:t>– а</w:t>
      </w:r>
      <w:r w:rsidRPr="009B335F">
        <w:rPr>
          <w:iCs/>
          <w:vertAlign w:val="subscript"/>
        </w:rPr>
        <w:t xml:space="preserve">1 </w:t>
      </w:r>
      <w:r>
        <w:rPr>
          <w:rFonts w:ascii="Symbol" w:hAnsi="Symbol"/>
          <w:iCs/>
          <w:vertAlign w:val="subscript"/>
        </w:rPr>
        <w:t>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 , -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>0</w:t>
      </w:r>
      <w:r w:rsidRPr="009B335F">
        <w:t xml:space="preserve">), где коэффициенты </w:t>
      </w:r>
      <w:r w:rsidRPr="009B335F">
        <w:rPr>
          <w:iCs/>
        </w:rPr>
        <w:t>a</w:t>
      </w:r>
      <w:r w:rsidRPr="009B335F">
        <w:rPr>
          <w:iCs/>
          <w:vertAlign w:val="subscript"/>
        </w:rPr>
        <w:t xml:space="preserve">1 </w:t>
      </w:r>
      <w:r w:rsidRPr="009B335F">
        <w:t>,</w:t>
      </w:r>
      <w:r w:rsidRPr="009B335F">
        <w:rPr>
          <w:iCs/>
          <w:vertAlign w:val="subscript"/>
        </w:rPr>
        <w:t xml:space="preserve">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0 </w:t>
      </w:r>
      <w:r w:rsidRPr="009B335F">
        <w:t xml:space="preserve">и </w:t>
      </w:r>
      <w:r w:rsidRPr="009B335F">
        <w:rPr>
          <w:iCs/>
        </w:rPr>
        <w:t>b</w:t>
      </w:r>
      <w:r w:rsidRPr="009B335F">
        <w:rPr>
          <w:iCs/>
          <w:vertAlign w:val="subscript"/>
        </w:rPr>
        <w:t xml:space="preserve">1 </w:t>
      </w:r>
      <w:r w:rsidRPr="009B335F">
        <w:t>- коэффициенты передаточной функции линейной части САР, определяемой выражением</w:t>
      </w:r>
    </w:p>
    <w:p w:rsidR="00632536" w:rsidRDefault="00A336C5" w:rsidP="006424B9">
      <w:pPr>
        <w:pStyle w:val="Textbody"/>
        <w:jc w:val="center"/>
        <w:rPr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s∙(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∙s+1)</m:t>
              </m:r>
            </m:den>
          </m:f>
        </m:oMath>
      </m:oMathPara>
    </w:p>
    <w:p w:rsidR="006424B9" w:rsidRDefault="00B9043E">
      <w:pPr>
        <w:pStyle w:val="Textbody"/>
      </w:pPr>
      <w:r>
        <w:t xml:space="preserve">Выясним, можно ли провести через точку с координатами (-1/K, 0), где </w:t>
      </w:r>
      <w:proofErr w:type="gramStart"/>
      <w:r>
        <w:t>К</w:t>
      </w:r>
      <w:proofErr w:type="gramEnd"/>
      <w:r>
        <w:t xml:space="preserve"> = 50 – верхняя граница </w:t>
      </w:r>
      <w:proofErr w:type="spellStart"/>
      <w:r>
        <w:t>Гурвицева</w:t>
      </w:r>
      <w:proofErr w:type="spellEnd"/>
      <w:r>
        <w:t xml:space="preserve"> угла, прямую так, чтобы годограф Попова лежал строго справа от этой прямой.</w:t>
      </w:r>
    </w:p>
    <w:p w:rsidR="00B9043E" w:rsidRDefault="00B9043E">
      <w:pPr>
        <w:pStyle w:val="Textbody"/>
        <w:rPr>
          <w:iCs/>
          <w:highlight w:val="yellow"/>
        </w:rPr>
      </w:pPr>
      <w:r>
        <w:t xml:space="preserve">Из рис. 2.9 видно, что точка с абсциссой </w:t>
      </w:r>
      <w:r>
        <w:rPr>
          <w:b/>
          <w:bCs/>
        </w:rPr>
        <w:t>–0.02</w:t>
      </w:r>
      <w:r>
        <w:t xml:space="preserve"> лежит </w:t>
      </w:r>
      <w:r>
        <w:rPr>
          <w:i/>
          <w:iCs/>
        </w:rPr>
        <w:t xml:space="preserve">внутри </w:t>
      </w:r>
      <w:r>
        <w:t xml:space="preserve">годографа Попова и любая прямая, проведенная через эту точку, </w:t>
      </w:r>
      <w:r>
        <w:rPr>
          <w:b/>
          <w:bCs/>
          <w:i/>
          <w:iCs/>
        </w:rPr>
        <w:t xml:space="preserve">пересечет </w:t>
      </w:r>
      <w:r>
        <w:t>линию годографа Попова.</w:t>
      </w:r>
    </w:p>
    <w:p w:rsidR="006424B9" w:rsidRDefault="00B9043E">
      <w:pPr>
        <w:pStyle w:val="Textbody"/>
      </w:pPr>
      <w:r>
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</w:r>
      <w:r>
        <w:rPr>
          <w:b/>
          <w:bCs/>
        </w:rPr>
        <w:t>не будет абсолютно устойчивой</w:t>
      </w:r>
      <w:r>
        <w:t>.</w:t>
      </w:r>
    </w:p>
    <w:p w:rsidR="00B9043E" w:rsidRPr="00B9043E" w:rsidRDefault="00B9043E">
      <w:pPr>
        <w:pStyle w:val="Textbody"/>
      </w:pPr>
      <w:r>
        <w:t>Проверим это утверждение прямым моделированием</w:t>
      </w:r>
      <w:r w:rsidRPr="00B9043E">
        <w:t>.</w:t>
      </w:r>
    </w:p>
    <w:p w:rsidR="00B9043E" w:rsidRPr="00B9043E" w:rsidRDefault="00B9043E">
      <w:pPr>
        <w:pStyle w:val="Textbody"/>
        <w:rPr>
          <w:iCs/>
          <w:highlight w:val="yellow"/>
        </w:rPr>
      </w:pPr>
      <w:r>
        <w:t xml:space="preserve">Закройте блок </w:t>
      </w:r>
      <w:r>
        <w:rPr>
          <w:b/>
          <w:bCs/>
          <w:i/>
          <w:iCs/>
        </w:rPr>
        <w:t>Построение частотных характеристик</w:t>
      </w:r>
      <w:r>
        <w:t xml:space="preserve">. Замкните </w:t>
      </w:r>
      <w:r>
        <w:rPr>
          <w:i/>
          <w:iCs/>
        </w:rPr>
        <w:t>Главную обратную связь</w:t>
      </w:r>
      <w:r>
        <w:t xml:space="preserve"> и измените начальные условия в блоке с подписью </w:t>
      </w:r>
      <w:r>
        <w:rPr>
          <w:i/>
          <w:iCs/>
        </w:rPr>
        <w:t>W_2(s)</w:t>
      </w:r>
      <w:r>
        <w:t xml:space="preserve"> на новые: </w:t>
      </w:r>
      <w:r>
        <w:rPr>
          <w:b/>
          <w:bCs/>
        </w:rPr>
        <w:t>0.1</w:t>
      </w:r>
      <w:r>
        <w:t xml:space="preserve"> </w:t>
      </w:r>
      <w:r>
        <w:rPr>
          <w:b/>
          <w:bCs/>
        </w:rPr>
        <w:t>0</w:t>
      </w:r>
      <w:r>
        <w:t xml:space="preserve"> (через пробел).</w:t>
      </w:r>
    </w:p>
    <w:p w:rsidR="006424B9" w:rsidRDefault="00B9043E">
      <w:pPr>
        <w:pStyle w:val="Textbody"/>
        <w:rPr>
          <w:iCs/>
          <w:highlight w:val="yellow"/>
        </w:rPr>
      </w:pPr>
      <w:r>
        <w:t xml:space="preserve">Выполните щелчок по командной кнопке </w:t>
      </w:r>
      <w:r>
        <w:rPr>
          <w:b/>
          <w:bCs/>
          <w:lang w:val="en-US"/>
        </w:rPr>
        <w:t>Ok</w:t>
      </w:r>
      <w:r>
        <w:rPr>
          <w:b/>
          <w:bCs/>
        </w:rPr>
        <w:t xml:space="preserve">: </w:t>
      </w:r>
      <w:r>
        <w:t xml:space="preserve">в поле </w:t>
      </w:r>
      <w:r>
        <w:rPr>
          <w:i/>
          <w:iCs/>
        </w:rPr>
        <w:t>Графического окна</w:t>
      </w:r>
      <w:r>
        <w:t xml:space="preserve"> (блок с подписью </w:t>
      </w:r>
      <w:r>
        <w:rPr>
          <w:i/>
          <w:iCs/>
        </w:rPr>
        <w:t>График y(t)</w:t>
      </w:r>
      <w:r>
        <w:t>) будут отображены результаты расчета. Внешний вид переходного процесса будет подобным кривой на рис. 2.10.</w:t>
      </w:r>
    </w:p>
    <w:p w:rsidR="006424B9" w:rsidRDefault="0029280E" w:rsidP="00536EA5">
      <w:pPr>
        <w:pStyle w:val="Textbody"/>
        <w:jc w:val="center"/>
        <w:rPr>
          <w:iCs/>
          <w:highlight w:val="yellow"/>
        </w:rPr>
      </w:pPr>
      <w:r>
        <w:rPr>
          <w:iCs/>
          <w:noProof/>
        </w:rPr>
        <w:drawing>
          <wp:inline distT="0" distB="0" distL="0" distR="0">
            <wp:extent cx="4848902" cy="4534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536EA5" w:rsidRDefault="00536EA5" w:rsidP="00536EA5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</w:t>
      </w:r>
      <w:r w:rsidRPr="00536EA5">
        <w:rPr>
          <w:szCs w:val="28"/>
          <w:shd w:val="clear" w:color="auto" w:fill="FFFFFF"/>
        </w:rPr>
        <w:t>10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536EA5" w:rsidRDefault="00536EA5">
      <w:pPr>
        <w:pStyle w:val="Textbody"/>
      </w:pPr>
      <w:r>
        <w:t xml:space="preserve">Вид переходного процесса показывает, что в автономной замкнутой нелинейной САР при </w:t>
      </w:r>
      <w:r>
        <w:rPr>
          <w:i/>
          <w:iCs/>
        </w:rPr>
        <w:t xml:space="preserve">ненулевых </w:t>
      </w:r>
      <w:r>
        <w:t xml:space="preserve">начальных условиях устанавливается режим приблизительно гармонических автоколебаний, амплитуда которых примерно </w:t>
      </w:r>
      <w:r>
        <w:rPr>
          <w:u w:val="single"/>
        </w:rPr>
        <w:t>в 25 раз превышает</w:t>
      </w:r>
      <w:r>
        <w:t xml:space="preserve"> зону нечувствительности в блоке </w:t>
      </w:r>
      <w:r w:rsidRPr="00EB20C5">
        <w:rPr>
          <w:b/>
          <w:i/>
          <w:iCs/>
        </w:rPr>
        <w:t>Управляющее реле</w:t>
      </w:r>
      <w:r w:rsidR="00EB20C5">
        <w:rPr>
          <w:b/>
          <w:i/>
          <w:iCs/>
        </w:rPr>
        <w:t xml:space="preserve"> </w:t>
      </w:r>
      <w:proofErr w:type="gramStart"/>
      <w:r>
        <w:t>(</w:t>
      </w:r>
      <w:r>
        <w:rPr>
          <w:rFonts w:ascii="Symbol" w:hAnsi="Symbol"/>
        </w:rPr>
        <w:t></w:t>
      </w:r>
      <w:r>
        <w:t xml:space="preserve"> </w:t>
      </w:r>
      <w:r>
        <w:rPr>
          <w:b/>
          <w:bCs/>
        </w:rPr>
        <w:t>0.02</w:t>
      </w:r>
      <w:proofErr w:type="gramEnd"/>
      <w:r>
        <w:t>).</w:t>
      </w:r>
    </w:p>
    <w:p w:rsidR="00536EA5" w:rsidRDefault="00536EA5">
      <w:pPr>
        <w:pStyle w:val="Textbody"/>
        <w:rPr>
          <w:iCs/>
          <w:highlight w:val="yellow"/>
        </w:rPr>
      </w:pPr>
      <w:r>
        <w:rPr>
          <w:b/>
          <w:bCs/>
        </w:rPr>
        <w:t>Резюме:</w:t>
      </w:r>
      <w:r w:rsidR="003B5739">
        <w:rPr>
          <w:b/>
          <w:bCs/>
        </w:rPr>
        <w:t xml:space="preserve"> </w:t>
      </w:r>
      <w:r>
        <w:t xml:space="preserve">в данной нелинейной САР устанавливается </w:t>
      </w:r>
      <w:r>
        <w:rPr>
          <w:i/>
          <w:iCs/>
        </w:rPr>
        <w:t>режим относительно больших автоколебаний</w:t>
      </w:r>
      <w:r>
        <w:t xml:space="preserve">, поэтому САР не выполняет своих “обязанностей” (не удерживает стационарное состояние с погрешностью плюс/минус 2 %) и, </w:t>
      </w:r>
      <w:proofErr w:type="gramStart"/>
      <w:r>
        <w:t>следовательно</w:t>
      </w:r>
      <w:proofErr w:type="gramEnd"/>
      <w:r>
        <w:t xml:space="preserve"> такая система должна считаться </w:t>
      </w:r>
      <w:r>
        <w:rPr>
          <w:i/>
          <w:iCs/>
        </w:rPr>
        <w:t>практически неустойчивой</w:t>
      </w:r>
      <w:r>
        <w:t>. ==&gt; Необходима новая коррекция САР.</w:t>
      </w:r>
    </w:p>
    <w:p w:rsidR="00F0318A" w:rsidRDefault="00EE313B" w:rsidP="00F0318A">
      <w:pPr>
        <w:pStyle w:val="2"/>
        <w:rPr>
          <w:rFonts w:ascii="Cambria" w:hAnsi="Cambria"/>
        </w:rPr>
      </w:pPr>
      <w:bookmarkStart w:id="16" w:name="_Toc417534719"/>
      <w:r>
        <w:rPr>
          <w:rFonts w:ascii="Cambria" w:hAnsi="Cambria"/>
        </w:rPr>
        <w:t>2.6</w:t>
      </w:r>
      <w:r w:rsidR="00F0318A" w:rsidRPr="00E04271">
        <w:rPr>
          <w:rFonts w:ascii="Cambria" w:hAnsi="Cambria"/>
        </w:rPr>
        <w:t xml:space="preserve"> </w:t>
      </w:r>
      <w:r w:rsidR="00F0318A">
        <w:rPr>
          <w:rFonts w:ascii="Cambria" w:hAnsi="Cambria"/>
        </w:rPr>
        <w:t>Новая коррекция САР и определение типа устойчивости</w:t>
      </w:r>
      <w:bookmarkEnd w:id="16"/>
    </w:p>
    <w:p w:rsidR="00F0318A" w:rsidRDefault="00F0318A" w:rsidP="00F0318A">
      <w:pPr>
        <w:pStyle w:val="Textbody"/>
      </w:pPr>
      <w:r>
        <w:t>Выполним новую коррекцию параметров рассматриваемой нелинейной САР.</w:t>
      </w:r>
    </w:p>
    <w:p w:rsidR="00F0318A" w:rsidRDefault="00F0318A" w:rsidP="00F0318A">
      <w:pPr>
        <w:pStyle w:val="Textbody"/>
      </w:pPr>
      <w:r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>
        <w:rPr>
          <w:i/>
          <w:iCs/>
        </w:rPr>
        <w:t>k1</w:t>
      </w:r>
      <w:r>
        <w:t xml:space="preserve">) в </w:t>
      </w:r>
      <w:r>
        <w:rPr>
          <w:i/>
          <w:iCs/>
        </w:rPr>
        <w:t>интегрирующем</w:t>
      </w:r>
      <w:r>
        <w:t xml:space="preserve"> регуляторе, либо в такое же количество раз уменьшить высоту “ступеньки” в </w:t>
      </w:r>
      <w:r w:rsidRPr="00F0318A">
        <w:rPr>
          <w:b/>
          <w:i/>
          <w:iCs/>
        </w:rPr>
        <w:t>Управляющем реле</w:t>
      </w:r>
      <w:r>
        <w:t>.</w:t>
      </w:r>
    </w:p>
    <w:p w:rsidR="00F0318A" w:rsidRDefault="00F0318A" w:rsidP="00F0318A">
      <w:pPr>
        <w:pStyle w:val="Textbody"/>
      </w:pPr>
      <w:r>
        <w:t>Реализуем первый вариант.</w:t>
      </w:r>
    </w:p>
    <w:p w:rsidR="00F0318A" w:rsidRDefault="00F0318A" w:rsidP="00F0318A">
      <w:pPr>
        <w:pStyle w:val="Textbody"/>
      </w:pPr>
      <w:r>
        <w:t xml:space="preserve">Откройте диалоговое окно блока </w:t>
      </w:r>
      <w:r>
        <w:rPr>
          <w:i/>
          <w:iCs/>
        </w:rPr>
        <w:t>Интегратор</w:t>
      </w:r>
      <w:r>
        <w:t xml:space="preserve"> и введите в 1-ой диалоговой строке </w:t>
      </w:r>
      <w:r>
        <w:rPr>
          <w:b/>
          <w:bCs/>
        </w:rPr>
        <w:t>0.35/20</w:t>
      </w:r>
      <w:r>
        <w:t xml:space="preserve"> (0.35 делить на 20).</w:t>
      </w:r>
    </w:p>
    <w:p w:rsidR="00F0318A" w:rsidRDefault="00F0318A" w:rsidP="00F0318A">
      <w:pPr>
        <w:pStyle w:val="Textbody"/>
      </w:pPr>
      <w:r>
        <w:t xml:space="preserve">Такой тип ввода параметра звена основан на том, что диалоговые строки </w:t>
      </w:r>
      <w:r>
        <w:rPr>
          <w:i/>
          <w:iCs/>
        </w:rPr>
        <w:t xml:space="preserve">всех </w:t>
      </w:r>
      <w:r>
        <w:t xml:space="preserve">типовых блоков “распознают” около 30 простейших математических операций (и операцию </w:t>
      </w:r>
      <w:r>
        <w:rPr>
          <w:i/>
          <w:iCs/>
        </w:rPr>
        <w:t>Деление</w:t>
      </w:r>
      <w:r>
        <w:t xml:space="preserve"> в том числе).</w:t>
      </w:r>
    </w:p>
    <w:p w:rsidR="00F0318A" w:rsidRDefault="00F0318A" w:rsidP="00F0318A">
      <w:pPr>
        <w:pStyle w:val="Textbody"/>
      </w:pPr>
      <w:r>
        <w:t xml:space="preserve">Закройте диалоговое окно и щелкните “мышью” по кнопке </w:t>
      </w:r>
      <w:r>
        <w:rPr>
          <w:b/>
          <w:bCs/>
          <w:lang w:val="en-US"/>
        </w:rPr>
        <w:t>Ok</w:t>
      </w:r>
      <w:r>
        <w:t>.</w:t>
      </w:r>
    </w:p>
    <w:p w:rsidR="00F0318A" w:rsidRDefault="00431770" w:rsidP="00F0318A">
      <w:pPr>
        <w:pStyle w:val="Textbody"/>
      </w:pPr>
      <w:r>
        <w:t xml:space="preserve">По завершении расчета 2-х кратным щелчком </w:t>
      </w:r>
      <w:r>
        <w:rPr>
          <w:i/>
          <w:iCs/>
        </w:rPr>
        <w:t>левой</w:t>
      </w:r>
      <w:r>
        <w:t xml:space="preserve"> клавиши “мыши” в поле графика выполните </w:t>
      </w:r>
      <w:proofErr w:type="spellStart"/>
      <w:r>
        <w:t>автомасштабирование</w:t>
      </w:r>
      <w:proofErr w:type="spellEnd"/>
      <w:r>
        <w:t xml:space="preserve">: вид графика (см. рис. 2.11 ниже по тексту) показывает, что с новым значением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431770" w:rsidRDefault="00431770" w:rsidP="00F0318A">
      <w:pPr>
        <w:pStyle w:val="Textbody"/>
      </w:pPr>
      <w:r>
        <w:t>Начальное отклонение (</w:t>
      </w:r>
      <w:r>
        <w:rPr>
          <w:b/>
          <w:bCs/>
        </w:rPr>
        <w:t>0.1</w:t>
      </w:r>
      <w:r>
        <w:t xml:space="preserve">) относительно быстро устраняется и САР </w:t>
      </w:r>
      <w:r>
        <w:rPr>
          <w:i/>
          <w:iCs/>
        </w:rPr>
        <w:t xml:space="preserve">асимптотически </w:t>
      </w:r>
      <w:r>
        <w:t>возвращается в свое равновесное состояние (</w:t>
      </w:r>
      <w:proofErr w:type="spellStart"/>
      <w:r>
        <w:rPr>
          <w:i/>
          <w:iCs/>
        </w:rPr>
        <w:t>y_стационарное</w:t>
      </w:r>
      <w:proofErr w:type="spellEnd"/>
      <w:r>
        <w:rPr>
          <w:i/>
          <w:iCs/>
        </w:rPr>
        <w:t xml:space="preserve"> </w:t>
      </w:r>
      <w:r>
        <w:t>= 0).</w:t>
      </w:r>
    </w:p>
    <w:p w:rsidR="00431770" w:rsidRDefault="008821CF" w:rsidP="0029280E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.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80E" w:rsidRPr="00536EA5" w:rsidRDefault="0029280E" w:rsidP="0029280E">
      <w:pPr>
        <w:pStyle w:val="Textbody"/>
        <w:jc w:val="center"/>
        <w:rPr>
          <w:iCs/>
          <w:highlight w:val="yellow"/>
        </w:rPr>
      </w:pPr>
      <w:r>
        <w:rPr>
          <w:szCs w:val="28"/>
          <w:shd w:val="clear" w:color="auto" w:fill="FFFFFF"/>
        </w:rPr>
        <w:t>Рисунок 2.11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Переходной процесс</w:t>
      </w:r>
    </w:p>
    <w:p w:rsidR="004C1721" w:rsidRPr="00F0318A" w:rsidRDefault="004C1721" w:rsidP="004C1721">
      <w:pPr>
        <w:pStyle w:val="Textbody"/>
        <w:ind w:firstLine="0"/>
      </w:pPr>
    </w:p>
    <w:p w:rsidR="00536EA5" w:rsidRDefault="004C1721" w:rsidP="00DA3784">
      <w:pPr>
        <w:pStyle w:val="Textbody"/>
        <w:ind w:firstLine="0"/>
      </w:pPr>
      <w:r>
        <w:rPr>
          <w:b/>
          <w:bCs/>
        </w:rPr>
        <w:t>Резюме</w:t>
      </w:r>
      <w:r>
        <w:t xml:space="preserve">: </w:t>
      </w:r>
      <w:r>
        <w:rPr>
          <w:i/>
          <w:iCs/>
        </w:rPr>
        <w:t>скорректированная</w:t>
      </w:r>
      <w:r>
        <w:t xml:space="preserve"> автономная нелинейная САР </w:t>
      </w:r>
      <w:r>
        <w:rPr>
          <w:b/>
          <w:bCs/>
        </w:rPr>
        <w:t>асимптотически устойчива</w:t>
      </w:r>
      <w:r>
        <w:t>.</w:t>
      </w:r>
    </w:p>
    <w:p w:rsidR="00EE313B" w:rsidRDefault="00EE313B" w:rsidP="00DA3784">
      <w:pPr>
        <w:pStyle w:val="Textbody"/>
        <w:ind w:firstLine="0"/>
      </w:pPr>
    </w:p>
    <w:p w:rsidR="00022532" w:rsidRPr="00A57ED9" w:rsidRDefault="00022532" w:rsidP="00A57ED9">
      <w:pPr>
        <w:pStyle w:val="2"/>
        <w:rPr>
          <w:rFonts w:ascii="Cambria" w:hAnsi="Cambria"/>
        </w:rPr>
      </w:pPr>
      <w:bookmarkStart w:id="17" w:name="_Toc417534720"/>
      <w:r>
        <w:rPr>
          <w:rFonts w:ascii="Cambria" w:hAnsi="Cambria"/>
        </w:rPr>
        <w:t>2.7</w:t>
      </w:r>
      <w:r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Анализ устойчивости скорректированной нелинейной САР</w:t>
      </w:r>
      <w:bookmarkEnd w:id="17"/>
    </w:p>
    <w:p w:rsidR="00022532" w:rsidRDefault="00022532" w:rsidP="00022532">
      <w:pPr>
        <w:pStyle w:val="Textbody"/>
      </w:pPr>
      <w:r>
        <w:t xml:space="preserve">Проверим вышеприведенный вывод об </w:t>
      </w:r>
      <w:r>
        <w:rPr>
          <w:i/>
          <w:iCs/>
        </w:rPr>
        <w:t>асимптотической</w:t>
      </w:r>
      <w:r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Default="00022532" w:rsidP="00022532">
      <w:pPr>
        <w:pStyle w:val="Textbody"/>
      </w:pPr>
      <w:r>
        <w:t xml:space="preserve">Возвратите </w:t>
      </w:r>
      <w:r>
        <w:rPr>
          <w:i/>
          <w:iCs/>
        </w:rPr>
        <w:t xml:space="preserve">нулевые </w:t>
      </w:r>
      <w:r>
        <w:t xml:space="preserve">начальные условия в блоке </w:t>
      </w:r>
      <w:r>
        <w:rPr>
          <w:i/>
          <w:iCs/>
        </w:rPr>
        <w:t>W_2</w:t>
      </w:r>
      <w:r>
        <w:t>(</w:t>
      </w:r>
      <w:r>
        <w:rPr>
          <w:i/>
          <w:iCs/>
        </w:rPr>
        <w:t>s</w:t>
      </w:r>
      <w:r>
        <w:t xml:space="preserve">). Разомкните </w:t>
      </w:r>
      <w:r w:rsidRPr="00022532">
        <w:rPr>
          <w:b/>
          <w:i/>
          <w:iCs/>
        </w:rPr>
        <w:t>Главную обратную связь</w:t>
      </w:r>
      <w:r>
        <w:t>.</w:t>
      </w:r>
    </w:p>
    <w:p w:rsidR="00022532" w:rsidRDefault="00022532" w:rsidP="004A0E81">
      <w:pPr>
        <w:pStyle w:val="Textbody"/>
      </w:pPr>
      <w:r>
        <w:t xml:space="preserve">Выполните щелчок “мышью” по кнопке </w:t>
      </w:r>
      <w:r>
        <w:rPr>
          <w:b/>
          <w:bCs/>
        </w:rPr>
        <w:t>Пуск</w:t>
      </w:r>
      <w:r w:rsidR="004A0E81">
        <w:t xml:space="preserve"> </w:t>
      </w:r>
      <w:r>
        <w:t xml:space="preserve">произойдет расчет годографов при скорректированном значении </w:t>
      </w:r>
      <w:r>
        <w:rPr>
          <w:i/>
          <w:iCs/>
        </w:rPr>
        <w:t>k1 =</w:t>
      </w:r>
      <w:r>
        <w:t xml:space="preserve"> 0.35/20.</w:t>
      </w:r>
    </w:p>
    <w:p w:rsidR="00022532" w:rsidRPr="00022532" w:rsidRDefault="004A0E81" w:rsidP="00022532">
      <w:pPr>
        <w:pStyle w:val="Textbody"/>
      </w:pPr>
      <w:r>
        <w:t xml:space="preserve">Откройте блок </w:t>
      </w:r>
      <w:r w:rsidRPr="004A0E81">
        <w:rPr>
          <w:b/>
          <w:i/>
        </w:rPr>
        <w:t>Годограф Попова, Найквиста</w:t>
      </w:r>
      <w:r w:rsidR="00022532">
        <w:t xml:space="preserve"> (щелчок </w:t>
      </w:r>
      <w:r w:rsidR="00022532">
        <w:rPr>
          <w:i/>
          <w:iCs/>
        </w:rPr>
        <w:t>правой</w:t>
      </w:r>
      <w:r w:rsidR="00022532">
        <w:t xml:space="preserve"> клавишей “мыши”), измените параметры осей координат так, как это выполнено на рис. 2.12.</w:t>
      </w:r>
    </w:p>
    <w:p w:rsidR="00EE313B" w:rsidRDefault="001726F5" w:rsidP="001F7608">
      <w:pPr>
        <w:pStyle w:val="Textbody"/>
        <w:ind w:firstLine="0"/>
        <w:jc w:val="center"/>
      </w:pPr>
      <w:r>
        <w:rPr>
          <w:noProof/>
        </w:rPr>
        <w:drawing>
          <wp:inline distT="0" distB="0" distL="0" distR="0">
            <wp:extent cx="5296639" cy="555385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.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08" w:rsidRDefault="001F7608" w:rsidP="001F760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</w:t>
      </w:r>
      <w:r w:rsidR="00C34348">
        <w:rPr>
          <w:szCs w:val="28"/>
          <w:shd w:val="clear" w:color="auto" w:fill="FFFFFF"/>
        </w:rPr>
        <w:t>12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Годограф Попова, Найквиста</w:t>
      </w:r>
    </w:p>
    <w:p w:rsidR="001F7608" w:rsidRDefault="001F7608" w:rsidP="001F7608">
      <w:pPr>
        <w:pStyle w:val="Textbody"/>
        <w:jc w:val="center"/>
        <w:rPr>
          <w:szCs w:val="28"/>
          <w:shd w:val="clear" w:color="auto" w:fill="FFFFFF"/>
        </w:rPr>
      </w:pPr>
    </w:p>
    <w:p w:rsidR="001F7608" w:rsidRPr="00536EA5" w:rsidRDefault="001F7608" w:rsidP="001F7608">
      <w:pPr>
        <w:pStyle w:val="Textbody"/>
        <w:jc w:val="center"/>
        <w:rPr>
          <w:iCs/>
          <w:highlight w:val="yellow"/>
        </w:rPr>
      </w:pPr>
    </w:p>
    <w:p w:rsidR="00C34348" w:rsidRDefault="00C34348" w:rsidP="00C34348">
      <w:pPr>
        <w:pStyle w:val="Textbody"/>
      </w:pPr>
      <w:r>
        <w:rPr>
          <w:i/>
          <w:iCs/>
        </w:rPr>
        <w:t>Точка пересечения</w:t>
      </w:r>
      <w:r>
        <w:t xml:space="preserve"> годографа Попова с осью абсцисс расположена </w:t>
      </w:r>
      <w:r>
        <w:rPr>
          <w:i/>
          <w:iCs/>
        </w:rPr>
        <w:t xml:space="preserve">правее </w:t>
      </w:r>
      <w:r>
        <w:t xml:space="preserve">точки с абсциссой </w:t>
      </w:r>
      <w:r>
        <w:rPr>
          <w:b/>
          <w:bCs/>
        </w:rPr>
        <w:t>-1/К</w:t>
      </w:r>
      <w:r>
        <w:t xml:space="preserve">= </w:t>
      </w:r>
      <w:r>
        <w:rPr>
          <w:b/>
          <w:bCs/>
        </w:rPr>
        <w:t>- 0.02</w:t>
      </w:r>
      <w:r>
        <w:t xml:space="preserve"> (см. рис. 2.11). </w:t>
      </w:r>
    </w:p>
    <w:p w:rsidR="00EE313B" w:rsidRDefault="00C34348" w:rsidP="00C34348">
      <w:pPr>
        <w:pStyle w:val="Textbody"/>
      </w:pPr>
      <w:r>
        <w:t xml:space="preserve">Уточним, на сколько </w:t>
      </w:r>
      <w:r>
        <w:rPr>
          <w:i/>
          <w:iCs/>
        </w:rPr>
        <w:t>правее</w:t>
      </w:r>
      <w:r>
        <w:t xml:space="preserve"> расположена точка пересечения годографа Попова с осью абсцисс.</w:t>
      </w:r>
    </w:p>
    <w:p w:rsidR="00C34348" w:rsidRDefault="00C34348" w:rsidP="00C34348">
      <w:pPr>
        <w:pStyle w:val="Textbody"/>
      </w:pPr>
      <w:r>
        <w:t xml:space="preserve">Выполните щелчок </w:t>
      </w:r>
      <w:r>
        <w:rPr>
          <w:i/>
          <w:iCs/>
        </w:rPr>
        <w:t xml:space="preserve">правой </w:t>
      </w:r>
      <w:r>
        <w:t xml:space="preserve">клавишей “мыши” по графику и откройте опцию </w:t>
      </w:r>
      <w:r w:rsidRPr="00C34348">
        <w:rPr>
          <w:b/>
        </w:rPr>
        <w:t>Таблица</w:t>
      </w:r>
      <w:r>
        <w:t xml:space="preserve">. </w:t>
      </w:r>
    </w:p>
    <w:p w:rsidR="00C34348" w:rsidRDefault="00C34348" w:rsidP="00C34348">
      <w:pPr>
        <w:pStyle w:val="Textbody"/>
      </w:pPr>
      <w:r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>
        <w:rPr>
          <w:b/>
          <w:bCs/>
          <w:i/>
          <w:iCs/>
        </w:rPr>
        <w:t>График 1</w:t>
      </w:r>
      <w:r>
        <w:t xml:space="preserve">) меняет знак с </w:t>
      </w:r>
      <w:r>
        <w:rPr>
          <w:i/>
          <w:iCs/>
        </w:rPr>
        <w:t>минуса</w:t>
      </w:r>
      <w:r>
        <w:t xml:space="preserve"> на </w:t>
      </w:r>
      <w:r>
        <w:rPr>
          <w:i/>
          <w:iCs/>
        </w:rPr>
        <w:t>плюс</w:t>
      </w:r>
      <w:r>
        <w:t>. После выполнения Вами поиска окно с таблицей будет иметь вид, подобный рис. 2.13 ниже по тексту.</w:t>
      </w:r>
    </w:p>
    <w:p w:rsidR="00C34348" w:rsidRDefault="00AC4B22" w:rsidP="00C34348">
      <w:pPr>
        <w:pStyle w:val="Textbody"/>
        <w:jc w:val="center"/>
        <w:rPr>
          <w:iCs/>
          <w:highlight w:val="yellow"/>
        </w:rPr>
      </w:pPr>
      <w:bookmarkStart w:id="18" w:name="_GoBack"/>
      <w:r>
        <w:rPr>
          <w:iCs/>
          <w:noProof/>
        </w:rPr>
        <w:drawing>
          <wp:inline distT="0" distB="0" distL="0" distR="0">
            <wp:extent cx="5868219" cy="279121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.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Рисунок 2.13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Таблица с расчетами Годографов Попова, Найквиста</w:t>
      </w:r>
    </w:p>
    <w:p w:rsidR="00C34348" w:rsidRDefault="00C34348" w:rsidP="00C34348">
      <w:pPr>
        <w:pStyle w:val="Textbody"/>
        <w:jc w:val="center"/>
        <w:rPr>
          <w:szCs w:val="28"/>
          <w:shd w:val="clear" w:color="auto" w:fill="FFFFFF"/>
        </w:rPr>
      </w:pPr>
    </w:p>
    <w:p w:rsidR="00C34348" w:rsidRDefault="00C34348" w:rsidP="00C34348">
      <w:pPr>
        <w:pStyle w:val="Textbody"/>
      </w:pPr>
      <w:r>
        <w:t>Из таблицы следует, что при смене знака мнимой части вещественная часть (</w:t>
      </w:r>
      <w:proofErr w:type="spellStart"/>
      <w:r>
        <w:rPr>
          <w:i/>
          <w:iCs/>
        </w:rPr>
        <w:t>Re</w:t>
      </w:r>
      <w:proofErr w:type="spellEnd"/>
      <w:r>
        <w:t xml:space="preserve">) равна приблизительно </w:t>
      </w:r>
      <w:r>
        <w:rPr>
          <w:b/>
          <w:bCs/>
        </w:rPr>
        <w:t>- 0.0198</w:t>
      </w:r>
      <w:r>
        <w:t xml:space="preserve">, т.е. больше, чем </w:t>
      </w:r>
      <w:r>
        <w:rPr>
          <w:b/>
          <w:bCs/>
        </w:rPr>
        <w:t>– 0.02</w:t>
      </w:r>
      <w:r>
        <w:t xml:space="preserve">. </w:t>
      </w:r>
    </w:p>
    <w:p w:rsidR="00C34348" w:rsidRDefault="00C34348" w:rsidP="00C34348">
      <w:pPr>
        <w:pStyle w:val="Textbody"/>
      </w:pPr>
      <w:r>
        <w:t xml:space="preserve">Поэтому через точку пересечения несомненно </w:t>
      </w:r>
      <w:r>
        <w:rPr>
          <w:i/>
          <w:iCs/>
        </w:rPr>
        <w:t>можно провести прямую, относительно которой годограф Попова будет расположен строго справа.</w:t>
      </w:r>
    </w:p>
    <w:p w:rsidR="00C34348" w:rsidRDefault="00C34348" w:rsidP="00C34348">
      <w:pPr>
        <w:pStyle w:val="Textbody"/>
      </w:pPr>
      <w:r>
        <w:rPr>
          <w:b/>
          <w:bCs/>
        </w:rPr>
        <w:t>Резюме</w:t>
      </w:r>
      <w:r>
        <w:t xml:space="preserve">: скорректированная нелинейная замкнутая САР </w:t>
      </w:r>
      <w:r>
        <w:rPr>
          <w:b/>
          <w:bCs/>
        </w:rPr>
        <w:t>абсолютно устойчива.</w:t>
      </w:r>
    </w:p>
    <w:p w:rsidR="00C34348" w:rsidRDefault="00C34348" w:rsidP="00C34348">
      <w:pPr>
        <w:pStyle w:val="Textbody"/>
      </w:pPr>
      <w:r>
        <w:t xml:space="preserve">Переместите курсор в поле таблицы, выполните щелчок </w:t>
      </w:r>
      <w:r>
        <w:rPr>
          <w:i/>
          <w:iCs/>
        </w:rPr>
        <w:t>правой</w:t>
      </w:r>
      <w:r>
        <w:t xml:space="preserve"> клавишей “мыши”, в появившемся меню выберите команду </w:t>
      </w:r>
      <w:r w:rsidRPr="00C34348">
        <w:rPr>
          <w:b/>
          <w:i/>
          <w:iCs/>
        </w:rPr>
        <w:t>Список</w:t>
      </w:r>
      <w:r>
        <w:t>: таблица сменится на график годографов.</w:t>
      </w:r>
    </w:p>
    <w:p w:rsidR="00C34348" w:rsidRDefault="00C34348" w:rsidP="00C34348">
      <w:pPr>
        <w:pStyle w:val="Textbody"/>
        <w:rPr>
          <w:szCs w:val="28"/>
          <w:shd w:val="clear" w:color="auto" w:fill="FFFFFF"/>
        </w:rPr>
      </w:pPr>
      <w:r>
        <w:t xml:space="preserve">Закройте </w:t>
      </w:r>
      <w:r w:rsidRPr="00C34348">
        <w:rPr>
          <w:b/>
          <w:i/>
        </w:rPr>
        <w:t>Таблицу</w:t>
      </w:r>
      <w:r>
        <w:rPr>
          <w:b/>
          <w:i/>
        </w:rPr>
        <w:t>,</w:t>
      </w:r>
      <w:r>
        <w:t xml:space="preserve"> щелкнув левой кнопкой мыши по команде </w:t>
      </w:r>
      <w:r w:rsidRPr="00C34348">
        <w:rPr>
          <w:b/>
          <w:i/>
        </w:rPr>
        <w:t>График,</w:t>
      </w:r>
      <w:r>
        <w:t xml:space="preserve"> на экране монитора снова Схемное окно.</w:t>
      </w:r>
    </w:p>
    <w:p w:rsidR="00A57ED9" w:rsidRDefault="00D11EAB" w:rsidP="00A57ED9">
      <w:pPr>
        <w:pStyle w:val="2"/>
        <w:rPr>
          <w:rFonts w:ascii="Cambria" w:hAnsi="Cambria"/>
        </w:rPr>
      </w:pPr>
      <w:bookmarkStart w:id="19" w:name="_Toc417534721"/>
      <w:r>
        <w:rPr>
          <w:rFonts w:ascii="Cambria" w:hAnsi="Cambria"/>
        </w:rPr>
        <w:t>2.8</w:t>
      </w:r>
      <w:r w:rsidR="00A57ED9" w:rsidRPr="00E04271">
        <w:rPr>
          <w:rFonts w:ascii="Cambria" w:hAnsi="Cambria"/>
        </w:rPr>
        <w:t xml:space="preserve"> </w:t>
      </w:r>
      <w:r>
        <w:rPr>
          <w:rFonts w:ascii="Cambria" w:hAnsi="Cambria"/>
        </w:rPr>
        <w:t>Расчет переходных процессов при подаче управляющего воздействия</w:t>
      </w:r>
      <w:bookmarkEnd w:id="19"/>
    </w:p>
    <w:p w:rsidR="00D11EAB" w:rsidRDefault="00D11EAB" w:rsidP="00D11EAB">
      <w:pPr>
        <w:pStyle w:val="Textbody"/>
      </w:pPr>
      <w:r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>
        <w:rPr>
          <w:i/>
          <w:iCs/>
        </w:rPr>
        <w:t>u(t)</w:t>
      </w:r>
      <w:r>
        <w:t xml:space="preserve"> = </w:t>
      </w:r>
      <w:r>
        <w:rPr>
          <w:b/>
          <w:bCs/>
        </w:rPr>
        <w:t>0.8*1(t).</w:t>
      </w:r>
      <w:r>
        <w:t xml:space="preserve"> </w:t>
      </w:r>
    </w:p>
    <w:p w:rsidR="00D11EAB" w:rsidRDefault="00D11EAB" w:rsidP="00D11EAB">
      <w:pPr>
        <w:pStyle w:val="Textbody"/>
      </w:pPr>
      <w:r>
        <w:t xml:space="preserve">Замкните </w:t>
      </w:r>
      <w:r>
        <w:rPr>
          <w:i/>
          <w:iCs/>
        </w:rPr>
        <w:t>Главную обратную связь</w:t>
      </w:r>
      <w:r>
        <w:t xml:space="preserve"> (в диалоговом окне </w:t>
      </w:r>
      <w:r>
        <w:rPr>
          <w:i/>
          <w:iCs/>
        </w:rPr>
        <w:t>Главного сравнивающего устройства</w:t>
      </w:r>
      <w:r>
        <w:t xml:space="preserve"> 2-ой весовой коэффициент должен быть равен </w:t>
      </w:r>
      <w:r>
        <w:rPr>
          <w:b/>
          <w:bCs/>
        </w:rPr>
        <w:t>-1</w:t>
      </w:r>
      <w:r>
        <w:t>).</w:t>
      </w:r>
    </w:p>
    <w:p w:rsidR="00D11EAB" w:rsidRDefault="00D11EAB" w:rsidP="00D11EAB">
      <w:pPr>
        <w:pStyle w:val="Textbody"/>
      </w:pPr>
      <w:r>
        <w:t xml:space="preserve">Измените конечное время расчета на </w:t>
      </w:r>
      <w:r>
        <w:rPr>
          <w:b/>
          <w:bCs/>
        </w:rPr>
        <w:t>200</w:t>
      </w:r>
      <w:r>
        <w:t xml:space="preserve"> </w:t>
      </w:r>
      <w:r>
        <w:rPr>
          <w:b/>
          <w:bCs/>
        </w:rPr>
        <w:t>с</w:t>
      </w:r>
      <w:r>
        <w:t xml:space="preserve"> (щелчок “мышью” по командной кнопке </w:t>
      </w:r>
      <w:r>
        <w:rPr>
          <w:b/>
          <w:bCs/>
        </w:rPr>
        <w:t>Параметры расчета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Выполните расчет переходного процесса (щелчок “мышью” по командной кнопке </w:t>
      </w:r>
      <w:r w:rsidR="00FA5A65">
        <w:rPr>
          <w:b/>
          <w:bCs/>
        </w:rPr>
        <w:t>Пуск</w:t>
      </w:r>
      <w:r>
        <w:t xml:space="preserve">). </w:t>
      </w:r>
    </w:p>
    <w:p w:rsidR="00D11EAB" w:rsidRDefault="00D11EAB" w:rsidP="00D11EAB">
      <w:pPr>
        <w:pStyle w:val="Textbody"/>
      </w:pPr>
      <w:r>
        <w:t xml:space="preserve">График переходного процесса (см. рис. 2.14 ниже по тексту) свидетельствует, что скорректированная нелинейная САР </w:t>
      </w:r>
      <w:r>
        <w:rPr>
          <w:i/>
          <w:iCs/>
        </w:rPr>
        <w:t>отработала</w:t>
      </w:r>
      <w:r>
        <w:t xml:space="preserve"> управляющее воздействие, однако </w:t>
      </w:r>
      <w:r>
        <w:rPr>
          <w:i/>
          <w:iCs/>
        </w:rPr>
        <w:t xml:space="preserve">время переходного процесса </w:t>
      </w:r>
      <w:r>
        <w:t xml:space="preserve">значительно больше (около 80 с), чем в лабораторной работе № 4 в прошлом семестре при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>= 0.35 (там было менее 20 с).</w:t>
      </w:r>
    </w:p>
    <w:p w:rsidR="00FA5A65" w:rsidRDefault="003F4593" w:rsidP="00C86A53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.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65" w:rsidRDefault="00570B46" w:rsidP="00C86A53">
      <w:pPr>
        <w:pStyle w:val="Textbody"/>
        <w:jc w:val="center"/>
      </w:pPr>
      <w:r>
        <w:rPr>
          <w:szCs w:val="28"/>
          <w:shd w:val="clear" w:color="auto" w:fill="FFFFFF"/>
        </w:rPr>
        <w:t>Рисунок 2.14</w:t>
      </w:r>
      <w:r w:rsidR="00C86A53" w:rsidRPr="00DD73EF">
        <w:rPr>
          <w:szCs w:val="28"/>
          <w:shd w:val="clear" w:color="auto" w:fill="FFFFFF"/>
        </w:rPr>
        <w:t xml:space="preserve"> — </w:t>
      </w:r>
      <w:r w:rsidR="00C86A53">
        <w:rPr>
          <w:szCs w:val="28"/>
          <w:shd w:val="clear" w:color="auto" w:fill="FFFFFF"/>
        </w:rPr>
        <w:t>График переходного процесса</w:t>
      </w:r>
    </w:p>
    <w:p w:rsidR="00570B46" w:rsidRDefault="00570B46" w:rsidP="00D11EAB">
      <w:pPr>
        <w:pStyle w:val="Textbody"/>
      </w:pPr>
      <w:r>
        <w:t xml:space="preserve">Выполните увеличение коэффициента скоростной эффективности регулятора </w:t>
      </w:r>
      <w:r>
        <w:rPr>
          <w:i/>
          <w:iCs/>
        </w:rPr>
        <w:t>k1</w:t>
      </w:r>
      <w:r>
        <w:rPr>
          <w:i/>
          <w:iCs/>
          <w:vertAlign w:val="subscript"/>
        </w:rPr>
        <w:t xml:space="preserve"> </w:t>
      </w:r>
      <w:r>
        <w:t xml:space="preserve">в </w:t>
      </w:r>
      <w:r>
        <w:rPr>
          <w:b/>
          <w:bCs/>
        </w:rPr>
        <w:t>2</w:t>
      </w:r>
      <w:r>
        <w:t xml:space="preserve"> раза (в 1-ой диалоговой строке блока </w:t>
      </w:r>
      <w:r>
        <w:rPr>
          <w:i/>
          <w:iCs/>
        </w:rPr>
        <w:t>Интегратор</w:t>
      </w:r>
      <w:r>
        <w:t xml:space="preserve"> введите </w:t>
      </w:r>
      <w:r>
        <w:rPr>
          <w:b/>
          <w:bCs/>
        </w:rPr>
        <w:t>0.35/10</w:t>
      </w:r>
      <w:r>
        <w:t xml:space="preserve">). </w:t>
      </w:r>
    </w:p>
    <w:p w:rsidR="00570B46" w:rsidRDefault="00570B46" w:rsidP="00D11EAB">
      <w:pPr>
        <w:pStyle w:val="Textbody"/>
      </w:pPr>
      <w:r>
        <w:t xml:space="preserve">Выполните щелчок “мышью” по командной кнопке </w:t>
      </w:r>
      <w:r>
        <w:rPr>
          <w:b/>
          <w:bCs/>
          <w:lang w:val="en-US"/>
        </w:rPr>
        <w:t>Ok</w:t>
      </w:r>
      <w:r>
        <w:t>.</w:t>
      </w:r>
    </w:p>
    <w:p w:rsidR="00D11EAB" w:rsidRDefault="00570B46" w:rsidP="00D11EAB">
      <w:pPr>
        <w:pStyle w:val="Textbody"/>
      </w:pPr>
      <w:r>
        <w:t xml:space="preserve">График переходного процесса в этом случае (см. рис. 2.15) свидетельствует, что </w:t>
      </w:r>
      <w:proofErr w:type="gramStart"/>
      <w:r>
        <w:t>в нелинейной САР</w:t>
      </w:r>
      <w:proofErr w:type="gramEnd"/>
      <w:r>
        <w:t xml:space="preserve"> установились </w:t>
      </w:r>
      <w:r>
        <w:rPr>
          <w:b/>
          <w:bCs/>
          <w:i/>
          <w:iCs/>
        </w:rPr>
        <w:t>высокочастотные</w:t>
      </w:r>
      <w:r w:rsidRPr="00570B46">
        <w:rPr>
          <w:b/>
          <w:bCs/>
          <w:i/>
          <w:iCs/>
        </w:rPr>
        <w:t xml:space="preserve"> </w:t>
      </w:r>
      <w:r>
        <w:t xml:space="preserve">(приблизительно гармонические) автоколебания с амплитудой примерно 0.05, что в </w:t>
      </w:r>
      <w:r>
        <w:rPr>
          <w:b/>
          <w:bCs/>
        </w:rPr>
        <w:t>2.5</w:t>
      </w:r>
      <w:r>
        <w:t xml:space="preserve"> раза </w:t>
      </w:r>
      <w:r>
        <w:rPr>
          <w:i/>
          <w:iCs/>
        </w:rPr>
        <w:t>превышает</w:t>
      </w:r>
      <w:r>
        <w:t xml:space="preserve"> ширину зону нечувствительности в </w:t>
      </w:r>
      <w:r>
        <w:rPr>
          <w:i/>
          <w:iCs/>
        </w:rPr>
        <w:t>Управляющем реле</w:t>
      </w:r>
      <w:r>
        <w:t>.</w:t>
      </w:r>
    </w:p>
    <w:p w:rsidR="00FE6B94" w:rsidRDefault="009B6AAC" w:rsidP="003B7FB3">
      <w:pPr>
        <w:pStyle w:val="Textbody"/>
        <w:jc w:val="center"/>
      </w:pPr>
      <w:r>
        <w:rPr>
          <w:noProof/>
        </w:rPr>
        <w:drawing>
          <wp:inline distT="0" distB="0" distL="0" distR="0">
            <wp:extent cx="3953427" cy="385816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.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08" w:rsidRDefault="00A27D08" w:rsidP="003B7FB3">
      <w:pPr>
        <w:pStyle w:val="Textbody"/>
        <w:jc w:val="center"/>
      </w:pPr>
      <w:r>
        <w:rPr>
          <w:szCs w:val="28"/>
          <w:shd w:val="clear" w:color="auto" w:fill="FFFFFF"/>
        </w:rPr>
        <w:t>Рисунок 2.15</w:t>
      </w:r>
      <w:r w:rsidRPr="00DD73EF">
        <w:rPr>
          <w:szCs w:val="28"/>
          <w:shd w:val="clear" w:color="auto" w:fill="FFFFFF"/>
        </w:rPr>
        <w:t xml:space="preserve"> — </w:t>
      </w:r>
      <w:r>
        <w:rPr>
          <w:szCs w:val="28"/>
          <w:shd w:val="clear" w:color="auto" w:fill="FFFFFF"/>
        </w:rPr>
        <w:t>График переходного процесса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bCs/>
          <w:iCs/>
          <w:sz w:val="28"/>
          <w:szCs w:val="24"/>
        </w:rPr>
      </w:pPr>
      <w:r w:rsidRPr="00FE6B94">
        <w:rPr>
          <w:rFonts w:ascii="Cambria" w:hAnsi="Cambria"/>
          <w:b/>
          <w:bCs/>
          <w:iCs/>
          <w:sz w:val="28"/>
          <w:szCs w:val="24"/>
        </w:rPr>
        <w:t>Резюме</w:t>
      </w:r>
      <w:r w:rsidRPr="00FE6B94">
        <w:rPr>
          <w:rFonts w:ascii="Cambria" w:hAnsi="Cambria"/>
          <w:bCs/>
          <w:iCs/>
          <w:sz w:val="28"/>
          <w:szCs w:val="24"/>
        </w:rPr>
        <w:t xml:space="preserve">: нелинейная САР “плохо” отработала управляющее воздействие потому, что при таком значении k1 (0.35/10) не выполняются условия критерия абсолютной устойчивости В.М. Попова (точка –1/K расположена внутри </w:t>
      </w:r>
      <w:r>
        <w:rPr>
          <w:rFonts w:ascii="Cambria" w:hAnsi="Cambria"/>
          <w:bCs/>
          <w:iCs/>
          <w:sz w:val="28"/>
          <w:szCs w:val="24"/>
        </w:rPr>
        <w:t>годографа Попова).</w:t>
      </w:r>
    </w:p>
    <w:p w:rsidR="00FE6B94" w:rsidRDefault="00FE6B94" w:rsidP="00FE6B94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bCs/>
          <w:iCs/>
          <w:sz w:val="28"/>
          <w:szCs w:val="24"/>
        </w:rPr>
      </w:pPr>
      <w:r w:rsidRPr="00FE6B94">
        <w:rPr>
          <w:rFonts w:ascii="Cambria" w:hAnsi="Cambria"/>
          <w:bCs/>
          <w:iCs/>
          <w:sz w:val="28"/>
          <w:szCs w:val="24"/>
        </w:rPr>
        <w:t xml:space="preserve">Сохраните данную задачу (нелинейную САР) под новым оригинальным именем, например, </w:t>
      </w:r>
      <w:proofErr w:type="spellStart"/>
      <w:r w:rsidRPr="00FE6B94">
        <w:rPr>
          <w:rFonts w:ascii="Cambria" w:hAnsi="Cambria"/>
          <w:bCs/>
          <w:iCs/>
          <w:sz w:val="28"/>
          <w:szCs w:val="24"/>
        </w:rPr>
        <w:t>Нел_САР.mrj</w:t>
      </w:r>
      <w:proofErr w:type="spellEnd"/>
      <w:r w:rsidRPr="00FE6B94">
        <w:rPr>
          <w:rFonts w:ascii="Cambria" w:hAnsi="Cambria"/>
          <w:bCs/>
          <w:iCs/>
          <w:sz w:val="28"/>
          <w:szCs w:val="24"/>
        </w:rPr>
        <w:t xml:space="preserve"> (посредством опции </w:t>
      </w:r>
      <w:proofErr w:type="gramStart"/>
      <w:r w:rsidRPr="00FE6B94">
        <w:rPr>
          <w:rFonts w:ascii="Cambria" w:hAnsi="Cambria"/>
          <w:bCs/>
          <w:iCs/>
          <w:sz w:val="28"/>
          <w:szCs w:val="24"/>
        </w:rPr>
        <w:t>Сохранить</w:t>
      </w:r>
      <w:proofErr w:type="gramEnd"/>
      <w:r w:rsidRPr="00FE6B94">
        <w:rPr>
          <w:rFonts w:ascii="Cambria" w:hAnsi="Cambria"/>
          <w:bCs/>
          <w:iCs/>
          <w:sz w:val="28"/>
          <w:szCs w:val="24"/>
        </w:rPr>
        <w:t xml:space="preserve"> как… из меню Файл). </w:t>
      </w:r>
    </w:p>
    <w:p w:rsidR="00FE6B94" w:rsidRPr="002E4E32" w:rsidRDefault="00FE6B94" w:rsidP="002E4E32">
      <w:pPr>
        <w:widowControl/>
        <w:suppressAutoHyphens w:val="0"/>
        <w:autoSpaceDN/>
        <w:spacing w:before="100" w:beforeAutospacing="1" w:after="100" w:afterAutospacing="1"/>
        <w:ind w:firstLine="709"/>
        <w:textAlignment w:val="auto"/>
        <w:rPr>
          <w:rFonts w:ascii="Cambria" w:hAnsi="Cambria"/>
          <w:bCs/>
          <w:iCs/>
          <w:sz w:val="28"/>
          <w:szCs w:val="24"/>
        </w:rPr>
      </w:pPr>
      <w:r w:rsidRPr="00FE6B94">
        <w:rPr>
          <w:rFonts w:ascii="Cambria" w:hAnsi="Cambria"/>
          <w:bCs/>
          <w:iCs/>
          <w:sz w:val="28"/>
          <w:szCs w:val="24"/>
        </w:rPr>
        <w:t xml:space="preserve">На этом знакомство с критерием абсолютной устойчивости В.М. Попова и его программной реализацией в </w:t>
      </w:r>
      <w:r>
        <w:rPr>
          <w:rFonts w:ascii="Cambria" w:hAnsi="Cambria"/>
          <w:bCs/>
          <w:iCs/>
          <w:sz w:val="28"/>
          <w:szCs w:val="24"/>
        </w:rPr>
        <w:t>среде</w:t>
      </w:r>
      <w:r w:rsidRPr="00FE6B94">
        <w:rPr>
          <w:rFonts w:ascii="Cambria" w:hAnsi="Cambria"/>
          <w:bCs/>
          <w:iCs/>
          <w:sz w:val="28"/>
          <w:szCs w:val="24"/>
        </w:rPr>
        <w:t xml:space="preserve"> </w:t>
      </w:r>
      <w:r>
        <w:rPr>
          <w:rFonts w:ascii="Cambria" w:hAnsi="Cambria"/>
          <w:bCs/>
          <w:iCs/>
          <w:sz w:val="28"/>
          <w:szCs w:val="24"/>
          <w:lang w:val="en-US"/>
        </w:rPr>
        <w:t>SimInTech</w:t>
      </w:r>
      <w:r w:rsidRPr="00FE6B94">
        <w:rPr>
          <w:rFonts w:ascii="Cambria" w:hAnsi="Cambria"/>
          <w:bCs/>
          <w:iCs/>
          <w:sz w:val="28"/>
          <w:szCs w:val="24"/>
        </w:rPr>
        <w:t xml:space="preserve"> применительно к анализу устойчивости нелинейных САР, завершено. </w:t>
      </w:r>
    </w:p>
    <w:sectPr w:rsidR="00FE6B94" w:rsidRPr="002E4E32" w:rsidSect="00D91416">
      <w:footerReference w:type="default" r:id="rId23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6C5" w:rsidRDefault="00A336C5">
      <w:r>
        <w:separator/>
      </w:r>
    </w:p>
  </w:endnote>
  <w:endnote w:type="continuationSeparator" w:id="0">
    <w:p w:rsidR="00A336C5" w:rsidRDefault="00A33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4B9" w:rsidRDefault="009974B9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6C5" w:rsidRDefault="00A336C5">
      <w:r>
        <w:rPr>
          <w:color w:val="000000"/>
        </w:rPr>
        <w:separator/>
      </w:r>
    </w:p>
  </w:footnote>
  <w:footnote w:type="continuationSeparator" w:id="0">
    <w:p w:rsidR="00A336C5" w:rsidRDefault="00A33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9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3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4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7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8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9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1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3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4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7"/>
  </w:num>
  <w:num w:numId="2">
    <w:abstractNumId w:val="7"/>
  </w:num>
  <w:num w:numId="3">
    <w:abstractNumId w:val="1"/>
  </w:num>
  <w:num w:numId="4">
    <w:abstractNumId w:val="3"/>
  </w:num>
  <w:num w:numId="5">
    <w:abstractNumId w:val="13"/>
  </w:num>
  <w:num w:numId="6">
    <w:abstractNumId w:val="0"/>
  </w:num>
  <w:num w:numId="7">
    <w:abstractNumId w:val="9"/>
  </w:num>
  <w:num w:numId="8">
    <w:abstractNumId w:val="4"/>
  </w:num>
  <w:num w:numId="9">
    <w:abstractNumId w:val="22"/>
  </w:num>
  <w:num w:numId="10">
    <w:abstractNumId w:val="16"/>
  </w:num>
  <w:num w:numId="11">
    <w:abstractNumId w:val="24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2"/>
  </w:num>
  <w:num w:numId="17">
    <w:abstractNumId w:val="20"/>
  </w:num>
  <w:num w:numId="18">
    <w:abstractNumId w:val="18"/>
  </w:num>
  <w:num w:numId="19">
    <w:abstractNumId w:val="19"/>
  </w:num>
  <w:num w:numId="20">
    <w:abstractNumId w:val="12"/>
  </w:num>
  <w:num w:numId="21">
    <w:abstractNumId w:val="23"/>
  </w:num>
  <w:num w:numId="22">
    <w:abstractNumId w:val="8"/>
  </w:num>
  <w:num w:numId="23">
    <w:abstractNumId w:val="11"/>
  </w:num>
  <w:num w:numId="24">
    <w:abstractNumId w:val="6"/>
  </w:num>
  <w:num w:numId="2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55ED"/>
    <w:rsid w:val="00050901"/>
    <w:rsid w:val="000607C2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C32"/>
    <w:rsid w:val="000C5F85"/>
    <w:rsid w:val="000D3597"/>
    <w:rsid w:val="000D4856"/>
    <w:rsid w:val="000E3EF4"/>
    <w:rsid w:val="000E41CC"/>
    <w:rsid w:val="000E7F6D"/>
    <w:rsid w:val="00100354"/>
    <w:rsid w:val="0010452A"/>
    <w:rsid w:val="00104849"/>
    <w:rsid w:val="00110228"/>
    <w:rsid w:val="00113558"/>
    <w:rsid w:val="00115584"/>
    <w:rsid w:val="00115F13"/>
    <w:rsid w:val="00116FA1"/>
    <w:rsid w:val="00120E65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90298"/>
    <w:rsid w:val="00192E92"/>
    <w:rsid w:val="001A230A"/>
    <w:rsid w:val="001A7F09"/>
    <w:rsid w:val="001B28C8"/>
    <w:rsid w:val="001B4723"/>
    <w:rsid w:val="001C2CA7"/>
    <w:rsid w:val="001C38BE"/>
    <w:rsid w:val="001C3DA6"/>
    <w:rsid w:val="001C579B"/>
    <w:rsid w:val="001D6583"/>
    <w:rsid w:val="001F1576"/>
    <w:rsid w:val="001F39F0"/>
    <w:rsid w:val="001F687A"/>
    <w:rsid w:val="001F7608"/>
    <w:rsid w:val="00202104"/>
    <w:rsid w:val="00203FF0"/>
    <w:rsid w:val="00204C71"/>
    <w:rsid w:val="00210866"/>
    <w:rsid w:val="0022769E"/>
    <w:rsid w:val="00233C67"/>
    <w:rsid w:val="002416C6"/>
    <w:rsid w:val="002604B2"/>
    <w:rsid w:val="00263AFF"/>
    <w:rsid w:val="00265E73"/>
    <w:rsid w:val="00266CC2"/>
    <w:rsid w:val="00275B76"/>
    <w:rsid w:val="002804A1"/>
    <w:rsid w:val="00280548"/>
    <w:rsid w:val="0029280E"/>
    <w:rsid w:val="00294118"/>
    <w:rsid w:val="002A27D2"/>
    <w:rsid w:val="002A53FA"/>
    <w:rsid w:val="002A61A1"/>
    <w:rsid w:val="002C1044"/>
    <w:rsid w:val="002C25E3"/>
    <w:rsid w:val="002D29E7"/>
    <w:rsid w:val="002E17ED"/>
    <w:rsid w:val="002E4A75"/>
    <w:rsid w:val="002E4E32"/>
    <w:rsid w:val="002E677E"/>
    <w:rsid w:val="002F7BA8"/>
    <w:rsid w:val="002F7D46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23E0"/>
    <w:rsid w:val="00353774"/>
    <w:rsid w:val="00356928"/>
    <w:rsid w:val="00356BC7"/>
    <w:rsid w:val="003603B0"/>
    <w:rsid w:val="00361C37"/>
    <w:rsid w:val="00365986"/>
    <w:rsid w:val="00367D07"/>
    <w:rsid w:val="00383C0A"/>
    <w:rsid w:val="00386908"/>
    <w:rsid w:val="00391B9F"/>
    <w:rsid w:val="00394A5C"/>
    <w:rsid w:val="003A4EE6"/>
    <w:rsid w:val="003A5422"/>
    <w:rsid w:val="003A5DCE"/>
    <w:rsid w:val="003A678B"/>
    <w:rsid w:val="003A6F37"/>
    <w:rsid w:val="003B0763"/>
    <w:rsid w:val="003B5739"/>
    <w:rsid w:val="003B7FB3"/>
    <w:rsid w:val="003C6FFE"/>
    <w:rsid w:val="003C7369"/>
    <w:rsid w:val="003D3A9C"/>
    <w:rsid w:val="003D620B"/>
    <w:rsid w:val="003E56FF"/>
    <w:rsid w:val="003F20A2"/>
    <w:rsid w:val="003F4593"/>
    <w:rsid w:val="003F700C"/>
    <w:rsid w:val="00405E41"/>
    <w:rsid w:val="00411354"/>
    <w:rsid w:val="00411A06"/>
    <w:rsid w:val="004148B5"/>
    <w:rsid w:val="00417986"/>
    <w:rsid w:val="00431770"/>
    <w:rsid w:val="00437351"/>
    <w:rsid w:val="0044247B"/>
    <w:rsid w:val="00444FE5"/>
    <w:rsid w:val="00457256"/>
    <w:rsid w:val="00457782"/>
    <w:rsid w:val="00461E9D"/>
    <w:rsid w:val="00464D74"/>
    <w:rsid w:val="00471209"/>
    <w:rsid w:val="00473755"/>
    <w:rsid w:val="0047491C"/>
    <w:rsid w:val="00474B40"/>
    <w:rsid w:val="004779B0"/>
    <w:rsid w:val="0048767F"/>
    <w:rsid w:val="00491223"/>
    <w:rsid w:val="004A0E81"/>
    <w:rsid w:val="004B291E"/>
    <w:rsid w:val="004B3C0E"/>
    <w:rsid w:val="004B4647"/>
    <w:rsid w:val="004B6471"/>
    <w:rsid w:val="004C1721"/>
    <w:rsid w:val="004C518E"/>
    <w:rsid w:val="004D7B2C"/>
    <w:rsid w:val="004D7D87"/>
    <w:rsid w:val="004E0A92"/>
    <w:rsid w:val="004E38C7"/>
    <w:rsid w:val="004E52D4"/>
    <w:rsid w:val="004E6408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847"/>
    <w:rsid w:val="00536EA5"/>
    <w:rsid w:val="00537D0A"/>
    <w:rsid w:val="00544A22"/>
    <w:rsid w:val="00550031"/>
    <w:rsid w:val="00551301"/>
    <w:rsid w:val="00553E52"/>
    <w:rsid w:val="00555121"/>
    <w:rsid w:val="00555214"/>
    <w:rsid w:val="00556C9F"/>
    <w:rsid w:val="00563BFB"/>
    <w:rsid w:val="00566516"/>
    <w:rsid w:val="00570B46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2F80"/>
    <w:rsid w:val="006309B5"/>
    <w:rsid w:val="0063193A"/>
    <w:rsid w:val="00632536"/>
    <w:rsid w:val="006424B9"/>
    <w:rsid w:val="00645786"/>
    <w:rsid w:val="00651B50"/>
    <w:rsid w:val="00651F36"/>
    <w:rsid w:val="00673231"/>
    <w:rsid w:val="006800FD"/>
    <w:rsid w:val="006804CC"/>
    <w:rsid w:val="00683833"/>
    <w:rsid w:val="00684823"/>
    <w:rsid w:val="00685F59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6167"/>
    <w:rsid w:val="006E02A8"/>
    <w:rsid w:val="006E34A7"/>
    <w:rsid w:val="006F3173"/>
    <w:rsid w:val="00700E3A"/>
    <w:rsid w:val="00703BD2"/>
    <w:rsid w:val="007238D5"/>
    <w:rsid w:val="00725AF2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B0D26"/>
    <w:rsid w:val="007D05AE"/>
    <w:rsid w:val="007D6A26"/>
    <w:rsid w:val="007E3B0F"/>
    <w:rsid w:val="007E3C65"/>
    <w:rsid w:val="008007B8"/>
    <w:rsid w:val="008012DD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9006DA"/>
    <w:rsid w:val="009236B4"/>
    <w:rsid w:val="00924350"/>
    <w:rsid w:val="00934BF4"/>
    <w:rsid w:val="009401E2"/>
    <w:rsid w:val="00952BD6"/>
    <w:rsid w:val="00964232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D11F5"/>
    <w:rsid w:val="009D51F2"/>
    <w:rsid w:val="009D7C6B"/>
    <w:rsid w:val="009F4FCB"/>
    <w:rsid w:val="009F68EE"/>
    <w:rsid w:val="00A10833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728D"/>
    <w:rsid w:val="00A47FF1"/>
    <w:rsid w:val="00A5331C"/>
    <w:rsid w:val="00A541CC"/>
    <w:rsid w:val="00A57ED9"/>
    <w:rsid w:val="00A67415"/>
    <w:rsid w:val="00A7299D"/>
    <w:rsid w:val="00A85FAB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5966"/>
    <w:rsid w:val="00AD0A8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7C16"/>
    <w:rsid w:val="00B415F5"/>
    <w:rsid w:val="00B418EE"/>
    <w:rsid w:val="00B51FF2"/>
    <w:rsid w:val="00B55C6B"/>
    <w:rsid w:val="00B60D8F"/>
    <w:rsid w:val="00B64939"/>
    <w:rsid w:val="00B6683F"/>
    <w:rsid w:val="00B71FA9"/>
    <w:rsid w:val="00B776DD"/>
    <w:rsid w:val="00B80223"/>
    <w:rsid w:val="00B878E4"/>
    <w:rsid w:val="00B9043E"/>
    <w:rsid w:val="00B94B6B"/>
    <w:rsid w:val="00B9664A"/>
    <w:rsid w:val="00BA03C5"/>
    <w:rsid w:val="00BA7759"/>
    <w:rsid w:val="00BA7B04"/>
    <w:rsid w:val="00BC1357"/>
    <w:rsid w:val="00BC164E"/>
    <w:rsid w:val="00BC2283"/>
    <w:rsid w:val="00BD302D"/>
    <w:rsid w:val="00BD73F3"/>
    <w:rsid w:val="00BE002F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D92"/>
    <w:rsid w:val="00C24B31"/>
    <w:rsid w:val="00C253CA"/>
    <w:rsid w:val="00C32C3A"/>
    <w:rsid w:val="00C3372B"/>
    <w:rsid w:val="00C34348"/>
    <w:rsid w:val="00C40AC8"/>
    <w:rsid w:val="00C503A9"/>
    <w:rsid w:val="00C62061"/>
    <w:rsid w:val="00C62E46"/>
    <w:rsid w:val="00C65F6A"/>
    <w:rsid w:val="00C66725"/>
    <w:rsid w:val="00C740FE"/>
    <w:rsid w:val="00C767DB"/>
    <w:rsid w:val="00C7701C"/>
    <w:rsid w:val="00C84276"/>
    <w:rsid w:val="00C84B7B"/>
    <w:rsid w:val="00C86A53"/>
    <w:rsid w:val="00CA1769"/>
    <w:rsid w:val="00CA39CD"/>
    <w:rsid w:val="00CA4711"/>
    <w:rsid w:val="00CA49C8"/>
    <w:rsid w:val="00CB00D2"/>
    <w:rsid w:val="00CB00D6"/>
    <w:rsid w:val="00CB77FB"/>
    <w:rsid w:val="00CC029E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DB"/>
    <w:rsid w:val="00D2610E"/>
    <w:rsid w:val="00D27D66"/>
    <w:rsid w:val="00D30D65"/>
    <w:rsid w:val="00D42BDE"/>
    <w:rsid w:val="00D4591E"/>
    <w:rsid w:val="00D62913"/>
    <w:rsid w:val="00D63567"/>
    <w:rsid w:val="00D638A6"/>
    <w:rsid w:val="00D73460"/>
    <w:rsid w:val="00D769ED"/>
    <w:rsid w:val="00D808FB"/>
    <w:rsid w:val="00D8136E"/>
    <w:rsid w:val="00D8670B"/>
    <w:rsid w:val="00D869E1"/>
    <w:rsid w:val="00D8798F"/>
    <w:rsid w:val="00D91416"/>
    <w:rsid w:val="00D91691"/>
    <w:rsid w:val="00D92550"/>
    <w:rsid w:val="00D968D3"/>
    <w:rsid w:val="00DA039A"/>
    <w:rsid w:val="00DA1D2D"/>
    <w:rsid w:val="00DA3784"/>
    <w:rsid w:val="00DA49E6"/>
    <w:rsid w:val="00DA650D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5CF1"/>
    <w:rsid w:val="00EC608C"/>
    <w:rsid w:val="00EC6AFC"/>
    <w:rsid w:val="00ED72F8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6569"/>
    <w:rsid w:val="00F43D25"/>
    <w:rsid w:val="00F471F0"/>
    <w:rsid w:val="00F47EC0"/>
    <w:rsid w:val="00F50955"/>
    <w:rsid w:val="00F54975"/>
    <w:rsid w:val="00F577CD"/>
    <w:rsid w:val="00F62820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</w:rPr>
  </w:style>
  <w:style w:type="paragraph" w:styleId="1">
    <w:name w:val="heading 1"/>
    <w:basedOn w:val="Standard"/>
    <w:next w:val="Textbody"/>
    <w:rsid w:val="0089144A"/>
    <w:pPr>
      <w:keepNext/>
      <w:pageBreakBefore/>
      <w:spacing w:before="240" w:after="240"/>
      <w:ind w:left="709" w:firstLine="0"/>
      <w:jc w:val="left"/>
      <w:outlineLvl w:val="0"/>
    </w:pPr>
    <w:rPr>
      <w:rFonts w:ascii="Cambria" w:hAnsi="Cambria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spacing w:before="100" w:after="100"/>
      <w:outlineLvl w:val="3"/>
    </w:pPr>
    <w:rPr>
      <w:b/>
      <w:bCs/>
    </w:rPr>
  </w:style>
  <w:style w:type="paragraph" w:styleId="5">
    <w:name w:val="heading 5"/>
    <w:basedOn w:val="Standard"/>
    <w:next w:val="Textbody"/>
    <w:pPr>
      <w:spacing w:before="100" w:after="100"/>
      <w:outlineLvl w:val="4"/>
    </w:pPr>
    <w:rPr>
      <w:b/>
      <w:bCs/>
      <w:sz w:val="24"/>
      <w:szCs w:val="20"/>
    </w:rPr>
  </w:style>
  <w:style w:type="paragraph" w:styleId="6">
    <w:name w:val="heading 6"/>
    <w:basedOn w:val="Heading"/>
    <w:next w:val="Textbody"/>
    <w:pPr>
      <w:outlineLvl w:val="5"/>
    </w:pPr>
    <w:rPr>
      <w:b/>
      <w:bCs/>
    </w:rPr>
  </w:style>
  <w:style w:type="paragraph" w:styleId="7">
    <w:name w:val="heading 7"/>
    <w:basedOn w:val="Heading"/>
    <w:next w:val="Textbody"/>
    <w:pPr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ind w:firstLine="709"/>
      <w:jc w:val="both"/>
      <w:textAlignment w:val="baseline"/>
    </w:pPr>
    <w:rPr>
      <w:kern w:val="3"/>
      <w:sz w:val="26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9144A"/>
    <w:pPr>
      <w:spacing w:after="120"/>
    </w:pPr>
    <w:rPr>
      <w:rFonts w:ascii="Cambria" w:hAnsi="Cambria"/>
      <w:sz w:val="28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rmal (Web)"/>
    <w:basedOn w:val="Standard"/>
    <w:uiPriority w:val="99"/>
    <w:pPr>
      <w:spacing w:before="100" w:after="100"/>
    </w:p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pPr>
      <w:tabs>
        <w:tab w:val="right" w:leader="dot" w:pos="9638"/>
      </w:tabs>
      <w:ind w:firstLine="0"/>
    </w:pPr>
  </w:style>
  <w:style w:type="paragraph" w:customStyle="1" w:styleId="Contents2">
    <w:name w:val="Contents 2"/>
    <w:basedOn w:val="Standard"/>
    <w:pPr>
      <w:tabs>
        <w:tab w:val="right" w:leader="dot" w:pos="9615"/>
      </w:tabs>
      <w:ind w:left="260" w:firstLine="0"/>
    </w:pPr>
  </w:style>
  <w:style w:type="paragraph" w:customStyle="1" w:styleId="Contents3">
    <w:name w:val="Contents 3"/>
    <w:basedOn w:val="Standard"/>
    <w:pPr>
      <w:tabs>
        <w:tab w:val="right" w:leader="dot" w:pos="9592"/>
      </w:tabs>
      <w:ind w:left="520" w:firstLine="0"/>
    </w:pPr>
  </w:style>
  <w:style w:type="paragraph" w:styleId="a7">
    <w:name w:val="footnote text"/>
    <w:basedOn w:val="Standard"/>
    <w:rPr>
      <w:sz w:val="20"/>
      <w:szCs w:val="20"/>
    </w:rPr>
  </w:style>
  <w:style w:type="paragraph" w:styleId="a8">
    <w:name w:val="endnote text"/>
    <w:basedOn w:val="Standard"/>
    <w:rPr>
      <w:sz w:val="20"/>
      <w:szCs w:val="20"/>
    </w:rPr>
  </w:style>
  <w:style w:type="paragraph" w:styleId="a9">
    <w:name w:val="Balloon Text"/>
    <w:basedOn w:val="Standard"/>
    <w:rPr>
      <w:rFonts w:ascii="Tahoma" w:hAnsi="Tahoma"/>
      <w:sz w:val="16"/>
      <w:szCs w:val="16"/>
      <w:lang w:val="en-US" w:eastAsia="en-US"/>
    </w:rPr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  <w:rPr>
      <w:lang w:val="en-US" w:eastAsia="en-US"/>
    </w:rPr>
  </w:style>
  <w:style w:type="paragraph" w:customStyle="1" w:styleId="ab">
    <w:name w:val="Обычный рисунок"/>
    <w:basedOn w:val="Standard"/>
    <w:pPr>
      <w:spacing w:before="120" w:after="120"/>
      <w:ind w:firstLine="0"/>
      <w:jc w:val="center"/>
    </w:pPr>
  </w:style>
  <w:style w:type="paragraph" w:styleId="ac">
    <w:name w:val="List Paragraph"/>
    <w:basedOn w:val="Standard"/>
    <w:pPr>
      <w:ind w:left="720"/>
    </w:pPr>
  </w:style>
  <w:style w:type="paragraph" w:customStyle="1" w:styleId="ad">
    <w:name w:val="н.фор."/>
    <w:basedOn w:val="Standard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</w:rPr>
  </w:style>
  <w:style w:type="paragraph" w:customStyle="1" w:styleId="ae">
    <w:name w:val="Обычный без отступа"/>
    <w:basedOn w:val="Standard"/>
    <w:pPr>
      <w:ind w:firstLine="0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">
    <w:name w:val="Текст сноски Знак"/>
    <w:basedOn w:val="a0"/>
  </w:style>
  <w:style w:type="character" w:styleId="af0">
    <w:name w:val="footnote reference"/>
    <w:rPr>
      <w:position w:val="0"/>
      <w:vertAlign w:val="superscript"/>
    </w:rPr>
  </w:style>
  <w:style w:type="character" w:customStyle="1" w:styleId="af1">
    <w:name w:val="Текст концевой сноски Знак"/>
    <w:basedOn w:val="a0"/>
  </w:style>
  <w:style w:type="character" w:styleId="af2">
    <w:name w:val="endnote reference"/>
    <w:rPr>
      <w:position w:val="0"/>
      <w:vertAlign w:val="superscript"/>
    </w:rPr>
  </w:style>
  <w:style w:type="character" w:customStyle="1" w:styleId="af3">
    <w:name w:val="Текст выноски Знак"/>
    <w:rPr>
      <w:rFonts w:ascii="Tahoma" w:hAnsi="Tahoma" w:cs="Tahoma"/>
      <w:sz w:val="16"/>
      <w:szCs w:val="16"/>
    </w:rPr>
  </w:style>
  <w:style w:type="character" w:customStyle="1" w:styleId="af4">
    <w:name w:val="Нижний колонтитул Знак"/>
    <w:rPr>
      <w:sz w:val="26"/>
      <w:szCs w:val="24"/>
    </w:rPr>
  </w:style>
  <w:style w:type="character" w:customStyle="1" w:styleId="af5">
    <w:name w:val="н.фор. Знак"/>
    <w:rPr>
      <w:rFonts w:ascii="Lucida Console" w:hAnsi="Lucida Console"/>
      <w:b/>
      <w:lang w:val="ru-RU" w:eastAsia="ru-RU" w:bidi="ar-SA"/>
    </w:rPr>
  </w:style>
  <w:style w:type="character" w:styleId="af6">
    <w:name w:val="Placeholder Text"/>
    <w:rPr>
      <w:color w:val="808080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paragraph" w:styleId="10">
    <w:name w:val="toc 1"/>
    <w:basedOn w:val="a"/>
    <w:next w:val="a"/>
    <w:autoRedefine/>
    <w:uiPriority w:val="39"/>
    <w:unhideWhenUsed/>
    <w:rsid w:val="0089144A"/>
    <w:rPr>
      <w:rFonts w:ascii="Cambria" w:hAnsi="Cambria"/>
      <w:sz w:val="28"/>
    </w:rPr>
  </w:style>
  <w:style w:type="paragraph" w:styleId="20">
    <w:name w:val="toc 2"/>
    <w:basedOn w:val="a"/>
    <w:next w:val="a"/>
    <w:autoRedefine/>
    <w:uiPriority w:val="39"/>
    <w:unhideWhenUsed/>
    <w:rsid w:val="0089144A"/>
    <w:pPr>
      <w:ind w:left="200"/>
    </w:pPr>
    <w:rPr>
      <w:rFonts w:ascii="Cambria" w:hAnsi="Cambria"/>
      <w:sz w:val="28"/>
    </w:rPr>
  </w:style>
  <w:style w:type="table" w:styleId="af7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2F246-64C0-4D0E-BD16-72DA13C4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3063</Words>
  <Characters>17462</Characters>
  <Application>Microsoft Office Word</Application>
  <DocSecurity>0</DocSecurity>
  <Lines>145</Lines>
  <Paragraphs>40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20" baseType="lpstr">
      <vt:lpstr>Министерство образования Российской Федерации</vt:lpstr>
      <vt:lpstr>ВВЕДЕНИЕ</vt:lpstr>
      <vt:lpstr>ЦЕЛЬ РАБОТЫ</vt:lpstr>
      <vt:lpstr>2 КРИТЕРИЙ В.М. ПОПОВА ДЛЯ АНАЛИЗА УСТОЙЧИВОСТИ САР</vt:lpstr>
      <vt:lpstr>    2.1 О критерии абсолютной устойчивости В.М. Попова</vt:lpstr>
      <vt:lpstr>    2.2 Преобразование линейной САР в нелинейную</vt:lpstr>
      <vt:lpstr>    2.3 Формулировка заданий к анализу устойчивости нелинейной САР</vt:lpstr>
      <vt:lpstr>    2.4 А можно ли использовать критерий В.М. Попова?</vt:lpstr>
      <vt:lpstr>    2.5 Анализ устойчивости с использованием критерия В.М. Попова</vt:lpstr>
      <vt:lpstr>    2.6 Новая коррекция САР и определение типа устойчивости</vt:lpstr>
      <vt:lpstr>    2.7 Анализ устойчивости скорректированной нелинейной САР</vt:lpstr>
      <vt:lpstr>    2.8 Расчет переходных процессов при подаче управляющего воздействия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20485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Андрей Долгов</cp:lastModifiedBy>
  <cp:revision>9</cp:revision>
  <cp:lastPrinted>2013-05-20T02:44:00Z</cp:lastPrinted>
  <dcterms:created xsi:type="dcterms:W3CDTF">2015-04-24T05:37:00Z</dcterms:created>
  <dcterms:modified xsi:type="dcterms:W3CDTF">2015-04-29T08:07:00Z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