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800582"/>
      <w:r w:rsidRPr="00372012">
        <w:lastRenderedPageBreak/>
        <w:t>Оглавление</w:t>
      </w:r>
      <w:bookmarkEnd w:id="0"/>
    </w:p>
    <w:p w14:paraId="30EA3507" w14:textId="77777777" w:rsidR="00317FC1" w:rsidRPr="00372012" w:rsidRDefault="00317FC1" w:rsidP="009B1EED"/>
    <w:p w14:paraId="0EFBAC9A" w14:textId="69530F3B" w:rsidR="00E244F9"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E244F9">
        <w:t>Оглавление</w:t>
      </w:r>
      <w:r w:rsidR="00E244F9">
        <w:tab/>
      </w:r>
      <w:r w:rsidR="00E244F9">
        <w:fldChar w:fldCharType="begin"/>
      </w:r>
      <w:r w:rsidR="00E244F9">
        <w:instrText xml:space="preserve"> PAGEREF _Toc447800582 \h </w:instrText>
      </w:r>
      <w:r w:rsidR="00E244F9">
        <w:fldChar w:fldCharType="separate"/>
      </w:r>
      <w:r w:rsidR="00E244F9">
        <w:t>2</w:t>
      </w:r>
      <w:r w:rsidR="00E244F9">
        <w:fldChar w:fldCharType="end"/>
      </w:r>
    </w:p>
    <w:p w14:paraId="68193FE6" w14:textId="7C56E582" w:rsidR="00E244F9" w:rsidRDefault="00E244F9">
      <w:pPr>
        <w:pStyle w:val="10"/>
        <w:rPr>
          <w:rFonts w:asciiTheme="minorHAnsi" w:eastAsiaTheme="minorEastAsia" w:hAnsiTheme="minorHAnsi" w:cstheme="minorBidi"/>
          <w:sz w:val="22"/>
          <w:szCs w:val="22"/>
        </w:rPr>
      </w:pPr>
      <w:r>
        <w:t>Введение</w:t>
      </w:r>
      <w:r>
        <w:tab/>
      </w:r>
      <w:r>
        <w:fldChar w:fldCharType="begin"/>
      </w:r>
      <w:r>
        <w:instrText xml:space="preserve"> PAGEREF _Toc447800583 \h </w:instrText>
      </w:r>
      <w:r>
        <w:fldChar w:fldCharType="separate"/>
      </w:r>
      <w:r>
        <w:t>3</w:t>
      </w:r>
      <w:r>
        <w:fldChar w:fldCharType="end"/>
      </w:r>
    </w:p>
    <w:p w14:paraId="2BB53DFC" w14:textId="3ED80E6D" w:rsidR="00E244F9" w:rsidRDefault="00E244F9">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_Toc447800584 \h </w:instrText>
      </w:r>
      <w:r>
        <w:fldChar w:fldCharType="separate"/>
      </w:r>
      <w:r>
        <w:t>4</w:t>
      </w:r>
      <w:r>
        <w:fldChar w:fldCharType="end"/>
      </w:r>
    </w:p>
    <w:p w14:paraId="6317C7CF" w14:textId="01391357" w:rsidR="00E244F9" w:rsidRDefault="00E244F9">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_Toc447800585 \h </w:instrText>
      </w:r>
      <w:r>
        <w:fldChar w:fldCharType="separate"/>
      </w:r>
      <w:r>
        <w:t>5</w:t>
      </w:r>
      <w:r>
        <w:fldChar w:fldCharType="end"/>
      </w:r>
    </w:p>
    <w:p w14:paraId="2259332E" w14:textId="6B66F4E2" w:rsidR="00E244F9" w:rsidRDefault="00E244F9">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_Toc447800586 \h </w:instrText>
      </w:r>
      <w:r>
        <w:fldChar w:fldCharType="separate"/>
      </w:r>
      <w:r>
        <w:t>5</w:t>
      </w:r>
      <w:r>
        <w:fldChar w:fldCharType="end"/>
      </w:r>
    </w:p>
    <w:p w14:paraId="530D4387" w14:textId="34C81F4B" w:rsidR="00E244F9" w:rsidRDefault="00E244F9">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_Toc447800587 \h </w:instrText>
      </w:r>
      <w:r>
        <w:fldChar w:fldCharType="separate"/>
      </w:r>
      <w:r>
        <w:t>5</w:t>
      </w:r>
      <w:r>
        <w:fldChar w:fldCharType="end"/>
      </w:r>
    </w:p>
    <w:p w14:paraId="3EE46763" w14:textId="3822DA0D" w:rsidR="00E244F9" w:rsidRDefault="00E244F9">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_Toc447800588 \h </w:instrText>
      </w:r>
      <w:r>
        <w:fldChar w:fldCharType="separate"/>
      </w:r>
      <w:r>
        <w:t>5</w:t>
      </w:r>
      <w:r>
        <w:fldChar w:fldCharType="end"/>
      </w:r>
    </w:p>
    <w:p w14:paraId="5B5F1688" w14:textId="79A2694C" w:rsidR="00E244F9" w:rsidRDefault="00E244F9">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_Toc447800589 \h </w:instrText>
      </w:r>
      <w:r>
        <w:fldChar w:fldCharType="separate"/>
      </w:r>
      <w:r>
        <w:t>6</w:t>
      </w:r>
      <w:r>
        <w:fldChar w:fldCharType="end"/>
      </w:r>
    </w:p>
    <w:p w14:paraId="69F049E1" w14:textId="4841E5CC" w:rsidR="00E244F9" w:rsidRDefault="00E244F9">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_Toc447800590 \h </w:instrText>
      </w:r>
      <w:r>
        <w:fldChar w:fldCharType="separate"/>
      </w:r>
      <w:r>
        <w:t>6</w:t>
      </w:r>
      <w:r>
        <w:fldChar w:fldCharType="end"/>
      </w:r>
    </w:p>
    <w:p w14:paraId="424F1AD9" w14:textId="00C31E63" w:rsidR="00E244F9" w:rsidRDefault="00E244F9">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_Toc447800591 \h </w:instrText>
      </w:r>
      <w:r>
        <w:fldChar w:fldCharType="separate"/>
      </w:r>
      <w:r>
        <w:t>7</w:t>
      </w:r>
      <w:r>
        <w:fldChar w:fldCharType="end"/>
      </w:r>
    </w:p>
    <w:p w14:paraId="6FC5D610" w14:textId="6DE9DE9D" w:rsidR="00E244F9" w:rsidRDefault="00E244F9">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_Toc447800592 \h </w:instrText>
      </w:r>
      <w:r>
        <w:fldChar w:fldCharType="separate"/>
      </w:r>
      <w:r>
        <w:t>8</w:t>
      </w:r>
      <w:r>
        <w:fldChar w:fldCharType="end"/>
      </w:r>
    </w:p>
    <w:p w14:paraId="13B21ED9" w14:textId="5753EB25" w:rsidR="00E244F9" w:rsidRDefault="00E244F9">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_Toc447800593 \h </w:instrText>
      </w:r>
      <w:r>
        <w:fldChar w:fldCharType="separate"/>
      </w:r>
      <w:r>
        <w:t>8</w:t>
      </w:r>
      <w:r>
        <w:fldChar w:fldCharType="end"/>
      </w:r>
    </w:p>
    <w:p w14:paraId="33562833" w14:textId="6881BA19" w:rsidR="00E244F9" w:rsidRDefault="00E244F9">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_Toc447800594 \h </w:instrText>
      </w:r>
      <w:r>
        <w:fldChar w:fldCharType="separate"/>
      </w:r>
      <w:r>
        <w:t>9</w:t>
      </w:r>
      <w:r>
        <w:fldChar w:fldCharType="end"/>
      </w:r>
    </w:p>
    <w:p w14:paraId="0B50FD4E" w14:textId="73C3228F" w:rsidR="00E244F9" w:rsidRDefault="00E244F9">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_Toc447800595 \h </w:instrText>
      </w:r>
      <w:r>
        <w:fldChar w:fldCharType="separate"/>
      </w:r>
      <w:r>
        <w:t>12</w:t>
      </w:r>
      <w:r>
        <w:fldChar w:fldCharType="end"/>
      </w:r>
    </w:p>
    <w:p w14:paraId="3D124578" w14:textId="0D262D5C" w:rsidR="00E244F9" w:rsidRDefault="00E244F9">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_Toc447800596 \h </w:instrText>
      </w:r>
      <w:r>
        <w:fldChar w:fldCharType="separate"/>
      </w:r>
      <w:r>
        <w:t>21</w:t>
      </w:r>
      <w:r>
        <w:fldChar w:fldCharType="end"/>
      </w:r>
    </w:p>
    <w:p w14:paraId="00FFE5EA" w14:textId="65B1E85E" w:rsidR="00E244F9" w:rsidRDefault="00E244F9">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_Toc447800597 \h </w:instrText>
      </w:r>
      <w:r>
        <w:fldChar w:fldCharType="separate"/>
      </w:r>
      <w:r>
        <w:t>25</w:t>
      </w:r>
      <w:r>
        <w:fldChar w:fldCharType="end"/>
      </w:r>
    </w:p>
    <w:p w14:paraId="7423E2E6" w14:textId="3D0EA40D" w:rsidR="00E244F9" w:rsidRDefault="00E244F9">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_Toc447800598 \h </w:instrText>
      </w:r>
      <w:r>
        <w:fldChar w:fldCharType="separate"/>
      </w:r>
      <w:r>
        <w:t>30</w:t>
      </w:r>
      <w:r>
        <w:fldChar w:fldCharType="end"/>
      </w:r>
    </w:p>
    <w:p w14:paraId="1FC487CC" w14:textId="3840AA80" w:rsidR="00E244F9" w:rsidRDefault="00E244F9">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_Toc447800599 \h </w:instrText>
      </w:r>
      <w:r>
        <w:fldChar w:fldCharType="separate"/>
      </w:r>
      <w:r>
        <w:t>30</w:t>
      </w:r>
      <w:r>
        <w:fldChar w:fldCharType="end"/>
      </w:r>
    </w:p>
    <w:p w14:paraId="519A4DE3" w14:textId="0FE42762" w:rsidR="00E244F9" w:rsidRDefault="00E244F9">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_Toc447800600 \h </w:instrText>
      </w:r>
      <w:r>
        <w:fldChar w:fldCharType="separate"/>
      </w:r>
      <w:r>
        <w:t>31</w:t>
      </w:r>
      <w:r>
        <w:fldChar w:fldCharType="end"/>
      </w:r>
    </w:p>
    <w:p w14:paraId="27AAE0D2" w14:textId="29BCAB56" w:rsidR="00E244F9" w:rsidRDefault="00E244F9">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_Toc447800601 \h </w:instrText>
      </w:r>
      <w:r>
        <w:fldChar w:fldCharType="separate"/>
      </w:r>
      <w:r>
        <w:t>35</w:t>
      </w:r>
      <w:r>
        <w:fldChar w:fldCharType="end"/>
      </w:r>
    </w:p>
    <w:p w14:paraId="617FAC95" w14:textId="74572D0D" w:rsidR="00E244F9" w:rsidRDefault="00E244F9">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_Toc447800602 \h </w:instrText>
      </w:r>
      <w:r>
        <w:fldChar w:fldCharType="separate"/>
      </w:r>
      <w:r>
        <w:t>36</w:t>
      </w:r>
      <w:r>
        <w:fldChar w:fldCharType="end"/>
      </w:r>
    </w:p>
    <w:p w14:paraId="7A0CB73A" w14:textId="5A40DB4A" w:rsidR="00E244F9" w:rsidRDefault="00E244F9">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_Toc447800603 \h </w:instrText>
      </w:r>
      <w:r>
        <w:fldChar w:fldCharType="separate"/>
      </w:r>
      <w:r>
        <w:t>38</w:t>
      </w:r>
      <w:r>
        <w:fldChar w:fldCharType="end"/>
      </w:r>
    </w:p>
    <w:p w14:paraId="4F06B200" w14:textId="462B878B"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800583"/>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800584"/>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800585"/>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800586"/>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41270B" w:rsidRDefault="0041270B"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41270B" w:rsidRDefault="0041270B"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41270B" w:rsidRPr="006B4ED0" w:rsidRDefault="0041270B"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41270B" w:rsidRPr="006B4ED0" w:rsidRDefault="0041270B"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41270B" w:rsidRDefault="0041270B"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41270B" w:rsidRDefault="0041270B"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41270B" w:rsidRDefault="0041270B"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41270B" w:rsidRDefault="0041270B"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41270B" w:rsidRDefault="0041270B"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41270B" w:rsidRDefault="0041270B"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41270B" w:rsidRDefault="0041270B"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41270B" w:rsidRPr="006B4ED0" w:rsidRDefault="0041270B"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41270B" w:rsidRDefault="0041270B" w:rsidP="00CF3BA2">
                              <w:pPr>
                                <w:autoSpaceDE w:val="0"/>
                                <w:autoSpaceDN w:val="0"/>
                                <w:adjustRightInd w:val="0"/>
                                <w:ind w:firstLine="0"/>
                                <w:jc w:val="center"/>
                                <w:rPr>
                                  <w:sz w:val="22"/>
                                  <w:szCs w:val="22"/>
                                </w:rPr>
                              </w:pPr>
                            </w:p>
                            <w:p w14:paraId="45E072E0" w14:textId="05CDB47F" w:rsidR="0041270B" w:rsidRPr="00CF3BA2" w:rsidRDefault="0041270B" w:rsidP="00CF3BA2">
                              <w:pPr>
                                <w:autoSpaceDE w:val="0"/>
                                <w:autoSpaceDN w:val="0"/>
                                <w:adjustRightInd w:val="0"/>
                                <w:ind w:firstLine="0"/>
                                <w:jc w:val="center"/>
                                <w:rPr>
                                  <w:sz w:val="22"/>
                                  <w:szCs w:val="22"/>
                                </w:rPr>
                              </w:pPr>
                              <w:r w:rsidRPr="00CF3BA2">
                                <w:rPr>
                                  <w:sz w:val="22"/>
                                  <w:szCs w:val="22"/>
                                </w:rPr>
                                <w:t>Бойлер</w:t>
                              </w:r>
                            </w:p>
                            <w:p w14:paraId="1FFB074D" w14:textId="407E0925" w:rsidR="0041270B" w:rsidRPr="00CF3BA2" w:rsidRDefault="0041270B"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41270B" w:rsidRDefault="0041270B"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41270B" w:rsidRDefault="0041270B" w:rsidP="006B4ED0">
                              <w:pPr>
                                <w:ind w:firstLine="0"/>
                                <w:rPr>
                                  <w:color w:val="000000"/>
                                  <w:sz w:val="26"/>
                                  <w:szCs w:val="26"/>
                                </w:rPr>
                              </w:pPr>
                              <w:r>
                                <w:rPr>
                                  <w:color w:val="000000"/>
                                  <w:sz w:val="26"/>
                                  <w:szCs w:val="26"/>
                                </w:rPr>
                                <w:t>местное</w:t>
                              </w:r>
                            </w:p>
                            <w:p w14:paraId="303385D7" w14:textId="77777777" w:rsidR="0041270B" w:rsidRDefault="0041270B" w:rsidP="006B4ED0">
                              <w:pPr>
                                <w:ind w:firstLine="0"/>
                                <w:rPr>
                                  <w:color w:val="000000"/>
                                  <w:sz w:val="26"/>
                                  <w:szCs w:val="26"/>
                                </w:rPr>
                              </w:pPr>
                              <w:r>
                                <w:rPr>
                                  <w:color w:val="000000"/>
                                  <w:sz w:val="26"/>
                                  <w:szCs w:val="26"/>
                                </w:rPr>
                                <w:t>сопроти-</w:t>
                              </w:r>
                            </w:p>
                            <w:p w14:paraId="43A24B31" w14:textId="77777777" w:rsidR="0041270B" w:rsidRPr="008D0C9D" w:rsidRDefault="0041270B"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41270B" w:rsidRDefault="0041270B"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41270B" w:rsidRDefault="0041270B"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41270B" w:rsidRDefault="0041270B"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41270B" w:rsidRDefault="0041270B"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41270B" w:rsidRDefault="0041270B"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41270B" w:rsidRDefault="0041270B"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41270B" w:rsidRPr="006B4ED0" w:rsidRDefault="0041270B"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41270B" w:rsidRPr="006B4ED0" w:rsidRDefault="0041270B"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41270B" w:rsidRDefault="0041270B"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41270B" w:rsidRDefault="0041270B"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41270B" w:rsidRDefault="0041270B"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41270B" w:rsidRDefault="0041270B"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41270B" w:rsidRDefault="0041270B"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41270B" w:rsidRDefault="0041270B"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41270B" w:rsidRDefault="0041270B"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41270B" w:rsidRPr="006B4ED0" w:rsidRDefault="0041270B"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41270B" w:rsidRDefault="0041270B" w:rsidP="00CF3BA2">
                        <w:pPr>
                          <w:autoSpaceDE w:val="0"/>
                          <w:autoSpaceDN w:val="0"/>
                          <w:adjustRightInd w:val="0"/>
                          <w:ind w:firstLine="0"/>
                          <w:jc w:val="center"/>
                          <w:rPr>
                            <w:sz w:val="22"/>
                            <w:szCs w:val="22"/>
                          </w:rPr>
                        </w:pPr>
                      </w:p>
                      <w:p w14:paraId="45E072E0" w14:textId="05CDB47F" w:rsidR="0041270B" w:rsidRPr="00CF3BA2" w:rsidRDefault="0041270B" w:rsidP="00CF3BA2">
                        <w:pPr>
                          <w:autoSpaceDE w:val="0"/>
                          <w:autoSpaceDN w:val="0"/>
                          <w:adjustRightInd w:val="0"/>
                          <w:ind w:firstLine="0"/>
                          <w:jc w:val="center"/>
                          <w:rPr>
                            <w:sz w:val="22"/>
                            <w:szCs w:val="22"/>
                          </w:rPr>
                        </w:pPr>
                        <w:r w:rsidRPr="00CF3BA2">
                          <w:rPr>
                            <w:sz w:val="22"/>
                            <w:szCs w:val="22"/>
                          </w:rPr>
                          <w:t>Бойлер</w:t>
                        </w:r>
                      </w:p>
                      <w:p w14:paraId="1FFB074D" w14:textId="407E0925" w:rsidR="0041270B" w:rsidRPr="00CF3BA2" w:rsidRDefault="0041270B"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41270B" w:rsidRDefault="0041270B"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41270B" w:rsidRDefault="0041270B" w:rsidP="006B4ED0">
                        <w:pPr>
                          <w:ind w:firstLine="0"/>
                          <w:rPr>
                            <w:color w:val="000000"/>
                            <w:sz w:val="26"/>
                            <w:szCs w:val="26"/>
                          </w:rPr>
                        </w:pPr>
                        <w:r>
                          <w:rPr>
                            <w:color w:val="000000"/>
                            <w:sz w:val="26"/>
                            <w:szCs w:val="26"/>
                          </w:rPr>
                          <w:t>местное</w:t>
                        </w:r>
                      </w:p>
                      <w:p w14:paraId="303385D7" w14:textId="77777777" w:rsidR="0041270B" w:rsidRDefault="0041270B" w:rsidP="006B4ED0">
                        <w:pPr>
                          <w:ind w:firstLine="0"/>
                          <w:rPr>
                            <w:color w:val="000000"/>
                            <w:sz w:val="26"/>
                            <w:szCs w:val="26"/>
                          </w:rPr>
                        </w:pPr>
                        <w:r>
                          <w:rPr>
                            <w:color w:val="000000"/>
                            <w:sz w:val="26"/>
                            <w:szCs w:val="26"/>
                          </w:rPr>
                          <w:t>сопроти-</w:t>
                        </w:r>
                      </w:p>
                      <w:p w14:paraId="43A24B31" w14:textId="77777777" w:rsidR="0041270B" w:rsidRPr="008D0C9D" w:rsidRDefault="0041270B"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41270B" w:rsidRDefault="0041270B"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41270B" w:rsidRDefault="0041270B"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41270B" w:rsidRDefault="0041270B"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41270B" w:rsidRDefault="0041270B"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71FCB3B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E244F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800587"/>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800588"/>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71850EC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0B78F9B7"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E244F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800589"/>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800590"/>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800591"/>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1894CC40">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412B05DC"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E244F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800592"/>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800593"/>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F6C72B7">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5221A930"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E244F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1E79AA8D">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052B16B9"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E244F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3C90B56B">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52F35D4B"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E244F9">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800594"/>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168CADA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7F137B11"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E244F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2DEF9D97">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5E0A7942"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E244F9">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1FADEA4B"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E244F9">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5C7D783B">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265466D2"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547A491F">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1258EF5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7254145C">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3A0BAC7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800595"/>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35465787"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E244F9" w:rsidRPr="00780CFC">
        <w:t>Рисунок</w:t>
      </w:r>
      <w:r w:rsidR="00E244F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E244F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466CC081"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E244F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1E9DEF0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20C5527B"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E244F9">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2BE8B9A3">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2449B4E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1A267BFB">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5DA5E766"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E244F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516F16E3">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36B92E12"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E244F9">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74065CAF"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E244F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E244F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2DCDDFFA">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629ACD7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4E1647AC">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1D083945"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E244F9">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60D4E1A0"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E244F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47C860C2">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5BDDC133"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E244F9">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CBEA6A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E244F9" w:rsidRPr="008924E5">
        <w:t xml:space="preserve">Рисунок </w:t>
      </w:r>
      <w:r w:rsidR="00E244F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22A936BE"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E244F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5E077CEB"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E244F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6D34D30F">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6E867668"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E244F9">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1E91C576">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3D658B0"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E244F9">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1A1DCD9E"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E244F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5950FFA1">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25192FFB"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E244F9">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0C4DE823"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E244F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136BB36F">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37FE5E44"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E244F9">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1685876D"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E244F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25CF6B0A">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7308EA9C"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E244F9">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78F3504"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E244F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214A1D9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24E58AAF"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E244F9">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335D5A0F">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08BA3D6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E244F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2955D81D"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E244F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1F54BA22">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188D1178"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E244F9">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1075652C">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5CF1D39B"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E244F9">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59FC211C"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E244F9">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02B71305">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01DB2393"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E244F9">
        <w:t>29</w:t>
      </w:r>
      <w:r>
        <w:fldChar w:fldCharType="end"/>
      </w:r>
      <w:r>
        <w:t xml:space="preserve"> –</w:t>
      </w:r>
      <w:r w:rsidRPr="00372012">
        <w:t xml:space="preserve"> Примитивы на схеме TPP</w:t>
      </w:r>
    </w:p>
    <w:p w14:paraId="01CC333F" w14:textId="3CE961F6"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E244F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lastRenderedPageBreak/>
              <w:drawing>
                <wp:inline distT="0" distB="0" distL="0" distR="0" wp14:anchorId="23130EFA" wp14:editId="4461459D">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39B38B9" w:rsidR="005D423D" w:rsidRPr="00780CFC" w:rsidRDefault="005D423D" w:rsidP="00196F7D">
            <w:pPr>
              <w:pStyle w:val="af0"/>
            </w:pPr>
            <w:bookmarkStart w:id="48" w:name="_Ref447702000"/>
            <w:r>
              <w:t xml:space="preserve">Рисунок </w:t>
            </w:r>
            <w:r>
              <w:fldChar w:fldCharType="begin"/>
            </w:r>
            <w:r>
              <w:instrText xml:space="preserve"> SEQ Рисунок \* ARABIC </w:instrText>
            </w:r>
            <w:r>
              <w:fldChar w:fldCharType="separate"/>
            </w:r>
            <w:r w:rsidR="00E244F9">
              <w:t>30</w:t>
            </w:r>
            <w:r>
              <w:fldChar w:fldCharType="end"/>
            </w:r>
            <w:bookmarkEnd w:id="47"/>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49" w:name="_Toc327135796"/>
      <w:bookmarkStart w:id="50" w:name="_Toc327135868"/>
      <w:bookmarkStart w:id="51" w:name="_Toc447800596"/>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49"/>
      <w:bookmarkEnd w:id="50"/>
      <w:bookmarkEnd w:id="51"/>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62B8649D">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78529877"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rsidR="00E244F9">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26CB7132"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E244F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2C700994"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E244F9">
        <w:t>Рисунок 33</w:t>
      </w:r>
      <w:r w:rsidR="00EC1E2B">
        <w:fldChar w:fldCharType="end"/>
      </w:r>
      <w:r w:rsidR="00CD2506" w:rsidRPr="00372012">
        <w:t>).</w:t>
      </w:r>
    </w:p>
    <w:p w14:paraId="21BD1A34" w14:textId="12A2E63F"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E244F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lastRenderedPageBreak/>
              <w:drawing>
                <wp:inline distT="0" distB="0" distL="0" distR="0" wp14:anchorId="2FDDC941" wp14:editId="56F8BDF0">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1C018985" w:rsidR="00ED1292" w:rsidRDefault="00ED1292" w:rsidP="00ED1292">
            <w:pPr>
              <w:pStyle w:val="af0"/>
            </w:pPr>
            <w:r>
              <w:t xml:space="preserve">Рисунок </w:t>
            </w:r>
            <w:r>
              <w:fldChar w:fldCharType="begin"/>
            </w:r>
            <w:r>
              <w:instrText xml:space="preserve"> SEQ Рисунок \* ARABIC </w:instrText>
            </w:r>
            <w:r>
              <w:fldChar w:fldCharType="separate"/>
            </w:r>
            <w:r w:rsidR="00E244F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F9B9767">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05190D9A" w:rsidR="00320FB7" w:rsidRPr="00320FB7" w:rsidRDefault="00320FB7" w:rsidP="00320FB7">
            <w:pPr>
              <w:pStyle w:val="af0"/>
            </w:pPr>
            <w:bookmarkStart w:id="53" w:name="_Ref447701970"/>
            <w:r>
              <w:t xml:space="preserve">Рисунок </w:t>
            </w:r>
            <w:r>
              <w:fldChar w:fldCharType="begin"/>
            </w:r>
            <w:r>
              <w:instrText xml:space="preserve"> SEQ Рисунок \* ARABIC </w:instrText>
            </w:r>
            <w:r>
              <w:fldChar w:fldCharType="separate"/>
            </w:r>
            <w:r w:rsidR="00E244F9">
              <w:t>33</w:t>
            </w:r>
            <w:r>
              <w:fldChar w:fldCharType="end"/>
            </w:r>
            <w:bookmarkEnd w:id="53"/>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drawing>
                <wp:inline distT="0" distB="0" distL="0" distR="0" wp14:anchorId="3CF2FBEF" wp14:editId="2F0BFD85">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0">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2D70DB4" w:rsidR="003334B7" w:rsidRDefault="003334B7" w:rsidP="0041270B">
            <w:pPr>
              <w:pStyle w:val="af0"/>
            </w:pPr>
            <w:bookmarkStart w:id="54" w:name="_Ref447702232"/>
            <w:r>
              <w:t xml:space="preserve">Рисунок </w:t>
            </w:r>
            <w:r>
              <w:fldChar w:fldCharType="begin"/>
            </w:r>
            <w:r>
              <w:instrText xml:space="preserve"> SEQ Рисунок \* ARABIC </w:instrText>
            </w:r>
            <w:r>
              <w:fldChar w:fldCharType="separate"/>
            </w:r>
            <w:r w:rsidR="00E244F9">
              <w:t>34</w:t>
            </w:r>
            <w:r>
              <w:fldChar w:fldCharType="end"/>
            </w:r>
            <w:bookmarkEnd w:id="54"/>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7A09AC82">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1">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715FA557" w:rsidR="003334B7" w:rsidRPr="00320FB7" w:rsidRDefault="003334B7" w:rsidP="009B2851">
            <w:pPr>
              <w:pStyle w:val="af0"/>
            </w:pPr>
            <w:bookmarkStart w:id="55" w:name="_Ref447702613"/>
            <w:r>
              <w:t xml:space="preserve">Рисунок </w:t>
            </w:r>
            <w:r>
              <w:fldChar w:fldCharType="begin"/>
            </w:r>
            <w:r>
              <w:instrText xml:space="preserve"> SEQ Рисунок \* ARABIC </w:instrText>
            </w:r>
            <w:r>
              <w:fldChar w:fldCharType="separate"/>
            </w:r>
            <w:r w:rsidR="00E244F9">
              <w:t>35</w:t>
            </w:r>
            <w:r>
              <w:fldChar w:fldCharType="end"/>
            </w:r>
            <w:bookmarkEnd w:id="55"/>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602BE538">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2">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00315D77" w:rsidR="005941F3" w:rsidRPr="006160D7" w:rsidRDefault="005941F3" w:rsidP="0041270B">
            <w:pPr>
              <w:pStyle w:val="af0"/>
              <w:rPr>
                <w:lang w:val="en-US"/>
              </w:rPr>
            </w:pPr>
            <w:bookmarkStart w:id="56" w:name="_Ref447702956"/>
            <w:r>
              <w:t xml:space="preserve">Рисунок </w:t>
            </w:r>
            <w:r>
              <w:fldChar w:fldCharType="begin"/>
            </w:r>
            <w:r>
              <w:instrText xml:space="preserve"> SEQ Рисунок \* ARABIC </w:instrText>
            </w:r>
            <w:r>
              <w:fldChar w:fldCharType="separate"/>
            </w:r>
            <w:r w:rsidR="00E244F9">
              <w:t>36</w:t>
            </w:r>
            <w:r>
              <w:fldChar w:fldCharType="end"/>
            </w:r>
            <w:bookmarkEnd w:id="56"/>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27FF36AD" w14:textId="5235B6A5" w:rsidR="005941F3"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E244F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E244F9">
              <w:t>Рисунок 36</w:t>
            </w:r>
            <w:r>
              <w:fldChar w:fldCharType="end"/>
            </w:r>
            <w:r>
              <w:t>)</w:t>
            </w:r>
            <w:r w:rsidRPr="00372012">
              <w:t>.</w:t>
            </w:r>
          </w:p>
        </w:tc>
      </w:tr>
    </w:tbl>
    <w:p w14:paraId="57CE7C3A" w14:textId="16B1F9E5" w:rsidR="005941F3" w:rsidRDefault="005941F3" w:rsidP="005941F3">
      <w:r w:rsidRPr="00372012">
        <w:lastRenderedPageBreak/>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w:t>
      </w:r>
      <w:r w:rsidR="00717972">
        <w:t>ыши по нужному каналу (</w:t>
      </w:r>
      <w:r w:rsidR="00FE3F6C">
        <w:fldChar w:fldCharType="begin"/>
      </w:r>
      <w:r w:rsidR="00FE3F6C">
        <w:instrText xml:space="preserve"> REF _Ref447703479 \h </w:instrText>
      </w:r>
      <w:r w:rsidR="00FE3F6C">
        <w:fldChar w:fldCharType="separate"/>
      </w:r>
      <w:r w:rsidR="00E244F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0F05881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3">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0593469D" w:rsidR="00717972" w:rsidRPr="007B1534" w:rsidRDefault="00717972" w:rsidP="00717972">
      <w:pPr>
        <w:pStyle w:val="af0"/>
      </w:pPr>
      <w:bookmarkStart w:id="57" w:name="_Ref447703479"/>
      <w:r>
        <w:t xml:space="preserve">Рисунок </w:t>
      </w:r>
      <w:r>
        <w:fldChar w:fldCharType="begin"/>
      </w:r>
      <w:r>
        <w:instrText xml:space="preserve"> SEQ Рисунок \* ARABIC </w:instrText>
      </w:r>
      <w:r>
        <w:fldChar w:fldCharType="separate"/>
      </w:r>
      <w:r w:rsidR="00E244F9">
        <w:t>37</w:t>
      </w:r>
      <w:r>
        <w:fldChar w:fldCharType="end"/>
      </w:r>
      <w:bookmarkEnd w:id="57"/>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503196C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E244F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24184CF">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4">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0078A8AA" w:rsidR="00323FFE" w:rsidRDefault="00323FFE" w:rsidP="00323FFE">
      <w:pPr>
        <w:pStyle w:val="af0"/>
      </w:pPr>
      <w:bookmarkStart w:id="58" w:name="_Ref447704781"/>
      <w:r>
        <w:t xml:space="preserve">Рисунок </w:t>
      </w:r>
      <w:r>
        <w:fldChar w:fldCharType="begin"/>
      </w:r>
      <w:r>
        <w:instrText xml:space="preserve"> SEQ Рисунок \* ARABIC </w:instrText>
      </w:r>
      <w:r>
        <w:fldChar w:fldCharType="separate"/>
      </w:r>
      <w:r w:rsidR="00E244F9">
        <w:t>38</w:t>
      </w:r>
      <w:r>
        <w:fldChar w:fldCharType="end"/>
      </w:r>
      <w:bookmarkEnd w:id="58"/>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0690DF7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5">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14D823D1" w:rsidR="00455CEC" w:rsidRDefault="00455CEC" w:rsidP="00455CEC">
      <w:pPr>
        <w:pStyle w:val="af0"/>
      </w:pPr>
      <w:r>
        <w:t xml:space="preserve">Рисунок </w:t>
      </w:r>
      <w:r>
        <w:fldChar w:fldCharType="begin"/>
      </w:r>
      <w:r>
        <w:instrText xml:space="preserve"> SEQ Рисунок \* ARABIC </w:instrText>
      </w:r>
      <w:r>
        <w:fldChar w:fldCharType="separate"/>
      </w:r>
      <w:r w:rsidR="00E244F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lastRenderedPageBreak/>
        <w:drawing>
          <wp:inline distT="0" distB="0" distL="0" distR="0" wp14:anchorId="4109EF27" wp14:editId="7EDA22D5">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6">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F287F9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E244F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11774B94">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7">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6C069CE6" w:rsidR="001E1081" w:rsidRPr="00372012" w:rsidRDefault="001E1081" w:rsidP="008E558D">
            <w:pPr>
              <w:pStyle w:val="af0"/>
            </w:pPr>
            <w:bookmarkStart w:id="59" w:name="_Ref447706772"/>
            <w:r>
              <w:t xml:space="preserve">Рисунок </w:t>
            </w:r>
            <w:r>
              <w:fldChar w:fldCharType="begin"/>
            </w:r>
            <w:r>
              <w:instrText xml:space="preserve"> SEQ Рисунок \* ARABIC </w:instrText>
            </w:r>
            <w:r>
              <w:fldChar w:fldCharType="separate"/>
            </w:r>
            <w:r w:rsidR="00E244F9">
              <w:t>41</w:t>
            </w:r>
            <w:r>
              <w:fldChar w:fldCharType="end"/>
            </w:r>
            <w:bookmarkEnd w:id="59"/>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63C947F4"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E244F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289B2C88">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8">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6F73290" w:rsidR="001E1081" w:rsidRPr="008E558D" w:rsidRDefault="001E1081" w:rsidP="008E558D">
            <w:pPr>
              <w:pStyle w:val="af0"/>
            </w:pPr>
            <w:bookmarkStart w:id="60" w:name="_Ref447708027"/>
            <w:r>
              <w:t xml:space="preserve">Рисунок </w:t>
            </w:r>
            <w:r>
              <w:fldChar w:fldCharType="begin"/>
            </w:r>
            <w:r>
              <w:instrText xml:space="preserve"> SEQ Рисунок \* ARABIC </w:instrText>
            </w:r>
            <w:r>
              <w:fldChar w:fldCharType="separate"/>
            </w:r>
            <w:r w:rsidR="00E244F9">
              <w:t>42</w:t>
            </w:r>
            <w:r>
              <w:fldChar w:fldCharType="end"/>
            </w:r>
            <w:bookmarkEnd w:id="60"/>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640826FC">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49">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00EB0EB0" w:rsidR="00E90576" w:rsidRDefault="00E90576" w:rsidP="00E90576">
      <w:pPr>
        <w:pStyle w:val="af0"/>
      </w:pPr>
      <w:bookmarkStart w:id="61" w:name="_Ref447707380"/>
      <w:r>
        <w:t xml:space="preserve">Рисунок </w:t>
      </w:r>
      <w:r>
        <w:fldChar w:fldCharType="begin"/>
      </w:r>
      <w:r>
        <w:instrText xml:space="preserve"> SEQ Рисунок \* ARABIC </w:instrText>
      </w:r>
      <w:r>
        <w:fldChar w:fldCharType="separate"/>
      </w:r>
      <w:r w:rsidR="00E244F9">
        <w:t>43</w:t>
      </w:r>
      <w:r>
        <w:fldChar w:fldCharType="end"/>
      </w:r>
      <w:bookmarkEnd w:id="61"/>
      <w:r>
        <w:t xml:space="preserve"> –</w:t>
      </w:r>
      <w:r w:rsidRPr="00372012">
        <w:t xml:space="preserve"> С</w:t>
      </w:r>
      <w:r>
        <w:t>хема с подписанными расходами в каналах и давлениями в узлах</w:t>
      </w:r>
    </w:p>
    <w:tbl>
      <w:tblPr>
        <w:tblW w:w="14175" w:type="dxa"/>
        <w:jc w:val="center"/>
        <w:tblLook w:val="01E0" w:firstRow="1" w:lastRow="1" w:firstColumn="1" w:lastColumn="1" w:noHBand="0" w:noVBand="0"/>
      </w:tblPr>
      <w:tblGrid>
        <w:gridCol w:w="7776"/>
        <w:gridCol w:w="6399"/>
      </w:tblGrid>
      <w:tr w:rsidR="00D338C1" w:rsidRPr="00372012" w14:paraId="6271659D" w14:textId="38DF083F" w:rsidTr="00D338C1">
        <w:trPr>
          <w:jc w:val="center"/>
        </w:trPr>
        <w:tc>
          <w:tcPr>
            <w:tcW w:w="7776" w:type="dxa"/>
          </w:tcPr>
          <w:p w14:paraId="613207F2" w14:textId="77777777" w:rsidR="00D338C1" w:rsidRDefault="00D338C1" w:rsidP="00B218F5">
            <w:pPr>
              <w:pStyle w:val="af0"/>
            </w:pPr>
            <w:r>
              <w:lastRenderedPageBreak/>
              <w:drawing>
                <wp:inline distT="0" distB="0" distL="0" distR="0" wp14:anchorId="6A2B3472" wp14:editId="27CC79A0">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0">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53DF9C78" w:rsidR="00D338C1" w:rsidRPr="00F60334" w:rsidRDefault="00D338C1" w:rsidP="00F60334">
            <w:pPr>
              <w:pStyle w:val="af0"/>
            </w:pPr>
            <w:bookmarkStart w:id="62" w:name="_Ref447707841"/>
            <w:r>
              <w:t xml:space="preserve">Рисунок </w:t>
            </w:r>
            <w:r>
              <w:fldChar w:fldCharType="begin"/>
            </w:r>
            <w:r>
              <w:instrText xml:space="preserve"> SEQ Рисунок \* ARABIC </w:instrText>
            </w:r>
            <w:r>
              <w:fldChar w:fldCharType="separate"/>
            </w:r>
            <w:r w:rsidR="00E244F9">
              <w:t>44</w:t>
            </w:r>
            <w:r>
              <w:fldChar w:fldCharType="end"/>
            </w:r>
            <w:bookmarkEnd w:id="62"/>
            <w:r>
              <w:t xml:space="preserve"> – </w:t>
            </w:r>
            <w:r w:rsidRPr="00372012">
              <w:t>Свойства бака (компенсатора / конденсатора турбины)</w:t>
            </w:r>
          </w:p>
        </w:tc>
        <w:tc>
          <w:tcPr>
            <w:tcW w:w="6399" w:type="dxa"/>
            <w:vMerge w:val="restart"/>
          </w:tcPr>
          <w:p w14:paraId="5CEE3C7E" w14:textId="7B2A9DAD" w:rsidR="00D338C1" w:rsidRDefault="00D338C1" w:rsidP="00D338C1">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rsidR="00E244F9">
              <w:t>Рисунок 42</w:t>
            </w:r>
            <w:r>
              <w:fldChar w:fldCharType="end"/>
            </w:r>
            <w:r w:rsidRPr="00372012">
              <w:t>).</w:t>
            </w:r>
          </w:p>
          <w:p w14:paraId="58E27216" w14:textId="2E3D596F" w:rsidR="00D338C1" w:rsidRDefault="00D338C1" w:rsidP="002E7BF7">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rsidR="00E244F9">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554EC338" w14:textId="14EA4E3A" w:rsidR="00D338C1" w:rsidRDefault="00D338C1" w:rsidP="002E7BF7">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rsidR="00E244F9">
              <w:t>Рисунок 44</w:t>
            </w:r>
            <w:r>
              <w:fldChar w:fldCharType="end"/>
            </w:r>
            <w:r w:rsidRPr="00372012">
              <w:t>).</w:t>
            </w:r>
          </w:p>
          <w:p w14:paraId="321FA044" w14:textId="6C5A9015" w:rsidR="00D338C1" w:rsidRDefault="00D338C1" w:rsidP="002E7BF7">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rsidR="00E244F9">
              <w:t>Рисунок 45</w:t>
            </w:r>
            <w:r>
              <w:fldChar w:fldCharType="end"/>
            </w:r>
            <w:r w:rsidRPr="00372012">
              <w:t>).</w:t>
            </w:r>
          </w:p>
          <w:p w14:paraId="6717A5E8" w14:textId="77777777" w:rsidR="00D338C1" w:rsidRPr="00372012" w:rsidRDefault="00D338C1" w:rsidP="001E1081">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5F4C21DE" w14:textId="2B7D6EF2" w:rsidR="00D338C1" w:rsidRDefault="00D338C1" w:rsidP="00D338C1"/>
        </w:tc>
      </w:tr>
      <w:tr w:rsidR="00D338C1" w:rsidRPr="00372012" w14:paraId="3088DD56" w14:textId="75BCB6D2" w:rsidTr="00D338C1">
        <w:tblPrEx>
          <w:jc w:val="left"/>
        </w:tblPrEx>
        <w:tc>
          <w:tcPr>
            <w:tcW w:w="7776" w:type="dxa"/>
          </w:tcPr>
          <w:p w14:paraId="41164604" w14:textId="77777777" w:rsidR="00D338C1" w:rsidRDefault="00D338C1" w:rsidP="001E1081">
            <w:pPr>
              <w:pStyle w:val="af0"/>
            </w:pPr>
            <w:r>
              <w:drawing>
                <wp:inline distT="0" distB="0" distL="0" distR="0" wp14:anchorId="2665F73F" wp14:editId="6A62AE10">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1">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101881" w14:textId="1D50373B" w:rsidR="00D338C1" w:rsidRPr="00372012" w:rsidRDefault="00D338C1" w:rsidP="001E1081">
            <w:pPr>
              <w:pStyle w:val="af0"/>
            </w:pPr>
            <w:bookmarkStart w:id="63" w:name="_Ref447707981"/>
            <w:r>
              <w:t xml:space="preserve">Рисунок </w:t>
            </w:r>
            <w:r>
              <w:fldChar w:fldCharType="begin"/>
            </w:r>
            <w:r>
              <w:instrText xml:space="preserve"> SEQ Рисунок \* ARABIC </w:instrText>
            </w:r>
            <w:r>
              <w:fldChar w:fldCharType="separate"/>
            </w:r>
            <w:r w:rsidR="00E244F9">
              <w:t>45</w:t>
            </w:r>
            <w:r>
              <w:fldChar w:fldCharType="end"/>
            </w:r>
            <w:bookmarkEnd w:id="63"/>
            <w:r>
              <w:t xml:space="preserve"> – </w:t>
            </w:r>
            <w:r w:rsidRPr="00372012">
              <w:t>Вывод на экран двух параметров конденсатора</w:t>
            </w:r>
          </w:p>
        </w:tc>
        <w:tc>
          <w:tcPr>
            <w:tcW w:w="6399" w:type="dxa"/>
            <w:vMerge/>
          </w:tcPr>
          <w:p w14:paraId="63BE9D9C" w14:textId="5CD724A3" w:rsidR="00D338C1" w:rsidRDefault="00D338C1" w:rsidP="00D338C1"/>
        </w:tc>
      </w:tr>
    </w:tbl>
    <w:p w14:paraId="28E1EA87" w14:textId="77777777" w:rsidR="000F1440" w:rsidRPr="00372012" w:rsidRDefault="00B42ED9" w:rsidP="00B42ED9">
      <w:pPr>
        <w:pStyle w:val="2"/>
      </w:pPr>
      <w:bookmarkStart w:id="64" w:name="_Toc327135797"/>
      <w:bookmarkStart w:id="65" w:name="_Toc327135869"/>
      <w:bookmarkStart w:id="66" w:name="_Toc447800597"/>
      <w:r w:rsidRPr="00372012">
        <w:t xml:space="preserve">Набор схемы </w:t>
      </w:r>
      <w:r w:rsidR="00473EE2" w:rsidRPr="00372012">
        <w:t>TPP</w:t>
      </w:r>
      <w:r w:rsidRPr="00372012">
        <w:t xml:space="preserve"> на листе РУК02</w:t>
      </w:r>
      <w:bookmarkEnd w:id="64"/>
      <w:bookmarkEnd w:id="65"/>
      <w:bookmarkEnd w:id="66"/>
    </w:p>
    <w:p w14:paraId="7DEF0E56" w14:textId="2BB621CD"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E244F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lastRenderedPageBreak/>
        <w:drawing>
          <wp:inline distT="0" distB="0" distL="0" distR="0" wp14:anchorId="6029FF55" wp14:editId="66BC8BD4">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2">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301D3F0A" w:rsidR="006F4C18" w:rsidRPr="00372012" w:rsidRDefault="006F4C18" w:rsidP="006F4C18">
      <w:pPr>
        <w:pStyle w:val="af0"/>
      </w:pPr>
      <w:bookmarkStart w:id="67" w:name="_Ref447708219"/>
      <w:r>
        <w:t xml:space="preserve">Рисунок </w:t>
      </w:r>
      <w:r>
        <w:fldChar w:fldCharType="begin"/>
      </w:r>
      <w:r>
        <w:instrText xml:space="preserve"> SEQ Рисунок \* ARABIC </w:instrText>
      </w:r>
      <w:r>
        <w:fldChar w:fldCharType="separate"/>
      </w:r>
      <w:r w:rsidR="00E244F9">
        <w:t>46</w:t>
      </w:r>
      <w:r>
        <w:fldChar w:fldCharType="end"/>
      </w:r>
      <w:bookmarkEnd w:id="67"/>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A4D330F">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3">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00DD2AFD"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2EACA7A2">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4">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3C9832F"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30A7BBE2">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5">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2A40910E"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lastRenderedPageBreak/>
        <w:drawing>
          <wp:inline distT="0" distB="0" distL="0" distR="0" wp14:anchorId="791614C6" wp14:editId="2DDF9243">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683DF3B9"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E244F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74FAE0EA">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7">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76BD4810" w:rsidR="000320B3" w:rsidRPr="000320B3" w:rsidRDefault="000320B3" w:rsidP="000320B3">
            <w:pPr>
              <w:pStyle w:val="af0"/>
            </w:pPr>
            <w:bookmarkStart w:id="68" w:name="_Ref447709350"/>
            <w:r>
              <w:t xml:space="preserve">Рисунок </w:t>
            </w:r>
            <w:r>
              <w:fldChar w:fldCharType="begin"/>
            </w:r>
            <w:r>
              <w:instrText xml:space="preserve"> SEQ Рисунок \* ARABIC </w:instrText>
            </w:r>
            <w:r>
              <w:fldChar w:fldCharType="separate"/>
            </w:r>
            <w:r w:rsidR="00E244F9">
              <w:t>51</w:t>
            </w:r>
            <w:r>
              <w:fldChar w:fldCharType="end"/>
            </w:r>
            <w:bookmarkEnd w:id="68"/>
            <w:r>
              <w:t xml:space="preserve"> – </w:t>
            </w:r>
            <w:r w:rsidRPr="00372012">
              <w:t>Свойства клапанов на листе 02</w:t>
            </w:r>
          </w:p>
        </w:tc>
        <w:tc>
          <w:tcPr>
            <w:tcW w:w="6121" w:type="dxa"/>
          </w:tcPr>
          <w:p w14:paraId="391E3373" w14:textId="49EC765E"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E244F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2170C03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E244F9">
              <w:t>Рисунок 52</w:t>
            </w:r>
            <w:r>
              <w:fldChar w:fldCharType="end"/>
            </w:r>
            <w:r w:rsidRPr="00372012">
              <w:t>).</w:t>
            </w:r>
          </w:p>
        </w:tc>
      </w:tr>
    </w:tbl>
    <w:p w14:paraId="19CFB2A3" w14:textId="08874FA8"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E244F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57936346">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8">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21471622" w:rsidR="006535AA" w:rsidRPr="006535AA" w:rsidRDefault="006535AA" w:rsidP="006535AA">
            <w:pPr>
              <w:pStyle w:val="af0"/>
            </w:pPr>
            <w:bookmarkStart w:id="69" w:name="_Ref447709458"/>
            <w:r>
              <w:t xml:space="preserve">Рисунок </w:t>
            </w:r>
            <w:r>
              <w:fldChar w:fldCharType="begin"/>
            </w:r>
            <w:r>
              <w:instrText xml:space="preserve"> SEQ Рисунок \* ARABIC </w:instrText>
            </w:r>
            <w:r>
              <w:fldChar w:fldCharType="separate"/>
            </w:r>
            <w:r w:rsidR="00E244F9">
              <w:t>52</w:t>
            </w:r>
            <w:r>
              <w:fldChar w:fldCharType="end"/>
            </w:r>
            <w:bookmarkEnd w:id="69"/>
            <w:r>
              <w:t xml:space="preserve"> –</w:t>
            </w:r>
            <w:r w:rsidRPr="00372012">
              <w:t xml:space="preserve"> Файлы с характеристиками насосов</w:t>
            </w:r>
          </w:p>
        </w:tc>
        <w:tc>
          <w:tcPr>
            <w:tcW w:w="6031" w:type="dxa"/>
          </w:tcPr>
          <w:p w14:paraId="015B2C33" w14:textId="11620C09"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E244F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4C544E6B">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59">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6E1294F4" w:rsidR="006535AA" w:rsidRPr="006535AA" w:rsidRDefault="006535AA" w:rsidP="006535AA">
      <w:pPr>
        <w:pStyle w:val="af0"/>
      </w:pPr>
      <w:bookmarkStart w:id="70" w:name="_Ref447709484"/>
      <w:r>
        <w:t xml:space="preserve">Рисунок </w:t>
      </w:r>
      <w:r>
        <w:fldChar w:fldCharType="begin"/>
      </w:r>
      <w:r>
        <w:instrText xml:space="preserve"> SEQ Рисунок \* ARABIC </w:instrText>
      </w:r>
      <w:r>
        <w:fldChar w:fldCharType="separate"/>
      </w:r>
      <w:r w:rsidR="00E244F9">
        <w:t>53</w:t>
      </w:r>
      <w:r>
        <w:fldChar w:fldCharType="end"/>
      </w:r>
      <w:bookmarkEnd w:id="70"/>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6732"/>
      </w:tblGrid>
      <w:tr w:rsidR="006535AA" w:rsidRPr="00372012" w14:paraId="7CC008A2" w14:textId="0390CAC9" w:rsidTr="000B295F">
        <w:tc>
          <w:tcPr>
            <w:tcW w:w="6276" w:type="dxa"/>
          </w:tcPr>
          <w:p w14:paraId="71721629" w14:textId="5DA85985" w:rsidR="006535AA" w:rsidRDefault="0079132A" w:rsidP="006535AA">
            <w:pPr>
              <w:pStyle w:val="af0"/>
            </w:pPr>
            <w:r>
              <w:drawing>
                <wp:inline distT="0" distB="0" distL="0" distR="0" wp14:anchorId="1E7F3E20" wp14:editId="59513E7A">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0">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210CB94A" w:rsidR="006535AA" w:rsidRPr="00372012" w:rsidRDefault="006535AA" w:rsidP="006535AA">
            <w:pPr>
              <w:pStyle w:val="af0"/>
            </w:pPr>
            <w:bookmarkStart w:id="71" w:name="_Ref447709770"/>
            <w:r>
              <w:t xml:space="preserve">Рисунок </w:t>
            </w:r>
            <w:r>
              <w:fldChar w:fldCharType="begin"/>
            </w:r>
            <w:r>
              <w:instrText xml:space="preserve"> SEQ Рисунок \* ARABIC </w:instrText>
            </w:r>
            <w:r>
              <w:fldChar w:fldCharType="separate"/>
            </w:r>
            <w:r w:rsidR="00E244F9">
              <w:t>54</w:t>
            </w:r>
            <w:r>
              <w:fldChar w:fldCharType="end"/>
            </w:r>
            <w:bookmarkEnd w:id="71"/>
            <w:r>
              <w:t xml:space="preserve"> –</w:t>
            </w:r>
            <w:r w:rsidRPr="00372012">
              <w:t xml:space="preserve"> Свойства насоса на листе 02</w:t>
            </w:r>
          </w:p>
        </w:tc>
        <w:tc>
          <w:tcPr>
            <w:tcW w:w="6732" w:type="dxa"/>
          </w:tcPr>
          <w:p w14:paraId="5057DC11" w14:textId="7B924BB6" w:rsidR="0079132A" w:rsidRPr="0079132A" w:rsidRDefault="002B1663" w:rsidP="0079132A">
            <w:pPr>
              <w:pStyle w:val="af0"/>
            </w:pPr>
            <w:r>
              <w:drawing>
                <wp:inline distT="0" distB="0" distL="0" distR="0" wp14:anchorId="366F8206" wp14:editId="1CD6C5D5">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1">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71D07639" w:rsidR="0079132A" w:rsidRDefault="0079132A" w:rsidP="0079132A">
            <w:pPr>
              <w:pStyle w:val="af0"/>
            </w:pPr>
            <w:bookmarkStart w:id="72" w:name="_Ref447709907"/>
            <w:r>
              <w:t xml:space="preserve">Рисунок </w:t>
            </w:r>
            <w:r>
              <w:fldChar w:fldCharType="begin"/>
            </w:r>
            <w:r>
              <w:instrText xml:space="preserve"> SEQ Рисунок \* ARABIC </w:instrText>
            </w:r>
            <w:r>
              <w:fldChar w:fldCharType="separate"/>
            </w:r>
            <w:r w:rsidR="00E244F9">
              <w:t>55</w:t>
            </w:r>
            <w:r>
              <w:fldChar w:fldCharType="end"/>
            </w:r>
            <w:bookmarkEnd w:id="72"/>
            <w:r>
              <w:t xml:space="preserve"> – </w:t>
            </w:r>
            <w:r w:rsidRPr="00372012">
              <w:t>Свойства местных сопротивлений на листе 02</w:t>
            </w:r>
          </w:p>
          <w:p w14:paraId="64C03B9D" w14:textId="66E5549D"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7617E1">
              <w:fldChar w:fldCharType="separate"/>
            </w:r>
            <w:r w:rsidR="00E244F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76704B5A">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2">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3" w:name="_Ref447711515"/>
          </w:p>
          <w:p w14:paraId="4C46EB20" w14:textId="012E8D1F"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E244F9">
              <w:t>56</w:t>
            </w:r>
            <w:r>
              <w:fldChar w:fldCharType="end"/>
            </w:r>
            <w:bookmarkEnd w:id="73"/>
            <w:r>
              <w:t xml:space="preserve"> –</w:t>
            </w:r>
            <w:r w:rsidRPr="00372012">
              <w:t xml:space="preserve"> Свойства внутренних узлов на листе 02</w:t>
            </w:r>
          </w:p>
        </w:tc>
        <w:tc>
          <w:tcPr>
            <w:tcW w:w="8011" w:type="dxa"/>
          </w:tcPr>
          <w:p w14:paraId="5731603A" w14:textId="77777777" w:rsidR="00E244F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2FD82AA9" w:rsidR="000B295F" w:rsidRDefault="00E244F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4D07A6C4">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5438C47D"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E244F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4" w:name="_Toc327135798"/>
      <w:bookmarkStart w:id="75" w:name="_Toc327135870"/>
      <w:bookmarkStart w:id="76" w:name="_Toc447800598"/>
      <w:r w:rsidRPr="00372012">
        <w:lastRenderedPageBreak/>
        <w:t xml:space="preserve">Расчет схемы </w:t>
      </w:r>
      <w:r w:rsidR="00473EE2" w:rsidRPr="00372012">
        <w:t>TPP</w:t>
      </w:r>
      <w:bookmarkEnd w:id="74"/>
      <w:bookmarkEnd w:id="75"/>
      <w:bookmarkEnd w:id="76"/>
    </w:p>
    <w:p w14:paraId="77D78229" w14:textId="77777777" w:rsidR="009B1EED" w:rsidRPr="00372012" w:rsidRDefault="00CE75F0" w:rsidP="009B1EED">
      <w:pPr>
        <w:pStyle w:val="2"/>
      </w:pPr>
      <w:bookmarkStart w:id="77" w:name="_Toc327135799"/>
      <w:bookmarkStart w:id="78" w:name="_Toc327135871"/>
      <w:bookmarkStart w:id="79" w:name="_Toc447800599"/>
      <w:r w:rsidRPr="00372012">
        <w:t>Моделирование теплогидравлики</w:t>
      </w:r>
      <w:bookmarkEnd w:id="77"/>
      <w:bookmarkEnd w:id="78"/>
      <w:bookmarkEnd w:id="79"/>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7B7AFFF5"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E244F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39959CC6">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4">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25C248C9" w:rsidR="00900386" w:rsidRPr="00372012" w:rsidRDefault="00850F30" w:rsidP="00850F30">
      <w:pPr>
        <w:pStyle w:val="af0"/>
      </w:pPr>
      <w:bookmarkStart w:id="80" w:name="_Ref447722704"/>
      <w:r>
        <w:t xml:space="preserve">Рисунок </w:t>
      </w:r>
      <w:r>
        <w:fldChar w:fldCharType="begin"/>
      </w:r>
      <w:r>
        <w:instrText xml:space="preserve"> SEQ Рисунок \* ARABIC </w:instrText>
      </w:r>
      <w:r>
        <w:fldChar w:fldCharType="separate"/>
      </w:r>
      <w:r w:rsidR="00E244F9">
        <w:t>58</w:t>
      </w:r>
      <w:r>
        <w:fldChar w:fldCharType="end"/>
      </w:r>
      <w:bookmarkEnd w:id="80"/>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lastRenderedPageBreak/>
        <w:drawing>
          <wp:inline distT="0" distB="0" distL="0" distR="0" wp14:anchorId="7B02D8B0" wp14:editId="3BAC1D2A">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14F582EF"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E244F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6C286E3B"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E244F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1" w:name="_Toc327135800"/>
      <w:bookmarkStart w:id="82" w:name="_Toc327135872"/>
      <w:bookmarkStart w:id="83" w:name="_Toc447800600"/>
      <w:r w:rsidRPr="00372012">
        <w:t>Создание схемы автоматики</w:t>
      </w:r>
      <w:r w:rsidR="00CD54C1" w:rsidRPr="00372012">
        <w:t xml:space="preserve"> клапана К1А</w:t>
      </w:r>
      <w:bookmarkEnd w:id="81"/>
      <w:bookmarkEnd w:id="82"/>
      <w:bookmarkEnd w:id="83"/>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54E7A7CD">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6">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27ADF4A1"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E244F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lastRenderedPageBreak/>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561D519E">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7">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21579867"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E244F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4E1078BF"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E244F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lastRenderedPageBreak/>
              <w:drawing>
                <wp:inline distT="0" distB="0" distL="0" distR="0" wp14:anchorId="78EA7400" wp14:editId="3DD0F4B0">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8">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5D9C635B" w:rsidR="00E244F9" w:rsidRPr="00372012" w:rsidRDefault="00E244F9" w:rsidP="00E244F9">
            <w:pPr>
              <w:pStyle w:val="af0"/>
            </w:pPr>
            <w:bookmarkStart w:id="84" w:name="_Ref447800604"/>
            <w:r>
              <w:t xml:space="preserve">Рисунок </w:t>
            </w:r>
            <w:r>
              <w:fldChar w:fldCharType="begin"/>
            </w:r>
            <w:r>
              <w:instrText xml:space="preserve"> SEQ Рисунок \* ARABIC </w:instrText>
            </w:r>
            <w:r>
              <w:fldChar w:fldCharType="separate"/>
            </w:r>
            <w:r>
              <w:t>62</w:t>
            </w:r>
            <w:r>
              <w:fldChar w:fldCharType="end"/>
            </w:r>
            <w:bookmarkEnd w:id="84"/>
            <w:r>
              <w:t xml:space="preserve"> –</w:t>
            </w:r>
            <w:r w:rsidRPr="00372012">
              <w:t xml:space="preserve"> Субструктура с алгоритмом автоматики</w:t>
            </w:r>
          </w:p>
        </w:tc>
        <w:tc>
          <w:tcPr>
            <w:tcW w:w="7981" w:type="dxa"/>
          </w:tcPr>
          <w:p w14:paraId="1F06363D" w14:textId="088B4773"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6A3B31">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6A3B31">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1447D90F">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69">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5D8E48C" w:rsidR="00E244F9" w:rsidRPr="00E244F9" w:rsidRDefault="00E244F9" w:rsidP="00E244F9">
            <w:pPr>
              <w:pStyle w:val="af0"/>
            </w:pPr>
            <w:bookmarkStart w:id="85" w:name="_Ref447800605"/>
            <w:r>
              <w:t xml:space="preserve">Рисунок </w:t>
            </w:r>
            <w:r>
              <w:fldChar w:fldCharType="begin"/>
            </w:r>
            <w:r>
              <w:instrText xml:space="preserve"> SEQ Рисунок \* ARABIC </w:instrText>
            </w:r>
            <w:r>
              <w:fldChar w:fldCharType="separate"/>
            </w:r>
            <w:r>
              <w:t>63</w:t>
            </w:r>
            <w:r>
              <w:fldChar w:fldCharType="end"/>
            </w:r>
            <w:bookmarkEnd w:id="85"/>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2712952E"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30211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4BABF4FB">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0">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0DB58A2C"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6" w:name="_Ref447801286"/>
            <w:r>
              <w:lastRenderedPageBreak/>
              <w:drawing>
                <wp:inline distT="0" distB="0" distL="0" distR="0" wp14:anchorId="66467ED9" wp14:editId="2D2059B6">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1">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69FBE92B" w:rsidR="000E322E" w:rsidRPr="00EB2C21" w:rsidRDefault="000E322E" w:rsidP="000E322E">
            <w:pPr>
              <w:pStyle w:val="af0"/>
            </w:pPr>
            <w:bookmarkStart w:id="87" w:name="_Ref447801344"/>
            <w:r>
              <w:t xml:space="preserve">Рисунок </w:t>
            </w:r>
            <w:r>
              <w:fldChar w:fldCharType="begin"/>
            </w:r>
            <w:r>
              <w:instrText xml:space="preserve"> SEQ Рисунок \* ARABIC </w:instrText>
            </w:r>
            <w:r>
              <w:fldChar w:fldCharType="separate"/>
            </w:r>
            <w:r>
              <w:t>65</w:t>
            </w:r>
            <w:r>
              <w:fldChar w:fldCharType="end"/>
            </w:r>
            <w:bookmarkEnd w:id="86"/>
            <w:bookmarkEnd w:id="87"/>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02856BF" w14:textId="77777777" w:rsidR="000E322E" w:rsidRDefault="000E322E" w:rsidP="000E322E">
            <w:pPr>
              <w:pStyle w:val="af0"/>
            </w:pPr>
          </w:p>
        </w:tc>
      </w:tr>
    </w:tbl>
    <w:p w14:paraId="6B958670" w14:textId="77777777" w:rsidR="00077F0F" w:rsidRPr="00372012" w:rsidRDefault="00077F0F" w:rsidP="00D04668"/>
    <w:p w14:paraId="62535672" w14:textId="0C98C0FB"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w:t>
      </w:r>
      <w:r w:rsidR="0085011B">
        <w:t>, подключите её также в базе сигналов если она еще не подключена,</w:t>
      </w:r>
      <w:r w:rsidR="00446DB5" w:rsidRPr="00372012">
        <w:t xml:space="preserve">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w:t>
      </w:r>
      <w:r w:rsidR="0085011B">
        <w:t>те сигнал «К1А_xq01»</w:t>
      </w:r>
      <w:r w:rsidR="003B22E5" w:rsidRPr="00372012">
        <w:t>.</w:t>
      </w:r>
    </w:p>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6238EDC2">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2">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3F303458"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t>67</w:t>
      </w:r>
      <w:r>
        <w:fldChar w:fldCharType="end"/>
      </w:r>
      <w:r>
        <w:t xml:space="preserve"> –</w:t>
      </w:r>
      <w:r>
        <w:t xml:space="preserve">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w:t>
      </w:r>
      <w:r w:rsidR="009942F4">
        <w:lastRenderedPageBreak/>
        <w:t xml:space="preserve">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85C28E9" w:rsidR="00CE509B" w:rsidRPr="00372012" w:rsidRDefault="00CE509B" w:rsidP="007B7443">
      <w:pPr>
        <w:pStyle w:val="af"/>
        <w:numPr>
          <w:ilvl w:val="0"/>
          <w:numId w:val="32"/>
        </w:numPr>
      </w:pPr>
      <w:r w:rsidRPr="00372012">
        <w:t>Уставка для расхода через ТО БЭЖ</w:t>
      </w:r>
      <w:r w:rsidR="008F2C91" w:rsidRPr="00372012">
        <w:t>:</w:t>
      </w:r>
      <w:r w:rsidR="009942F4">
        <w:t xml:space="preserve"> «3</w:t>
      </w:r>
      <w:r w:rsidRPr="00372012">
        <w:t>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6C839C54" w:rsidR="0052478E" w:rsidRPr="00372012" w:rsidRDefault="009942F4" w:rsidP="007B7443">
      <w:pPr>
        <w:pStyle w:val="af"/>
        <w:numPr>
          <w:ilvl w:val="0"/>
          <w:numId w:val="32"/>
        </w:numPr>
      </w:pPr>
      <w:r>
        <w:t>ПИД, интегратор: «0.07</w:t>
      </w:r>
      <w:r w:rsidR="0052478E" w:rsidRPr="00372012">
        <w:t>».</w:t>
      </w:r>
    </w:p>
    <w:p w14:paraId="6A6855DD" w14:textId="7BE0A3D7" w:rsidR="0052478E" w:rsidRPr="00372012" w:rsidRDefault="00CC4EAE" w:rsidP="007B7443">
      <w:pPr>
        <w:pStyle w:val="af"/>
        <w:numPr>
          <w:ilvl w:val="0"/>
          <w:numId w:val="32"/>
        </w:numPr>
      </w:pPr>
      <w:r w:rsidRPr="00372012">
        <w:t>ПИД, инерционно-диффер</w:t>
      </w:r>
      <w:r w:rsidR="009942F4">
        <w:t>енцирующее звено: коэффициент «5</w:t>
      </w:r>
      <w:r w:rsidRPr="00372012">
        <w:t>»,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6FCECD48" w14:textId="15F6DF4C" w:rsidR="001365E5" w:rsidRPr="00372012" w:rsidRDefault="00D74075" w:rsidP="009942F4">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5CC3B74"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88" w:name="_Toc327135801"/>
      <w:bookmarkStart w:id="89" w:name="_Toc327135873"/>
      <w:bookmarkStart w:id="90" w:name="_Toc447800601"/>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8"/>
      <w:bookmarkEnd w:id="89"/>
      <w:bookmarkEnd w:id="90"/>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09EDB4E3" w:rsidR="003A69D6" w:rsidRPr="00DD6C38" w:rsidRDefault="001A61A0" w:rsidP="00DD6C38">
            <w:pPr>
              <w:pStyle w:val="af0"/>
            </w:pPr>
            <w:r>
              <w:drawing>
                <wp:inline distT="0" distB="0" distL="0" distR="0" wp14:anchorId="7F413005" wp14:editId="3583675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3">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tc>
      </w:tr>
      <w:tr w:rsidR="003A69D6" w:rsidRPr="00372012" w14:paraId="61E915A0" w14:textId="77777777" w:rsidTr="005F2FAD">
        <w:tc>
          <w:tcPr>
            <w:tcW w:w="9571" w:type="dxa"/>
          </w:tcPr>
          <w:p w14:paraId="6BBD8D78" w14:textId="789B75F3" w:rsidR="00797D18" w:rsidRPr="00797D18" w:rsidRDefault="00797D18" w:rsidP="00797D18">
            <w:pPr>
              <w:pStyle w:val="af0"/>
            </w:pPr>
            <w:bookmarkStart w:id="91" w:name="_Ref447804370"/>
            <w:r>
              <w:t xml:space="preserve">Рисунок </w:t>
            </w:r>
            <w:r>
              <w:fldChar w:fldCharType="begin"/>
            </w:r>
            <w:r>
              <w:instrText xml:space="preserve"> SEQ Рисунок \* ARABIC </w:instrText>
            </w:r>
            <w:r>
              <w:fldChar w:fldCharType="separate"/>
            </w:r>
            <w:r w:rsidR="00E244F9">
              <w:t>68</w:t>
            </w:r>
            <w:r>
              <w:fldChar w:fldCharType="end"/>
            </w:r>
            <w:bookmarkEnd w:id="91"/>
            <w:r>
              <w:t xml:space="preserve"> –</w:t>
            </w:r>
            <w:r w:rsidR="00781D58" w:rsidRPr="00372012">
              <w:t xml:space="preserve"> Пакет двух проектов (схема TPP и схема автоматики).</w:t>
            </w:r>
          </w:p>
        </w:tc>
      </w:tr>
    </w:tbl>
    <w:p w14:paraId="11DC5193" w14:textId="70C7002F" w:rsidR="009B1EED" w:rsidRPr="00372012" w:rsidRDefault="00D940FF" w:rsidP="00901BD9">
      <w:r w:rsidRPr="00372012">
        <w:t>После добавления, можно по прежнему работать с каждым проектом отдельно в своем схемном окне, а также запускать на расчет каждый проект отдельно др</w:t>
      </w:r>
      <w:bookmarkStart w:id="92" w:name="_GoBack"/>
      <w:bookmarkEnd w:id="92"/>
      <w:r w:rsidRPr="00372012">
        <w:t xml:space="preserve">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w:t>
      </w:r>
      <w:r w:rsidR="001A61A0">
        <w:t xml:space="preserve">опка «Запустить все», </w:t>
      </w:r>
      <w:r w:rsidR="001A61A0">
        <w:fldChar w:fldCharType="begin"/>
      </w:r>
      <w:r w:rsidR="001A61A0">
        <w:instrText xml:space="preserve"> REF _Ref447804370 \h </w:instrText>
      </w:r>
      <w:r w:rsidR="001A61A0">
        <w:fldChar w:fldCharType="separate"/>
      </w:r>
      <w:r w:rsidR="001A61A0">
        <w:t>Рисунок 68</w:t>
      </w:r>
      <w:r w:rsidR="001A61A0">
        <w:fldChar w:fldCharType="end"/>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lastRenderedPageBreak/>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32F758C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69</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28EE37C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70</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93" w:name="_Toc327135802"/>
      <w:bookmarkStart w:id="94" w:name="_Toc327135874"/>
      <w:bookmarkStart w:id="95" w:name="_Toc447800602"/>
      <w:r w:rsidRPr="00372012">
        <w:t>Создание схемы автоматики</w:t>
      </w:r>
      <w:r w:rsidR="00307821" w:rsidRPr="00372012">
        <w:t xml:space="preserve"> клапана К1В и К2</w:t>
      </w:r>
      <w:bookmarkEnd w:id="93"/>
      <w:bookmarkEnd w:id="94"/>
      <w:bookmarkEnd w:id="95"/>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1FC41FC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71</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lastRenderedPageBreak/>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301339D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72</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96" w:name="_Toc327135803"/>
      <w:bookmarkStart w:id="97" w:name="_Toc327135875"/>
      <w:bookmarkStart w:id="98" w:name="_Toc447800603"/>
      <w:r w:rsidRPr="00372012">
        <w:t>Расчет некоторых динамических режимов</w:t>
      </w:r>
      <w:bookmarkEnd w:id="96"/>
      <w:bookmarkEnd w:id="97"/>
      <w:bookmarkEnd w:id="98"/>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lastRenderedPageBreak/>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553E29E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73</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69CA27F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74</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28F8E60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75</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342C444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76</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lastRenderedPageBreak/>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2B9EC6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77</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064EDC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78</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008BF16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79</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lastRenderedPageBreak/>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7C9EAE6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80</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6A96E85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81</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5736614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82</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8"/>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CAE35" w14:textId="77777777" w:rsidR="00BB7599" w:rsidRDefault="00BB7599">
      <w:r>
        <w:separator/>
      </w:r>
    </w:p>
  </w:endnote>
  <w:endnote w:type="continuationSeparator" w:id="0">
    <w:p w14:paraId="5B7D908E" w14:textId="77777777" w:rsidR="00BB7599" w:rsidRDefault="00BB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52F58EB1" w:rsidR="0041270B" w:rsidRDefault="0041270B"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1A61A0">
      <w:t>35</w:t>
    </w:r>
    <w:r>
      <w:fldChar w:fldCharType="end"/>
    </w:r>
    <w:r>
      <w:t xml:space="preserve"> из </w:t>
    </w:r>
    <w:r>
      <w:rPr>
        <w:noProof w:val="0"/>
      </w:rPr>
      <w:fldChar w:fldCharType="begin"/>
    </w:r>
    <w:r>
      <w:instrText xml:space="preserve"> NUMPAGES </w:instrText>
    </w:r>
    <w:r>
      <w:rPr>
        <w:noProof w:val="0"/>
      </w:rPr>
      <w:fldChar w:fldCharType="separate"/>
    </w:r>
    <w:r w:rsidR="001A61A0">
      <w:t>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DBF5" w14:textId="77777777" w:rsidR="00BB7599" w:rsidRDefault="00BB7599">
      <w:r>
        <w:separator/>
      </w:r>
    </w:p>
  </w:footnote>
  <w:footnote w:type="continuationSeparator" w:id="0">
    <w:p w14:paraId="339D0F98" w14:textId="77777777" w:rsidR="00BB7599" w:rsidRDefault="00BB7599">
      <w:r>
        <w:continuationSeparator/>
      </w:r>
    </w:p>
  </w:footnote>
  <w:footnote w:id="1">
    <w:p w14:paraId="2F8ABE87" w14:textId="77777777" w:rsidR="0041270B" w:rsidRDefault="0041270B">
      <w:pPr>
        <w:pStyle w:val="a8"/>
      </w:pPr>
      <w:r>
        <w:rPr>
          <w:rStyle w:val="a9"/>
        </w:rPr>
        <w:footnoteRef/>
      </w:r>
      <w:r>
        <w:t xml:space="preserve"> Библиотека «Технологические блоки», класс «Баки»</w:t>
      </w:r>
    </w:p>
  </w:footnote>
  <w:footnote w:id="2">
    <w:p w14:paraId="78BC0885" w14:textId="77777777" w:rsidR="0041270B" w:rsidRDefault="0041270B">
      <w:pPr>
        <w:pStyle w:val="a8"/>
      </w:pPr>
      <w:r>
        <w:rPr>
          <w:rStyle w:val="a9"/>
        </w:rPr>
        <w:footnoteRef/>
      </w:r>
      <w:r>
        <w:t xml:space="preserve"> Библиотека «Датчики», элемент «Датчик уровня в КО TPP»</w:t>
      </w:r>
    </w:p>
  </w:footnote>
  <w:footnote w:id="3">
    <w:p w14:paraId="3F1A7035" w14:textId="77777777" w:rsidR="0041270B" w:rsidRDefault="0041270B">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41270B" w:rsidRDefault="0041270B" w:rsidP="00DE1F26">
      <w:pPr>
        <w:pStyle w:val="a8"/>
      </w:pPr>
      <w:r>
        <w:rPr>
          <w:rStyle w:val="a9"/>
        </w:rPr>
        <w:footnoteRef/>
      </w:r>
      <w:r>
        <w:t xml:space="preserve"> Библиотека «Технологические блоки», класс «Арматура»</w:t>
      </w:r>
    </w:p>
  </w:footnote>
  <w:footnote w:id="5">
    <w:p w14:paraId="2849185C" w14:textId="77777777" w:rsidR="0041270B" w:rsidRDefault="0041270B">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E040E"/>
    <w:rsid w:val="000E169B"/>
    <w:rsid w:val="000E1D43"/>
    <w:rsid w:val="000E267F"/>
    <w:rsid w:val="000E322E"/>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415B"/>
    <w:rsid w:val="00424BA9"/>
    <w:rsid w:val="00424DFD"/>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A27"/>
    <w:rsid w:val="00450E18"/>
    <w:rsid w:val="0045319B"/>
    <w:rsid w:val="004549DD"/>
    <w:rsid w:val="00455CEC"/>
    <w:rsid w:val="00456F8B"/>
    <w:rsid w:val="00460C6E"/>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8A7"/>
    <w:rsid w:val="00571273"/>
    <w:rsid w:val="00580444"/>
    <w:rsid w:val="0058175E"/>
    <w:rsid w:val="00581E1B"/>
    <w:rsid w:val="005864B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6D6B"/>
    <w:rsid w:val="0070236B"/>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40F82"/>
    <w:rsid w:val="008462B0"/>
    <w:rsid w:val="008475A4"/>
    <w:rsid w:val="0085011B"/>
    <w:rsid w:val="00850B79"/>
    <w:rsid w:val="00850F30"/>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5CF6"/>
    <w:rsid w:val="009A72AB"/>
    <w:rsid w:val="009A788C"/>
    <w:rsid w:val="009B1EED"/>
    <w:rsid w:val="009B2851"/>
    <w:rsid w:val="009B4861"/>
    <w:rsid w:val="009C0BAB"/>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513"/>
    <w:rsid w:val="00BE3F45"/>
    <w:rsid w:val="00BE4819"/>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file:///D:\repo_github\doc\howto\03_capacitor\pic\03-04-prop-ch-04-ksis.png" TargetMode="External"/><Relationship Id="rId47" Type="http://schemas.openxmlformats.org/officeDocument/2006/relationships/image" Target="file:///D:\repo_github\doc\howto\03_capacitor\pic\03-04-par-add-g.png" TargetMode="External"/><Relationship Id="rId63" Type="http://schemas.openxmlformats.org/officeDocument/2006/relationships/image" Target="file:///D:\repo_github\doc\howto\03_capacitor\pic\03-05-prop-all-g-p.png" TargetMode="External"/><Relationship Id="rId68" Type="http://schemas.openxmlformats.org/officeDocument/2006/relationships/image" Target="file:///D:\repo_github\doc\howto\03_capacitor\pic\04-02-submodel-k1a.png" TargetMode="External"/><Relationship Id="rId84" Type="http://schemas.openxmlformats.org/officeDocument/2006/relationships/image" Target="media/image12.png"/><Relationship Id="rId89" Type="http://schemas.openxmlformats.org/officeDocument/2006/relationships/fontTable" Target="fontTable.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file:///D:\repo_github\doc\howto\03_capacitor\pic\03-05-prop-ch-01.png" TargetMode="External"/><Relationship Id="rId58" Type="http://schemas.openxmlformats.org/officeDocument/2006/relationships/image" Target="file:///D:\repo_github\doc\howto\03_capacitor\pic\03-05-file-ekn.png" TargetMode="External"/><Relationship Id="rId74" Type="http://schemas.openxmlformats.org/officeDocument/2006/relationships/image" Target="media/image2.png"/><Relationship Id="rId79" Type="http://schemas.openxmlformats.org/officeDocument/2006/relationships/image" Target="media/image7.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file:///D:\repo_github\doc\howto\03_capacitor\pic\03-04-prop-ch-05.png" TargetMode="External"/><Relationship Id="rId48" Type="http://schemas.openxmlformats.org/officeDocument/2006/relationships/image" Target="file:///D:\repo_github\doc\howto\03_capacitor\pic\03-04-par-add-g-2.png" TargetMode="External"/><Relationship Id="rId56" Type="http://schemas.openxmlformats.org/officeDocument/2006/relationships/image" Target="file:///D:\repo_github\doc\howto\03_capacitor\pic\03-05-prop-ch-04.png" TargetMode="External"/><Relationship Id="rId64" Type="http://schemas.openxmlformats.org/officeDocument/2006/relationships/image" Target="file:///D:\repo_github\doc\howto\03_capacitor\pic\04-01-scheme-time10s.png" TargetMode="External"/><Relationship Id="rId69" Type="http://schemas.openxmlformats.org/officeDocument/2006/relationships/image" Target="file:///D:\repo_github\doc\howto\03_capacitor\pic\04-02-submodel-k1a-in-out.png" TargetMode="External"/><Relationship Id="rId77" Type="http://schemas.openxmlformats.org/officeDocument/2006/relationships/image" Target="media/image5.png"/><Relationship Id="rId8" Type="http://schemas.openxmlformats.org/officeDocument/2006/relationships/image" Target="file:///D:\repo_github\doc\howto\03_capacitor\pic\01-hq-pump.png" TargetMode="External"/><Relationship Id="rId51" Type="http://schemas.openxmlformats.org/officeDocument/2006/relationships/image" Target="file:///D:\repo_github\doc\howto\03_capacitor\pic\03-04-par-add-p-l.png" TargetMode="External"/><Relationship Id="rId72" Type="http://schemas.openxmlformats.org/officeDocument/2006/relationships/image" Target="file:///D:\repo_github\doc\howto\03_capacitor\pic\04-02-submodel-k1a-version-1.png" TargetMode="External"/><Relationship Id="rId80" Type="http://schemas.openxmlformats.org/officeDocument/2006/relationships/image" Target="media/image8.png"/><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file:///D:\repo_github\doc\howto\03_capacitor\pic\03-04-prop-ch-01.png" TargetMode="External"/><Relationship Id="rId46" Type="http://schemas.openxmlformats.org/officeDocument/2006/relationships/image" Target="file:///D:\repo_github\doc\howto\03_capacitor\pic\03-04-prop-ch-08.png" TargetMode="External"/><Relationship Id="rId59" Type="http://schemas.openxmlformats.org/officeDocument/2006/relationships/image" Target="file:///D:\repo_github\doc\howto\03_capacitor\pic\03-05-file-ekn-qh.png" TargetMode="External"/><Relationship Id="rId67" Type="http://schemas.openxmlformats.org/officeDocument/2006/relationships/image" Target="file:///D:\repo_github\doc\howto\03_capacitor\pic\04-02-sdb-empty.png" TargetMode="External"/><Relationship Id="rId20" Type="http://schemas.openxmlformats.org/officeDocument/2006/relationships/image" Target="file:///D:\repo_github\doc\howto\03_capacitor\pic\03-node-p-g.png" TargetMode="External"/><Relationship Id="rId41" Type="http://schemas.openxmlformats.org/officeDocument/2006/relationships/image" Target="file:///D:\repo_github\doc\howto\03_capacitor\pic\03-04-prop-ch-04.png" TargetMode="External"/><Relationship Id="rId54" Type="http://schemas.openxmlformats.org/officeDocument/2006/relationships/image" Target="file:///D:\repo_github\doc\howto\03_capacitor\pic\03-05-prop-ch-02.png" TargetMode="External"/><Relationship Id="rId62" Type="http://schemas.openxmlformats.org/officeDocument/2006/relationships/image" Target="file:///D:\repo_github\doc\howto\03_capacitor\pic\03-05-prop-all-nodes.png" TargetMode="External"/><Relationship Id="rId70" Type="http://schemas.openxmlformats.org/officeDocument/2006/relationships/image" Target="file:///D:\repo_github\doc\howto\03_capacitor\pic\04-02-select-g-xq02.png" TargetMode="External"/><Relationship Id="rId75" Type="http://schemas.openxmlformats.org/officeDocument/2006/relationships/image" Target="media/image3.png"/><Relationship Id="rId83" Type="http://schemas.openxmlformats.org/officeDocument/2006/relationships/image" Target="media/image11.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file:///D:\repo_github\doc\howto\03_capacitor\pic\03-04-scheme-all-g-p.png" TargetMode="External"/><Relationship Id="rId57" Type="http://schemas.openxmlformats.org/officeDocument/2006/relationships/image" Target="file:///D:\repo_github\doc\howto\03_capacitor\pic\03-05-prop-chv.png" TargetMode="External"/><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file:///D:\repo_github\doc\howto\03_capacitor\pic\03-04-prop-ch-06.png" TargetMode="External"/><Relationship Id="rId52" Type="http://schemas.openxmlformats.org/officeDocument/2006/relationships/image" Target="file:///D:\repo_github\doc\howto\03_capacitor\pic\03-05-page-02.png" TargetMode="External"/><Relationship Id="rId60" Type="http://schemas.openxmlformats.org/officeDocument/2006/relationships/image" Target="file:///D:\repo_github\doc\howto\03_capacitor\pic\03-05-prop-pump1.png" TargetMode="External"/><Relationship Id="rId65" Type="http://schemas.openxmlformats.org/officeDocument/2006/relationships/image" Target="file:///D:\repo_github\doc\howto\03_capacitor\pic\04-01-scheme-time42s.png" TargetMode="External"/><Relationship Id="rId73" Type="http://schemas.openxmlformats.org/officeDocument/2006/relationships/image" Target="file:///D:\repo_github\doc\howto\03_capacitor\pic\04-03-packet.png" TargetMode="External"/><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file:///D:\repo_github\doc\howto\03_capacitor\pic\03-04-prop-ch-02.png" TargetMode="External"/><Relationship Id="rId34" Type="http://schemas.openxmlformats.org/officeDocument/2006/relationships/image" Target="file:///D:\repo_github\doc\howto\03_capacitor\pic\03-primitives.png" TargetMode="External"/><Relationship Id="rId50" Type="http://schemas.openxmlformats.org/officeDocument/2006/relationships/image" Target="file:///D:\repo_github\doc\howto\03_capacitor\pic\03-04-prop-compensator.png" TargetMode="External"/><Relationship Id="rId55" Type="http://schemas.openxmlformats.org/officeDocument/2006/relationships/image" Target="file:///D:\repo_github\doc\howto\03_capacitor\pic\03-05-prop-ch-03.png"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image" Target="file:///D:\repo_github\doc\howto\03_capacitor\pic\04-02-submodel-k1a-in-out-filled.png" TargetMode="External"/><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file:///D:\repo_github\doc\howto\03_capacitor\pic\03-04-prop-ch-03.png" TargetMode="External"/><Relationship Id="rId45" Type="http://schemas.openxmlformats.org/officeDocument/2006/relationships/image" Target="file:///D:\repo_github\doc\howto\03_capacitor\pic\03-04-prop-ch-07.png" TargetMode="External"/><Relationship Id="rId66" Type="http://schemas.openxmlformats.org/officeDocument/2006/relationships/image" Target="file:///D:\repo_github\doc\howto\03_capacitor\pic\04-02-sdb-dll.png" TargetMode="External"/><Relationship Id="rId87" Type="http://schemas.openxmlformats.org/officeDocument/2006/relationships/image" Target="media/image15.png"/><Relationship Id="rId61" Type="http://schemas.openxmlformats.org/officeDocument/2006/relationships/image" Target="file:///D:\repo_github\doc\howto\03_capacitor\pic\03-05-prop-ksi.png" TargetMode="External"/><Relationship Id="rId82" Type="http://schemas.openxmlformats.org/officeDocument/2006/relationships/image" Target="media/image10.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CD653-AB13-4712-8120-EFB8EB00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40</Pages>
  <Words>12768</Words>
  <Characters>72780</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344</cp:revision>
  <cp:lastPrinted>2013-10-18T10:23:00Z</cp:lastPrinted>
  <dcterms:created xsi:type="dcterms:W3CDTF">2016-04-01T11:50:00Z</dcterms:created>
  <dcterms:modified xsi:type="dcterms:W3CDTF">2016-04-07T11:57:00Z</dcterms:modified>
</cp:coreProperties>
</file>