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AB" w:rsidRDefault="009C0BAB" w:rsidP="00FC416F">
      <w:pPr>
        <w:pStyle w:val="2"/>
      </w:pPr>
      <w:bookmarkStart w:id="0" w:name="_Toc327135803"/>
      <w:bookmarkStart w:id="1" w:name="_Toc327135875"/>
      <w:bookmarkStart w:id="2" w:name="_Toc327360462"/>
      <w:bookmarkStart w:id="3" w:name="_GoBack"/>
      <w:bookmarkEnd w:id="3"/>
      <w:r>
        <w:t>Расчет некоторых динамических режимов</w:t>
      </w:r>
      <w:bookmarkEnd w:id="0"/>
      <w:bookmarkEnd w:id="1"/>
      <w:bookmarkEnd w:id="2"/>
    </w:p>
    <w:p w:rsidR="00D54A34" w:rsidRDefault="00D54A34" w:rsidP="00D54A34">
      <w:r>
        <w:t>Чтобы излишне не загромождать данную методику, здесь приведены графики расчета двух режимов: 1) постоянный расход подпитки 30 т/час, 2) увеличение расхода с 30 до 150 т/час и снижение обратно – до 30 т/час. Во втором случае увеличение и снижение расхода проведено скачкообразно при помощи соответствующей кнопки на схеме TPP.</w:t>
      </w:r>
    </w:p>
    <w:p w:rsidR="00D54A34" w:rsidRDefault="00D54A34" w:rsidP="00D54A34">
      <w:r>
        <w:t>Графики первого режима приведены на рисунках 84-88.</w:t>
      </w:r>
    </w:p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Tr="00BE27EA">
        <w:tc>
          <w:tcPr>
            <w:tcW w:w="9571" w:type="dxa"/>
          </w:tcPr>
          <w:p w:rsidR="00D54A34" w:rsidRPr="00881D3F" w:rsidRDefault="00D54A34" w:rsidP="00881D3F">
            <w:pPr>
              <w:pStyle w:val="af0"/>
            </w:pPr>
            <w:r w:rsidRPr="00881D3F">
              <w:rPr>
                <w:noProof/>
              </w:rPr>
              <w:drawing>
                <wp:inline distT="0" distB="0" distL="0" distR="0" wp14:anchorId="39639E9C" wp14:editId="3DC8A8AE">
                  <wp:extent cx="5934075" cy="2714625"/>
                  <wp:effectExtent l="0" t="0" r="9525" b="9525"/>
                  <wp:docPr id="82" name="Рисунок 82" descr="рисунок-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рисунок-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5F2FAD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84 – Режим 1, график уровня в ко</w:t>
            </w:r>
            <w:r>
              <w:t>нд</w:t>
            </w:r>
            <w:r w:rsidRPr="005F2FAD">
              <w:t>енсаторе</w:t>
            </w:r>
          </w:p>
        </w:tc>
      </w:tr>
    </w:tbl>
    <w:p w:rsidR="00D54A34" w:rsidRDefault="00D54A34" w:rsidP="00D54A34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AE08CE" w:rsidTr="00AE08CE">
        <w:tc>
          <w:tcPr>
            <w:tcW w:w="9571" w:type="dxa"/>
          </w:tcPr>
          <w:p w:rsidR="00AE08CE" w:rsidRPr="005F2FAD" w:rsidRDefault="00AE08CE" w:rsidP="00BE27EA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1AE51B0E" wp14:editId="624BB110">
                  <wp:extent cx="5934075" cy="2714625"/>
                  <wp:effectExtent l="0" t="0" r="9525" b="9525"/>
                  <wp:docPr id="2" name="Рисунок 2" descr="рисунок-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рисунок-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8CE" w:rsidTr="00AE08CE">
        <w:tc>
          <w:tcPr>
            <w:tcW w:w="9571" w:type="dxa"/>
          </w:tcPr>
          <w:p w:rsidR="00AE08CE" w:rsidRPr="005F2FAD" w:rsidRDefault="00AE08CE" w:rsidP="00BE27EA">
            <w:pPr>
              <w:pStyle w:val="af0"/>
            </w:pPr>
            <w:r w:rsidRPr="005F2FAD">
              <w:t>Рисунок 85 – Режим 1, график положения клапана К1В</w:t>
            </w:r>
          </w:p>
        </w:tc>
      </w:tr>
    </w:tbl>
    <w:p w:rsidR="00AE08CE" w:rsidRPr="008E4FDD" w:rsidRDefault="00AE08CE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Tr="00BE27EA">
        <w:tc>
          <w:tcPr>
            <w:tcW w:w="9571" w:type="dxa"/>
          </w:tcPr>
          <w:p w:rsidR="00D54A34" w:rsidRDefault="00D54A34" w:rsidP="00881D3F">
            <w:pPr>
              <w:pStyle w:val="af0"/>
            </w:pPr>
            <w:r>
              <w:rPr>
                <w:noProof/>
              </w:rPr>
              <w:lastRenderedPageBreak/>
              <w:drawing>
                <wp:inline distT="0" distB="0" distL="0" distR="0" wp14:anchorId="5CFD33D5" wp14:editId="78BA6145">
                  <wp:extent cx="5934075" cy="2714625"/>
                  <wp:effectExtent l="0" t="0" r="9525" b="9525"/>
                  <wp:docPr id="84" name="Рисунок 84" descr="рисунок-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рисунок-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86 – Режим 1, график положения клапана К2</w:t>
            </w:r>
          </w:p>
        </w:tc>
      </w:tr>
    </w:tbl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020A1ED6" wp14:editId="594DA154">
                  <wp:extent cx="5934075" cy="2714625"/>
                  <wp:effectExtent l="0" t="0" r="9525" b="9525"/>
                  <wp:docPr id="85" name="Рисунок 85" descr="рисунок-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рисунок-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5F2FAD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87 – Режим 1, график расхода теплоносителя через ТО БЭЖ</w:t>
            </w:r>
          </w:p>
        </w:tc>
      </w:tr>
    </w:tbl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69325C00" wp14:editId="4C006263">
                  <wp:extent cx="5934075" cy="2705100"/>
                  <wp:effectExtent l="0" t="0" r="9525" b="0"/>
                  <wp:docPr id="86" name="Рисунок 86" descr="рисунок-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рисунок-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</w:pPr>
            <w:r w:rsidRPr="005F2FAD">
              <w:t>Рисунок 88 – Режим 1, график положения клапана К1А</w:t>
            </w:r>
          </w:p>
        </w:tc>
      </w:tr>
    </w:tbl>
    <w:p w:rsidR="00D54A34" w:rsidRDefault="00D54A34" w:rsidP="00D54A34"/>
    <w:p w:rsidR="00D54A34" w:rsidRDefault="00D54A34" w:rsidP="00D54A34">
      <w:r>
        <w:lastRenderedPageBreak/>
        <w:t xml:space="preserve">Как видно из этих рисунков, созданная нами система управления поддерживает уровень в конденсаторе в заданных пределах, но при этом происходит «дребезжание» клапана К1В, из-за чего уровень в конденсаторе не может выйти точно на заданное значение и колеблется около </w:t>
      </w:r>
      <w:smartTag w:uri="urn:schemas-microsoft-com:office:smarttags" w:element="metricconverter">
        <w:smartTagPr>
          <w:attr w:name="ProductID" w:val="393 мм"/>
        </w:smartTagPr>
        <w:r>
          <w:t>393 мм</w:t>
        </w:r>
      </w:smartTag>
      <w:r>
        <w:t>. Это происходит из-за несовершенства алгоритма управления – в данном учебном примере применен обычный ПИД-регулятор, который не может выставить клапан точно в нужную позицию и удерживать его там. То есть системе управления нужна доработка.</w:t>
      </w:r>
    </w:p>
    <w:p w:rsidR="00D54A34" w:rsidRDefault="00D54A34" w:rsidP="00D54A34">
      <w:r>
        <w:t>Из-за скачков клапана происходит и резкое изменение расхода через ТО БЭЖ, и, как следствие, клапан К1А пытаеся также «подстроиться» для того чтобы через ТО БЭЖ обеспечить заданный расход в 25 кг/с (90 т/час).</w:t>
      </w:r>
    </w:p>
    <w:p w:rsidR="00D54A34" w:rsidRDefault="00D54A34" w:rsidP="00D54A34">
      <w:r>
        <w:t>Давайте теперь рассмотрим режим 2 – со следующим изменением расхода подпитки: 30 т</w:t>
      </w:r>
      <w:r w:rsidRPr="009B4861">
        <w:t>/</w:t>
      </w:r>
      <w:r>
        <w:t>час</w:t>
      </w:r>
      <w:r w:rsidRPr="009B4861">
        <w:t xml:space="preserve"> </w:t>
      </w:r>
      <w:r w:rsidRPr="00E51A83">
        <w:t>→</w:t>
      </w:r>
      <w:r w:rsidRPr="009B4861">
        <w:t xml:space="preserve"> 150 </w:t>
      </w:r>
      <w:r>
        <w:t>т</w:t>
      </w:r>
      <w:r w:rsidRPr="009B4861">
        <w:t>/</w:t>
      </w:r>
      <w:r>
        <w:t>час</w:t>
      </w:r>
      <w:r w:rsidRPr="009B4861">
        <w:t xml:space="preserve"> </w:t>
      </w:r>
      <w:r w:rsidRPr="00E51A83">
        <w:t>→</w:t>
      </w:r>
      <w:r w:rsidRPr="009B4861">
        <w:t xml:space="preserve"> </w:t>
      </w:r>
      <w:r>
        <w:t>30 т</w:t>
      </w:r>
      <w:r w:rsidRPr="009B4861">
        <w:t>/</w:t>
      </w:r>
      <w:r>
        <w:t>час</w:t>
      </w:r>
      <w:r w:rsidRPr="00C12EC6">
        <w:t>.</w:t>
      </w:r>
      <w:r>
        <w:t xml:space="preserve"> Графики представлены на рис. 89-93. На графике уровня воды (рис. 89) видны небольшие изломы – в моменты времени 200 с и 1000 с – именно в эти моменты происходило скачкообразное увеличение и уменьшение расхода подпитки. Но, поскольку в системе управления используется дифференциальное звено, которое практически мгновенно реагирует на изменение данного параметра, то клапаны К2 и К1В в эти моменты времени соответственно отреагировали на изменение расхода – сначала клапаны открылись (до 30 и 70 % соответственно), а затем закрылись (клапан К2 снова до 0%, клапан К1В вернулся к исходным «колебаниям»).</w:t>
      </w:r>
    </w:p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1B2D852B" wp14:editId="3C5A7C9E">
                  <wp:extent cx="5934075" cy="2638425"/>
                  <wp:effectExtent l="0" t="0" r="9525" b="9525"/>
                  <wp:docPr id="87" name="Рисунок 87" descr="рисунок-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рисунок-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f0"/>
            </w:pPr>
            <w:r w:rsidRPr="005F2FAD">
              <w:t>Рисунок 89 – Режим 2, график уровня в ко</w:t>
            </w:r>
            <w:r>
              <w:t>нд</w:t>
            </w:r>
            <w:r w:rsidRPr="005F2FAD">
              <w:t>енсаторе</w:t>
            </w:r>
          </w:p>
        </w:tc>
      </w:tr>
    </w:tbl>
    <w:p w:rsidR="00D54A34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e"/>
              <w:jc w:val="center"/>
            </w:pPr>
            <w:r>
              <w:rPr>
                <w:noProof/>
              </w:rPr>
              <w:drawing>
                <wp:inline distT="0" distB="0" distL="0" distR="0" wp14:anchorId="2BA72E20" wp14:editId="47A158C4">
                  <wp:extent cx="5934075" cy="2638425"/>
                  <wp:effectExtent l="0" t="0" r="9525" b="9525"/>
                  <wp:docPr id="88" name="Рисунок 88" descr="рисунок-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рисунок-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Tr="00BE27EA">
        <w:tc>
          <w:tcPr>
            <w:tcW w:w="9571" w:type="dxa"/>
          </w:tcPr>
          <w:p w:rsidR="00D54A34" w:rsidRDefault="00D54A34" w:rsidP="00BE27EA">
            <w:pPr>
              <w:pStyle w:val="af0"/>
            </w:pPr>
            <w:r w:rsidRPr="005F2FAD">
              <w:lastRenderedPageBreak/>
              <w:t>Рисунок 90 – Режим 2, график положения клапана К1В</w:t>
            </w:r>
          </w:p>
        </w:tc>
      </w:tr>
    </w:tbl>
    <w:p w:rsidR="00D54A34" w:rsidRPr="0091164F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5F2FAD" w:rsidTr="00BE27EA">
        <w:tc>
          <w:tcPr>
            <w:tcW w:w="9571" w:type="dxa"/>
          </w:tcPr>
          <w:p w:rsidR="00D54A34" w:rsidRPr="005F2FAD" w:rsidRDefault="00D54A34" w:rsidP="00BE27EA">
            <w:pPr>
              <w:pStyle w:val="af0"/>
              <w:jc w:val="both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ECDA14E" wp14:editId="41B215F0">
                  <wp:extent cx="5934075" cy="2638425"/>
                  <wp:effectExtent l="0" t="0" r="9525" b="9525"/>
                  <wp:docPr id="89" name="Рисунок 89" descr="рисунок-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рисунок-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B92A3E" w:rsidTr="00BE27EA">
        <w:tc>
          <w:tcPr>
            <w:tcW w:w="9571" w:type="dxa"/>
          </w:tcPr>
          <w:p w:rsidR="00D54A34" w:rsidRPr="00B92A3E" w:rsidRDefault="00D54A34" w:rsidP="00BE27EA">
            <w:pPr>
              <w:pStyle w:val="af0"/>
            </w:pPr>
            <w:r w:rsidRPr="005F2FAD">
              <w:t>Рисунок 91 – Режим 2, график положения клапана К2</w:t>
            </w:r>
          </w:p>
        </w:tc>
      </w:tr>
    </w:tbl>
    <w:p w:rsidR="00D54A34" w:rsidRPr="00B92A3E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5F2FAD" w:rsidTr="00BE27EA">
        <w:tc>
          <w:tcPr>
            <w:tcW w:w="9571" w:type="dxa"/>
          </w:tcPr>
          <w:p w:rsidR="00D54A34" w:rsidRPr="006C6A63" w:rsidRDefault="00D54A34" w:rsidP="00BE27EA">
            <w:pPr>
              <w:pStyle w:val="af0"/>
            </w:pPr>
            <w:r>
              <w:rPr>
                <w:noProof/>
              </w:rPr>
              <w:drawing>
                <wp:inline distT="0" distB="0" distL="0" distR="0" wp14:anchorId="77A993F5" wp14:editId="3F9E093A">
                  <wp:extent cx="5934075" cy="2628900"/>
                  <wp:effectExtent l="0" t="0" r="9525" b="0"/>
                  <wp:docPr id="90" name="Рисунок 90" descr="рисунок-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рисунок-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B92A3E" w:rsidTr="00BE27EA">
        <w:tc>
          <w:tcPr>
            <w:tcW w:w="9571" w:type="dxa"/>
          </w:tcPr>
          <w:p w:rsidR="00D54A34" w:rsidRPr="00B92A3E" w:rsidRDefault="00D54A34" w:rsidP="00BE27EA">
            <w:pPr>
              <w:pStyle w:val="af0"/>
            </w:pPr>
            <w:r w:rsidRPr="005F2FAD">
              <w:t>Рисунок 92 – Режим 2, график расхода теплоносителя через ТО БЭЖ</w:t>
            </w:r>
          </w:p>
        </w:tc>
      </w:tr>
    </w:tbl>
    <w:p w:rsidR="00D54A34" w:rsidRPr="00B92A3E" w:rsidRDefault="00D54A34" w:rsidP="00D54A34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54A34" w:rsidRPr="005F2FAD" w:rsidTr="00BE27EA">
        <w:tc>
          <w:tcPr>
            <w:tcW w:w="9571" w:type="dxa"/>
          </w:tcPr>
          <w:p w:rsidR="00D54A34" w:rsidRPr="003077A8" w:rsidRDefault="00D54A34" w:rsidP="00BE27EA">
            <w:pPr>
              <w:pStyle w:val="af0"/>
              <w:rPr>
                <w:lang w:val="en-US"/>
              </w:rPr>
            </w:pPr>
            <w:r w:rsidRPr="003077A8">
              <w:rPr>
                <w:noProof/>
              </w:rPr>
              <w:drawing>
                <wp:inline distT="0" distB="0" distL="0" distR="0" wp14:anchorId="59F6F0A4" wp14:editId="717AA8A7">
                  <wp:extent cx="5934075" cy="2628900"/>
                  <wp:effectExtent l="0" t="0" r="9525" b="0"/>
                  <wp:docPr id="91" name="Рисунок 91" descr="рисунок-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рисунок-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4A34" w:rsidRPr="00B92A3E" w:rsidTr="00BE27EA">
        <w:tc>
          <w:tcPr>
            <w:tcW w:w="9571" w:type="dxa"/>
          </w:tcPr>
          <w:p w:rsidR="00D54A34" w:rsidRPr="00B92A3E" w:rsidRDefault="00D54A34" w:rsidP="00BE27EA">
            <w:pPr>
              <w:pStyle w:val="af0"/>
            </w:pPr>
            <w:r w:rsidRPr="005F2FAD">
              <w:t>Рисунок 93 – Режим 2, график положения клапана К1А</w:t>
            </w:r>
          </w:p>
        </w:tc>
      </w:tr>
    </w:tbl>
    <w:p w:rsidR="00D54A34" w:rsidRDefault="00D54A34" w:rsidP="00D54A34">
      <w:r>
        <w:lastRenderedPageBreak/>
        <w:t>Расход через ТО БЭЖ также на протяжении всего расчета остается примерно на заданном уровне около 25 кг/с.</w:t>
      </w:r>
    </w:p>
    <w:p w:rsidR="00D54A34" w:rsidRPr="00BF6FD0" w:rsidRDefault="00D54A34" w:rsidP="00D54A34">
      <w:r>
        <w:t>Вы можете самостоятельно проводить расчеты других режимов, изменяя расход подпитки произвольно от 0 до 230 т/час и/или изменяя уставку по уровню воды в конденсаторе, а также выводить на графики любые другие параметры схемы и анализировать полученные результаты. Данный учебный пример на этом завершен, но, вообще говоря, его можно использовать как хорошую базу для создания полноценной системы управления для регулятора уровня конденсата в конденсаторе.</w:t>
      </w:r>
    </w:p>
    <w:p w:rsidR="008D35F4" w:rsidRPr="00BF6FD0" w:rsidRDefault="008D35F4" w:rsidP="00D54A34"/>
    <w:sectPr w:rsidR="008D35F4" w:rsidRPr="00BF6FD0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09" w:rsidRDefault="009E5309">
      <w:r>
        <w:separator/>
      </w:r>
    </w:p>
  </w:endnote>
  <w:endnote w:type="continuationSeparator" w:id="0">
    <w:p w:rsidR="009E5309" w:rsidRDefault="009E5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09" w:rsidRDefault="009E5309">
      <w:r>
        <w:separator/>
      </w:r>
    </w:p>
  </w:footnote>
  <w:footnote w:type="continuationSeparator" w:id="0">
    <w:p w:rsidR="009E5309" w:rsidRDefault="009E5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7BFE2B42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04B0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108F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1D3F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5309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1C68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08CE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3AF4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14A8E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2F3F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D7C4F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54A34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947ED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4E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C416F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8A32D-A825-45DE-99B9-17BB5EDF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4CB78-8720-410E-9340-7CAEC6D7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2013-05-08T13:32:00Z</dcterms:created>
  <dcterms:modified xsi:type="dcterms:W3CDTF">2015-11-10T07:20:00Z</dcterms:modified>
</cp:coreProperties>
</file>