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233D4F" w:rsidRDefault="0086098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b/>
                <w:sz w:val="36"/>
                <w:szCs w:val="36"/>
              </w:rP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19.35pt" o:ole="">
                  <v:imagedata r:id="rId7" o:title=""/>
                </v:shape>
                <o:OLEObject Type="Embed" ProgID="PBrush" ShapeID="_x0000_i1025" DrawAspect="Content" ObjectID="_1525093752" r:id="rId8"/>
              </w:object>
            </w:r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C555A5" w:rsidRPr="00B0384A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</w:t>
      </w:r>
      <w:r w:rsidR="00F349E0">
        <w:rPr>
          <w:rFonts w:ascii="Cambria" w:hAnsi="Cambria"/>
          <w:sz w:val="28"/>
        </w:rPr>
        <w:t>местного гидравлического сопротивления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>канала или трубы.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 xml:space="preserve">Работа блока основывается на добавлении дополнительной величины гидравлического сопротивления </w:t>
      </w:r>
      <w:r w:rsidR="00C555A5">
        <w:rPr>
          <w:rFonts w:ascii="Cambria" w:hAnsi="Cambria"/>
          <w:sz w:val="28"/>
        </w:rPr>
        <w:t>в заданную гидравлич</w:t>
      </w:r>
      <w:bookmarkStart w:id="0" w:name="_GoBack"/>
      <w:bookmarkEnd w:id="0"/>
      <w:r w:rsidR="00C555A5">
        <w:rPr>
          <w:rFonts w:ascii="Cambria" w:hAnsi="Cambria"/>
          <w:sz w:val="28"/>
        </w:rPr>
        <w:t>ескую связь</w:t>
      </w:r>
      <w:r w:rsidR="00CA4448">
        <w:rPr>
          <w:rFonts w:ascii="Cambria" w:hAnsi="Cambria"/>
          <w:sz w:val="28"/>
        </w:rPr>
        <w:t>.</w:t>
      </w:r>
      <w:r w:rsidR="00B0384A" w:rsidRPr="00B0384A">
        <w:rPr>
          <w:rFonts w:ascii="Cambria" w:hAnsi="Cambria"/>
          <w:sz w:val="28"/>
        </w:rPr>
        <w:t xml:space="preserve"> </w:t>
      </w:r>
      <w:r w:rsidR="00B0384A">
        <w:rPr>
          <w:rFonts w:ascii="Cambria" w:hAnsi="Cambria"/>
          <w:sz w:val="28"/>
        </w:rPr>
        <w:t>Является дочерним для блоков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Канал» и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Труба».</w:t>
      </w:r>
    </w:p>
    <w:p w:rsidR="00EF3FCA" w:rsidRPr="00672496" w:rsidRDefault="007608ED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="00BA0771" w:rsidRPr="00672496">
        <w:rPr>
          <w:rFonts w:ascii="Cambria" w:hAnsi="Cambria"/>
          <w:sz w:val="28"/>
        </w:rPr>
        <w:t>редназначен для задания местного гидравлического сопротивлени</w:t>
      </w:r>
      <w:r>
        <w:rPr>
          <w:rFonts w:ascii="Cambria" w:hAnsi="Cambria"/>
          <w:sz w:val="28"/>
        </w:rPr>
        <w:t>я в определенной точке контура</w:t>
      </w:r>
      <w:r w:rsidR="00BA0771" w:rsidRPr="0067249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w:r w:rsidR="00C555A5">
        <w:rPr>
          <w:rFonts w:ascii="Cambria" w:hAnsi="Cambria"/>
          <w:sz w:val="28"/>
        </w:rPr>
        <w:t>З</w:t>
      </w:r>
      <w:r>
        <w:rPr>
          <w:rFonts w:ascii="Cambria" w:hAnsi="Cambria"/>
          <w:sz w:val="28"/>
        </w:rPr>
        <w:t>адание координаты приложения сопротивлени</w:t>
      </w:r>
      <w:r w:rsidR="00C555A5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происходит путем задания номера гидравлической связи родительского канала. При этом визуальное расположение блока на изображении канала не имеет значение. </w:t>
      </w:r>
      <w:r w:rsidR="00B07B25">
        <w:rPr>
          <w:rFonts w:ascii="Cambria" w:hAnsi="Cambria"/>
          <w:sz w:val="28"/>
        </w:rPr>
        <w:t>Блок</w:t>
      </w:r>
      <w:r>
        <w:rPr>
          <w:rFonts w:ascii="Cambria" w:hAnsi="Cambria"/>
          <w:sz w:val="28"/>
        </w:rPr>
        <w:t xml:space="preserve"> использ</w:t>
      </w:r>
      <w:r w:rsidR="00B07B25">
        <w:rPr>
          <w:rFonts w:ascii="Cambria" w:hAnsi="Cambria"/>
          <w:sz w:val="28"/>
        </w:rPr>
        <w:t>уется</w:t>
      </w:r>
      <w:r>
        <w:rPr>
          <w:rFonts w:ascii="Cambria" w:hAnsi="Cambria"/>
          <w:sz w:val="28"/>
        </w:rPr>
        <w:t xml:space="preserve"> </w:t>
      </w:r>
      <w:r w:rsidR="00CA4448">
        <w:rPr>
          <w:rFonts w:ascii="Cambria" w:hAnsi="Cambria"/>
          <w:sz w:val="28"/>
        </w:rPr>
        <w:t>для обеспечения необходимого падения давления на участке канала или трубы</w:t>
      </w:r>
      <w:r w:rsidR="00CA4448">
        <w:rPr>
          <w:rFonts w:ascii="Cambria" w:hAnsi="Cambria"/>
          <w:sz w:val="28"/>
        </w:rPr>
        <w:t xml:space="preserve"> либо </w:t>
      </w:r>
      <w:r w:rsidR="00B07B25">
        <w:rPr>
          <w:rFonts w:ascii="Cambria" w:hAnsi="Cambria"/>
          <w:sz w:val="28"/>
        </w:rPr>
        <w:t>при моделировании</w:t>
      </w:r>
      <w:r>
        <w:rPr>
          <w:rFonts w:ascii="Cambria" w:hAnsi="Cambria"/>
          <w:sz w:val="28"/>
        </w:rPr>
        <w:t xml:space="preserve"> </w:t>
      </w:r>
      <w:r w:rsidR="00B07B25">
        <w:rPr>
          <w:rFonts w:ascii="Cambria" w:hAnsi="Cambria"/>
          <w:sz w:val="28"/>
        </w:rPr>
        <w:t>изменения геом</w:t>
      </w:r>
      <w:r w:rsidR="00CA4448">
        <w:rPr>
          <w:rFonts w:ascii="Cambria" w:hAnsi="Cambria"/>
          <w:sz w:val="28"/>
        </w:rPr>
        <w:t>етрии контура и сечения каналов. Для автоматического расчета местного сопротив</w:t>
      </w:r>
      <w:r w:rsidR="00B0384A">
        <w:rPr>
          <w:rFonts w:ascii="Cambria" w:hAnsi="Cambria"/>
          <w:sz w:val="28"/>
        </w:rPr>
        <w:t>ления при типовых изменениях геометрии канала предназначен блок «</w:t>
      </w:r>
      <w:r w:rsidR="00B0384A">
        <w:rPr>
          <w:rFonts w:ascii="Cambria" w:hAnsi="Cambria"/>
          <w:sz w:val="28"/>
          <w:lang w:val="en-US"/>
        </w:rPr>
        <w:t>HS</w:t>
      </w:r>
      <w:r w:rsidR="00B0384A" w:rsidRPr="00B0384A">
        <w:rPr>
          <w:rFonts w:ascii="Cambria" w:hAnsi="Cambria"/>
          <w:sz w:val="28"/>
        </w:rPr>
        <w:t xml:space="preserve"> – Местное сопротивление по </w:t>
      </w:r>
      <w:proofErr w:type="spellStart"/>
      <w:r w:rsidR="00B0384A" w:rsidRPr="00B0384A">
        <w:rPr>
          <w:rFonts w:ascii="Cambria" w:hAnsi="Cambria"/>
          <w:sz w:val="28"/>
        </w:rPr>
        <w:t>Идельчику</w:t>
      </w:r>
      <w:proofErr w:type="spellEnd"/>
      <w:r w:rsidR="00B0384A">
        <w:rPr>
          <w:rFonts w:ascii="Cambria" w:hAnsi="Cambria"/>
          <w:sz w:val="28"/>
        </w:rPr>
        <w:t>».</w:t>
      </w: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блок</w:t>
      </w:r>
      <w:r w:rsidR="00B0384A">
        <w:rPr>
          <w:rFonts w:ascii="Cambria" w:hAnsi="Cambria"/>
          <w:b/>
          <w:sz w:val="28"/>
        </w:rPr>
        <w:t>а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851"/>
      </w:tblGrid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Значение местного сопротивления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B0384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Перепад давления на местном сопротивлении, 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B0384A" w:rsidRDefault="00B0384A" w:rsidP="0042507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sectPr w:rsidR="00EF3FCA" w:rsidRPr="0067249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07" w:rsidRDefault="00213207" w:rsidP="0097473F">
      <w:r>
        <w:separator/>
      </w:r>
    </w:p>
  </w:endnote>
  <w:endnote w:type="continuationSeparator" w:id="0">
    <w:p w:rsidR="00213207" w:rsidRDefault="002132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07" w:rsidRDefault="00213207" w:rsidP="0097473F">
      <w:r>
        <w:separator/>
      </w:r>
    </w:p>
  </w:footnote>
  <w:footnote w:type="continuationSeparator" w:id="0">
    <w:p w:rsidR="00213207" w:rsidRDefault="002132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7D7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207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8ED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384A"/>
    <w:rsid w:val="00B06F23"/>
    <w:rsid w:val="00B07B2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55A5"/>
    <w:rsid w:val="00C5774D"/>
    <w:rsid w:val="00C77EBB"/>
    <w:rsid w:val="00C816D1"/>
    <w:rsid w:val="00C818F3"/>
    <w:rsid w:val="00C833EE"/>
    <w:rsid w:val="00C84054"/>
    <w:rsid w:val="00C8492E"/>
    <w:rsid w:val="00C95C3B"/>
    <w:rsid w:val="00CA4448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349E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Redmann</cp:lastModifiedBy>
  <cp:revision>32</cp:revision>
  <cp:lastPrinted>2011-12-19T09:00:00Z</cp:lastPrinted>
  <dcterms:created xsi:type="dcterms:W3CDTF">2015-02-11T10:00:00Z</dcterms:created>
  <dcterms:modified xsi:type="dcterms:W3CDTF">2016-05-18T13:22:00Z</dcterms:modified>
</cp:coreProperties>
</file>