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07"/>
        <w:gridCol w:w="7231"/>
      </w:tblGrid>
      <w:tr w:rsidR="008971FC" w:rsidRPr="00186A13" w:rsidTr="008E761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86A13" w:rsidRDefault="00062DEE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2112059" r:id="rId8"/>
              </w:object>
            </w:r>
          </w:p>
        </w:tc>
        <w:tc>
          <w:tcPr>
            <w:tcW w:w="7433" w:type="dxa"/>
          </w:tcPr>
          <w:p w:rsidR="008971FC" w:rsidRPr="00186A13" w:rsidRDefault="0085417F" w:rsidP="0085417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186A13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>Бак со свободным уровнем</w:t>
            </w:r>
          </w:p>
        </w:tc>
      </w:tr>
      <w:tr w:rsidR="008971FC" w:rsidRPr="00186A13" w:rsidTr="008E7616">
        <w:tc>
          <w:tcPr>
            <w:tcW w:w="2421" w:type="dxa"/>
            <w:tcBorders>
              <w:top w:val="single" w:sz="4" w:space="0" w:color="auto"/>
            </w:tcBorders>
          </w:tcPr>
          <w:p w:rsidR="008971FC" w:rsidRPr="00186A1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86A1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86A13" w:rsidTr="008E761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86A13" w:rsidRDefault="008E761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830" w:dyaOrig="2430">
                <v:shape id="_x0000_i1026" type="#_x0000_t75" style="width:91.5pt;height:121.5pt" o:ole="">
                  <v:imagedata r:id="rId9" o:title=""/>
                </v:shape>
                <o:OLEObject Type="Embed" ProgID="PBrush" ShapeID="_x0000_i1026" DrawAspect="Content" ObjectID="_1542112060" r:id="rId10"/>
              </w:object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86A13" w:rsidTr="008E7616">
        <w:tc>
          <w:tcPr>
            <w:tcW w:w="2421" w:type="dxa"/>
            <w:tcBorders>
              <w:top w:val="single" w:sz="4" w:space="0" w:color="auto"/>
            </w:tcBorders>
          </w:tcPr>
          <w:p w:rsidR="008971FC" w:rsidRPr="00186A1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86A1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186A13" w:rsidRDefault="008971FC" w:rsidP="00AD4A6D">
      <w:pPr>
        <w:ind w:firstLine="851"/>
        <w:rPr>
          <w:rFonts w:ascii="Cambria" w:hAnsi="Cambria"/>
          <w:sz w:val="28"/>
        </w:rPr>
      </w:pPr>
    </w:p>
    <w:p w:rsidR="00A817FA" w:rsidRDefault="00A817FA" w:rsidP="00AD4A6D">
      <w:pPr>
        <w:ind w:firstLine="851"/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Блок представляет собой модель открытого объема</w:t>
      </w:r>
      <w:r w:rsidR="00952E53">
        <w:rPr>
          <w:rFonts w:ascii="Cambria" w:hAnsi="Cambria"/>
          <w:sz w:val="28"/>
        </w:rPr>
        <w:t xml:space="preserve">, с заданным </w:t>
      </w:r>
      <w:r w:rsidR="00ED25AF">
        <w:rPr>
          <w:rFonts w:ascii="Cambria" w:hAnsi="Cambria"/>
          <w:sz w:val="28"/>
        </w:rPr>
        <w:t xml:space="preserve">(как правило, постоянным) </w:t>
      </w:r>
      <w:r w:rsidR="00952E53">
        <w:rPr>
          <w:rFonts w:ascii="Cambria" w:hAnsi="Cambria"/>
          <w:sz w:val="28"/>
        </w:rPr>
        <w:t xml:space="preserve">давлением </w:t>
      </w:r>
      <w:r w:rsidR="00ED25AF">
        <w:rPr>
          <w:rFonts w:ascii="Cambria" w:hAnsi="Cambria"/>
          <w:sz w:val="28"/>
        </w:rPr>
        <w:t xml:space="preserve">внешней </w:t>
      </w:r>
      <w:r w:rsidR="00952E53">
        <w:rPr>
          <w:rFonts w:ascii="Cambria" w:hAnsi="Cambria"/>
          <w:sz w:val="28"/>
        </w:rPr>
        <w:t>среды</w:t>
      </w:r>
      <w:r w:rsidR="00ED25AF">
        <w:rPr>
          <w:rFonts w:ascii="Cambria" w:hAnsi="Cambria"/>
          <w:sz w:val="28"/>
        </w:rPr>
        <w:t xml:space="preserve"> (не смешивающейся и не обменивающейся теплом с теплоносителем</w:t>
      </w:r>
      <w:r w:rsidR="00A3135A">
        <w:rPr>
          <w:rFonts w:ascii="Cambria" w:hAnsi="Cambria"/>
          <w:sz w:val="28"/>
        </w:rPr>
        <w:t xml:space="preserve"> контура</w:t>
      </w:r>
      <w:r w:rsidR="00ED25AF">
        <w:rPr>
          <w:rFonts w:ascii="Cambria" w:hAnsi="Cambria"/>
          <w:sz w:val="28"/>
        </w:rPr>
        <w:t>)</w:t>
      </w:r>
      <w:r w:rsidRPr="00186A13">
        <w:rPr>
          <w:rFonts w:ascii="Cambria" w:hAnsi="Cambria"/>
          <w:sz w:val="28"/>
        </w:rPr>
        <w:t>.</w:t>
      </w:r>
    </w:p>
    <w:p w:rsidR="00ED25AF" w:rsidRDefault="00ED25AF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 баку в виде дочерних объектов должны быть подключены 1 или более узлов (блоков типа «</w:t>
      </w:r>
      <w:r w:rsidRPr="00ED25AF">
        <w:rPr>
          <w:rFonts w:ascii="Cambria" w:hAnsi="Cambria"/>
          <w:sz w:val="28"/>
        </w:rPr>
        <w:t>HS - Узел компенсатора</w:t>
      </w:r>
      <w:r>
        <w:rPr>
          <w:rFonts w:ascii="Cambria" w:hAnsi="Cambria"/>
          <w:sz w:val="28"/>
        </w:rPr>
        <w:t>»)</w:t>
      </w:r>
      <w:r w:rsidR="00EA16A0">
        <w:rPr>
          <w:rFonts w:ascii="Cambria" w:hAnsi="Cambria"/>
          <w:sz w:val="28"/>
        </w:rPr>
        <w:t>, посредством которых бак подсоединяется к гидравлическому контуру</w:t>
      </w:r>
      <w:r w:rsidR="00DE6618">
        <w:rPr>
          <w:rFonts w:ascii="Cambria" w:hAnsi="Cambria"/>
          <w:sz w:val="28"/>
        </w:rPr>
        <w:t xml:space="preserve"> (к каналам и трубам)</w:t>
      </w:r>
      <w:r w:rsidR="00EA16A0">
        <w:rPr>
          <w:rFonts w:ascii="Cambria" w:hAnsi="Cambria"/>
          <w:sz w:val="28"/>
        </w:rPr>
        <w:t>.</w:t>
      </w:r>
    </w:p>
    <w:p w:rsidR="00EA16A0" w:rsidRDefault="00EA16A0" w:rsidP="00AD4A6D">
      <w:pPr>
        <w:ind w:firstLine="851"/>
        <w:rPr>
          <w:rFonts w:ascii="Cambria" w:hAnsi="Cambria"/>
          <w:sz w:val="28"/>
        </w:rPr>
      </w:pPr>
    </w:p>
    <w:p w:rsidR="00EA16A0" w:rsidRDefault="00EA16A0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Математическая модель бака представляет собой модель типа «камеры смешения», то есть весь теплоноситель, содержащийся в баке, имеет единые параметры (одно давление</w:t>
      </w:r>
      <w:r>
        <w:rPr>
          <w:rFonts w:ascii="Cambria" w:hAnsi="Cambria"/>
          <w:sz w:val="28"/>
          <w:lang w:val="en-US"/>
        </w:rPr>
        <w:t xml:space="preserve"> и</w:t>
      </w:r>
      <w:r>
        <w:rPr>
          <w:rFonts w:ascii="Cambria" w:hAnsi="Cambria"/>
          <w:sz w:val="28"/>
        </w:rPr>
        <w:t xml:space="preserve"> энтальпию, и, следовательно, температуру и плотность)</w:t>
      </w:r>
      <w:r w:rsidR="0049608F">
        <w:rPr>
          <w:rFonts w:ascii="Cambria" w:hAnsi="Cambria"/>
          <w:sz w:val="28"/>
        </w:rPr>
        <w:t>.</w:t>
      </w:r>
    </w:p>
    <w:p w:rsidR="00DD3591" w:rsidRDefault="00DD3591" w:rsidP="00AD4A6D">
      <w:pPr>
        <w:ind w:firstLine="851"/>
        <w:rPr>
          <w:rFonts w:ascii="Cambria" w:hAnsi="Cambria"/>
          <w:sz w:val="28"/>
        </w:rPr>
      </w:pPr>
    </w:p>
    <w:p w:rsidR="00DD3591" w:rsidRPr="00675A29" w:rsidRDefault="00DD3591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Бак может иметь подключение к тепловой структуре (стенке</w:t>
      </w:r>
      <w:r w:rsidR="002E5220">
        <w:rPr>
          <w:rFonts w:ascii="Cambria" w:hAnsi="Cambria"/>
          <w:sz w:val="28"/>
          <w:lang w:val="en-US"/>
        </w:rPr>
        <w:t xml:space="preserve"> </w:t>
      </w:r>
      <w:r w:rsidR="002E5220">
        <w:rPr>
          <w:rFonts w:ascii="Cambria" w:hAnsi="Cambria"/>
          <w:sz w:val="28"/>
        </w:rPr>
        <w:t>цилиндрической геометрии</w:t>
      </w:r>
      <w:r>
        <w:rPr>
          <w:rFonts w:ascii="Cambria" w:hAnsi="Cambria"/>
          <w:sz w:val="28"/>
        </w:rPr>
        <w:t xml:space="preserve">), для этого необходимо установить свойство </w:t>
      </w:r>
      <w:r>
        <w:rPr>
          <w:rFonts w:ascii="Cambria" w:hAnsi="Cambria"/>
          <w:sz w:val="28"/>
          <w:lang w:val="en-US"/>
        </w:rPr>
        <w:t xml:space="preserve">isHeatOut </w:t>
      </w:r>
      <w:r>
        <w:rPr>
          <w:rFonts w:ascii="Cambria" w:hAnsi="Cambria"/>
          <w:sz w:val="28"/>
        </w:rPr>
        <w:t xml:space="preserve">в «Да» и на схеме подключить какую-либо из стенок к баку. При этом необходимо соблюдать равенство элементов разбиения стенки и бака по </w:t>
      </w:r>
      <w:r w:rsidR="00EB3438">
        <w:rPr>
          <w:rFonts w:ascii="Cambria" w:hAnsi="Cambria"/>
          <w:sz w:val="28"/>
        </w:rPr>
        <w:t xml:space="preserve">количеству </w:t>
      </w:r>
      <w:r w:rsidR="00FB2857">
        <w:rPr>
          <w:rFonts w:ascii="Cambria" w:hAnsi="Cambria"/>
          <w:sz w:val="28"/>
        </w:rPr>
        <w:t>(</w:t>
      </w:r>
      <w:r w:rsidR="00FB2857">
        <w:rPr>
          <w:rFonts w:ascii="Cambria" w:hAnsi="Cambria"/>
          <w:sz w:val="28"/>
          <w:lang w:val="en-US"/>
        </w:rPr>
        <w:t xml:space="preserve">Nh) </w:t>
      </w:r>
      <w:r w:rsidR="00EB3438">
        <w:rPr>
          <w:rFonts w:ascii="Cambria" w:hAnsi="Cambria"/>
          <w:sz w:val="28"/>
        </w:rPr>
        <w:t xml:space="preserve">и </w:t>
      </w:r>
      <w:r>
        <w:rPr>
          <w:rFonts w:ascii="Cambria" w:hAnsi="Cambria"/>
          <w:sz w:val="28"/>
        </w:rPr>
        <w:t>длине</w:t>
      </w:r>
      <w:r w:rsidR="00FB2857">
        <w:rPr>
          <w:rFonts w:ascii="Cambria" w:hAnsi="Cambria"/>
          <w:sz w:val="28"/>
          <w:lang w:val="en-US"/>
        </w:rPr>
        <w:t xml:space="preserve"> (deltaH)</w:t>
      </w:r>
      <w:r>
        <w:rPr>
          <w:rFonts w:ascii="Cambria" w:hAnsi="Cambria"/>
          <w:sz w:val="28"/>
        </w:rPr>
        <w:t>.</w:t>
      </w:r>
      <w:r w:rsidR="00675A29">
        <w:rPr>
          <w:rFonts w:ascii="Cambria" w:hAnsi="Cambria"/>
          <w:sz w:val="28"/>
          <w:lang w:val="en-US"/>
        </w:rPr>
        <w:t xml:space="preserve"> </w:t>
      </w:r>
      <w:r w:rsidR="00675A29">
        <w:rPr>
          <w:rFonts w:ascii="Cambria" w:hAnsi="Cambria"/>
          <w:sz w:val="28"/>
        </w:rPr>
        <w:t xml:space="preserve">Свойства </w:t>
      </w:r>
      <w:r w:rsidR="00675A29">
        <w:rPr>
          <w:rFonts w:ascii="Cambria" w:hAnsi="Cambria"/>
          <w:sz w:val="28"/>
          <w:lang w:val="en-US"/>
        </w:rPr>
        <w:t xml:space="preserve">Nh, deltaH, alfa </w:t>
      </w:r>
      <w:r w:rsidR="00675A29">
        <w:rPr>
          <w:rFonts w:ascii="Cambria" w:hAnsi="Cambria"/>
          <w:sz w:val="28"/>
        </w:rPr>
        <w:t>задаются и влияют на расчет только при подключении теплов</w:t>
      </w:r>
      <w:r w:rsidR="003D2704">
        <w:rPr>
          <w:rFonts w:ascii="Cambria" w:hAnsi="Cambria"/>
          <w:sz w:val="28"/>
        </w:rPr>
        <w:t>ых</w:t>
      </w:r>
      <w:r w:rsidR="00675A29">
        <w:rPr>
          <w:rFonts w:ascii="Cambria" w:hAnsi="Cambria"/>
          <w:sz w:val="28"/>
        </w:rPr>
        <w:t xml:space="preserve"> с</w:t>
      </w:r>
      <w:r w:rsidR="003D2704">
        <w:rPr>
          <w:rFonts w:ascii="Cambria" w:hAnsi="Cambria"/>
          <w:sz w:val="28"/>
        </w:rPr>
        <w:t>труктур</w:t>
      </w:r>
      <w:r w:rsidR="00675A29">
        <w:rPr>
          <w:rFonts w:ascii="Cambria" w:hAnsi="Cambria"/>
          <w:sz w:val="28"/>
        </w:rPr>
        <w:t xml:space="preserve"> к баку.</w:t>
      </w:r>
    </w:p>
    <w:p w:rsidR="00ED25AF" w:rsidRDefault="00ED25AF" w:rsidP="00AD4A6D">
      <w:pPr>
        <w:ind w:firstLine="851"/>
        <w:rPr>
          <w:rFonts w:ascii="Cambria" w:hAnsi="Cambria"/>
          <w:sz w:val="28"/>
        </w:rPr>
      </w:pPr>
    </w:p>
    <w:p w:rsidR="00952E53" w:rsidRDefault="00952E53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Физический объект, соответствующий блоку: </w:t>
      </w:r>
      <w:r w:rsidR="00C576D0">
        <w:rPr>
          <w:rFonts w:ascii="Cambria" w:hAnsi="Cambria"/>
          <w:sz w:val="28"/>
        </w:rPr>
        <w:t xml:space="preserve">негерметичный </w:t>
      </w:r>
      <w:r>
        <w:rPr>
          <w:rFonts w:ascii="Cambria" w:hAnsi="Cambria"/>
          <w:sz w:val="28"/>
        </w:rPr>
        <w:t xml:space="preserve">бак </w:t>
      </w:r>
      <w:r w:rsidR="00C576D0">
        <w:rPr>
          <w:rFonts w:ascii="Cambria" w:hAnsi="Cambria"/>
          <w:sz w:val="28"/>
        </w:rPr>
        <w:t>(</w:t>
      </w:r>
      <w:r>
        <w:rPr>
          <w:rFonts w:ascii="Cambria" w:hAnsi="Cambria"/>
          <w:sz w:val="28"/>
        </w:rPr>
        <w:t>с открытой крышкой</w:t>
      </w:r>
      <w:r w:rsidR="00C576D0">
        <w:rPr>
          <w:rFonts w:ascii="Cambria" w:hAnsi="Cambria"/>
          <w:sz w:val="28"/>
        </w:rPr>
        <w:t>)</w:t>
      </w:r>
      <w:r>
        <w:rPr>
          <w:rFonts w:ascii="Cambria" w:hAnsi="Cambria"/>
          <w:sz w:val="28"/>
        </w:rPr>
        <w:t>, со свободным уровнем и постоянным (слабоменяющимся) давлением атмосферы или другой среды.</w:t>
      </w:r>
    </w:p>
    <w:p w:rsidR="000907A6" w:rsidRDefault="000907A6" w:rsidP="00AD4A6D">
      <w:pPr>
        <w:ind w:firstLine="851"/>
        <w:rPr>
          <w:rFonts w:ascii="Cambria" w:hAnsi="Cambria"/>
          <w:sz w:val="28"/>
        </w:rPr>
      </w:pPr>
    </w:p>
    <w:p w:rsidR="006667B9" w:rsidRPr="006667B9" w:rsidRDefault="000907A6" w:rsidP="006667B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Свойство «Тип геометрии» задаёт способ вычисления текущего уровня </w:t>
      </w:r>
      <w:r w:rsidR="002F2E0B">
        <w:rPr>
          <w:rFonts w:ascii="Cambria" w:hAnsi="Cambria"/>
          <w:sz w:val="28"/>
        </w:rPr>
        <w:t>теплоносителя в баке в зависимости от объе</w:t>
      </w:r>
      <w:r w:rsidR="002975DE">
        <w:rPr>
          <w:rFonts w:ascii="Cambria" w:hAnsi="Cambria"/>
          <w:sz w:val="28"/>
        </w:rPr>
        <w:t xml:space="preserve">ма теплоносителя и объема бака. </w:t>
      </w:r>
      <w:r w:rsidR="002F2E0B">
        <w:rPr>
          <w:rFonts w:ascii="Cambria" w:hAnsi="Cambria"/>
          <w:sz w:val="28"/>
        </w:rPr>
        <w:t xml:space="preserve">Свойство </w:t>
      </w:r>
      <w:r w:rsidR="002F2E0B">
        <w:rPr>
          <w:rFonts w:ascii="Cambria" w:hAnsi="Cambria"/>
          <w:sz w:val="28"/>
          <w:lang w:val="en-US"/>
        </w:rPr>
        <w:t xml:space="preserve">L=f(V) </w:t>
      </w:r>
      <w:r w:rsidR="002F2E0B">
        <w:rPr>
          <w:rFonts w:ascii="Cambria" w:hAnsi="Cambria"/>
          <w:sz w:val="28"/>
        </w:rPr>
        <w:t>характеризует профиль бака по высоте, для произвольной геометрии.</w:t>
      </w:r>
      <w:r w:rsidR="007A4F1B">
        <w:rPr>
          <w:rFonts w:ascii="Cambria" w:hAnsi="Cambria"/>
          <w:sz w:val="28"/>
          <w:lang w:val="en-US"/>
        </w:rPr>
        <w:t xml:space="preserve"> </w:t>
      </w:r>
      <w:r w:rsidR="007A4F1B">
        <w:rPr>
          <w:rFonts w:ascii="Cambria" w:hAnsi="Cambria"/>
          <w:sz w:val="28"/>
        </w:rPr>
        <w:t>В этом случае свойство «Внутренний диаметр» не используется.</w:t>
      </w:r>
      <w:bookmarkStart w:id="0" w:name="_GoBack"/>
      <w:bookmarkEnd w:id="0"/>
    </w:p>
    <w:p w:rsidR="00207B7F" w:rsidRPr="00186A13" w:rsidRDefault="00207B7F" w:rsidP="00AD4A6D">
      <w:pPr>
        <w:ind w:firstLine="851"/>
        <w:rPr>
          <w:rFonts w:ascii="Cambria" w:hAnsi="Cambria"/>
          <w:sz w:val="28"/>
        </w:rPr>
      </w:pPr>
    </w:p>
    <w:p w:rsidR="00CA21D8" w:rsidRPr="00186A13" w:rsidRDefault="00CA21D8" w:rsidP="00207B7F">
      <w:pPr>
        <w:rPr>
          <w:rFonts w:ascii="Cambria" w:hAnsi="Cambria"/>
          <w:b/>
          <w:sz w:val="28"/>
        </w:rPr>
      </w:pPr>
      <w:r w:rsidRPr="00186A13">
        <w:rPr>
          <w:rFonts w:ascii="Cambria" w:hAnsi="Cambria"/>
          <w:b/>
          <w:sz w:val="28"/>
        </w:rPr>
        <w:t>Свойства блока</w:t>
      </w:r>
      <w:r w:rsidR="008F7798" w:rsidRPr="00186A13">
        <w:rPr>
          <w:rFonts w:ascii="Cambria" w:hAnsi="Cambria"/>
          <w:b/>
          <w:sz w:val="28"/>
        </w:rPr>
        <w:t xml:space="preserve"> «HS – Бак со свободным уровнем»</w:t>
      </w:r>
    </w:p>
    <w:tbl>
      <w:tblPr>
        <w:tblStyle w:val="a6"/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307"/>
      </w:tblGrid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Тепловая связь со стенкой снаружи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isHeatOut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Давление над поверхностью, Па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Объем бака, м³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Высотная отметка днища, м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lastRenderedPageBreak/>
              <w:t>Начальная энтальпия жидкости, Дж/кг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Начальный объём жидкости, м³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V0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Тип геометрии бака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Geom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Внутренний диаметр, м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L=f(V)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Larr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Учёт изменения объёма жидкости при разогреве/охлаждении?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is_dV_from_heat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Кол-во элементов разбиения бака по высоте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Nh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Длины элементов разбиения бака по высоте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deltaH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alfa</w:t>
            </w:r>
          </w:p>
        </w:tc>
      </w:tr>
    </w:tbl>
    <w:p w:rsidR="008F7798" w:rsidRPr="00186A13" w:rsidRDefault="008F7798" w:rsidP="006866A5">
      <w:pPr>
        <w:ind w:firstLine="0"/>
        <w:rPr>
          <w:rFonts w:ascii="Cambria" w:hAnsi="Cambria"/>
          <w:b/>
          <w:sz w:val="28"/>
        </w:rPr>
      </w:pPr>
    </w:p>
    <w:p w:rsidR="00EB63D8" w:rsidRPr="00186A13" w:rsidRDefault="00EB63D8" w:rsidP="00207B7F">
      <w:pPr>
        <w:rPr>
          <w:rFonts w:ascii="Cambria" w:hAnsi="Cambria"/>
          <w:b/>
          <w:sz w:val="28"/>
        </w:rPr>
      </w:pPr>
      <w:r w:rsidRPr="00186A13">
        <w:rPr>
          <w:rFonts w:ascii="Cambria" w:hAnsi="Cambria"/>
          <w:b/>
          <w:sz w:val="28"/>
        </w:rPr>
        <w:t>Параметры блока</w:t>
      </w:r>
      <w:r w:rsidR="008F7798" w:rsidRPr="00186A13">
        <w:rPr>
          <w:rFonts w:ascii="Cambria" w:hAnsi="Cambria"/>
          <w:b/>
          <w:sz w:val="28"/>
        </w:rPr>
        <w:t xml:space="preserve"> «HS – Бак со свободным уровнем»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8"/>
        <w:gridCol w:w="2268"/>
      </w:tblGrid>
      <w:tr w:rsidR="00207B7F" w:rsidRPr="00186A13" w:rsidTr="000907A6">
        <w:tc>
          <w:tcPr>
            <w:tcW w:w="7088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268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</w:rPr>
              <w:t>_</w:t>
            </w:r>
            <w:r w:rsidRPr="00186A13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207B7F" w:rsidRPr="00186A13" w:rsidTr="000907A6">
        <w:tc>
          <w:tcPr>
            <w:tcW w:w="7088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268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207B7F" w:rsidRPr="00186A13" w:rsidTr="000907A6">
        <w:tc>
          <w:tcPr>
            <w:tcW w:w="7088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268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207B7F" w:rsidRPr="00186A13" w:rsidTr="000907A6">
        <w:tc>
          <w:tcPr>
            <w:tcW w:w="7088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268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207B7F" w:rsidRPr="00186A13" w:rsidTr="000907A6">
        <w:tc>
          <w:tcPr>
            <w:tcW w:w="7088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Масса жидкости, кг</w:t>
            </w:r>
          </w:p>
        </w:tc>
        <w:tc>
          <w:tcPr>
            <w:tcW w:w="2268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207B7F" w:rsidRPr="00186A13" w:rsidTr="000907A6">
        <w:tc>
          <w:tcPr>
            <w:tcW w:w="7088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Объём жидкости, м³</w:t>
            </w:r>
          </w:p>
        </w:tc>
        <w:tc>
          <w:tcPr>
            <w:tcW w:w="2268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_Volume</w:t>
            </w:r>
          </w:p>
        </w:tc>
      </w:tr>
      <w:tr w:rsidR="00207B7F" w:rsidRPr="00186A13" w:rsidTr="000907A6">
        <w:tc>
          <w:tcPr>
            <w:tcW w:w="7088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Уровень, м</w:t>
            </w:r>
          </w:p>
        </w:tc>
        <w:tc>
          <w:tcPr>
            <w:tcW w:w="2268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_Level</w:t>
            </w:r>
          </w:p>
        </w:tc>
      </w:tr>
      <w:tr w:rsidR="00207B7F" w:rsidRPr="00186A13" w:rsidTr="000907A6">
        <w:tc>
          <w:tcPr>
            <w:tcW w:w="7088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Произв. плотности от времени, кг/(м³*с)</w:t>
            </w:r>
          </w:p>
        </w:tc>
        <w:tc>
          <w:tcPr>
            <w:tcW w:w="2268" w:type="dxa"/>
            <w:vAlign w:val="center"/>
          </w:tcPr>
          <w:p w:rsidR="00207B7F" w:rsidRPr="00186A13" w:rsidRDefault="00207B7F" w:rsidP="00697D7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_dro_dt</w:t>
            </w:r>
          </w:p>
        </w:tc>
      </w:tr>
      <w:tr w:rsidR="00207B7F" w:rsidRPr="00186A13" w:rsidTr="000907A6">
        <w:tc>
          <w:tcPr>
            <w:tcW w:w="7088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268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  <w:tr w:rsidR="000907A6" w:rsidRPr="00186A13" w:rsidTr="000907A6">
        <w:tc>
          <w:tcPr>
            <w:tcW w:w="7088" w:type="dxa"/>
            <w:shd w:val="clear" w:color="auto" w:fill="auto"/>
            <w:vAlign w:val="center"/>
          </w:tcPr>
          <w:p w:rsidR="000907A6" w:rsidRPr="000907A6" w:rsidRDefault="000907A6" w:rsidP="000907A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0907A6">
              <w:rPr>
                <w:rFonts w:ascii="Cambria" w:hAnsi="Cambria"/>
                <w:sz w:val="28"/>
              </w:rPr>
              <w:t>Сумма входящих расходов, кг/с</w:t>
            </w:r>
          </w:p>
        </w:tc>
        <w:tc>
          <w:tcPr>
            <w:tcW w:w="2268" w:type="dxa"/>
            <w:vAlign w:val="center"/>
          </w:tcPr>
          <w:p w:rsidR="000907A6" w:rsidRPr="00186A13" w:rsidRDefault="000907A6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0907A6">
              <w:rPr>
                <w:rFonts w:ascii="Cambria" w:hAnsi="Cambria"/>
                <w:sz w:val="28"/>
                <w:lang w:val="en-US"/>
              </w:rPr>
              <w:t>_sum_g_in</w:t>
            </w:r>
          </w:p>
        </w:tc>
      </w:tr>
      <w:tr w:rsidR="000907A6" w:rsidRPr="00186A13" w:rsidTr="000907A6">
        <w:tc>
          <w:tcPr>
            <w:tcW w:w="7088" w:type="dxa"/>
            <w:shd w:val="clear" w:color="auto" w:fill="auto"/>
            <w:vAlign w:val="center"/>
          </w:tcPr>
          <w:p w:rsidR="000907A6" w:rsidRPr="000907A6" w:rsidRDefault="000907A6" w:rsidP="000907A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 выходящи</w:t>
            </w:r>
            <w:r w:rsidRPr="000907A6">
              <w:rPr>
                <w:rFonts w:ascii="Cambria" w:hAnsi="Cambria"/>
                <w:sz w:val="28"/>
              </w:rPr>
              <w:t>х расходов, кг/с</w:t>
            </w:r>
          </w:p>
        </w:tc>
        <w:tc>
          <w:tcPr>
            <w:tcW w:w="2268" w:type="dxa"/>
            <w:vAlign w:val="center"/>
          </w:tcPr>
          <w:p w:rsidR="000907A6" w:rsidRPr="00186A13" w:rsidRDefault="000907A6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0907A6">
              <w:rPr>
                <w:rFonts w:ascii="Cambria" w:hAnsi="Cambria"/>
                <w:sz w:val="28"/>
                <w:lang w:val="en-US"/>
              </w:rPr>
              <w:t>_sum_g_out</w:t>
            </w:r>
          </w:p>
        </w:tc>
      </w:tr>
      <w:tr w:rsidR="000907A6" w:rsidRPr="00186A13" w:rsidTr="000907A6">
        <w:tc>
          <w:tcPr>
            <w:tcW w:w="7088" w:type="dxa"/>
            <w:shd w:val="clear" w:color="auto" w:fill="auto"/>
            <w:vAlign w:val="center"/>
          </w:tcPr>
          <w:p w:rsidR="000907A6" w:rsidRPr="000907A6" w:rsidRDefault="000907A6" w:rsidP="000907A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0907A6">
              <w:rPr>
                <w:rFonts w:ascii="Cambria" w:hAnsi="Cambria"/>
                <w:sz w:val="28"/>
              </w:rPr>
              <w:t>Расход теплоносителя через открытый верх, кг/с</w:t>
            </w:r>
          </w:p>
        </w:tc>
        <w:tc>
          <w:tcPr>
            <w:tcW w:w="2268" w:type="dxa"/>
            <w:vAlign w:val="center"/>
          </w:tcPr>
          <w:p w:rsidR="000907A6" w:rsidRPr="00186A13" w:rsidRDefault="000907A6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0907A6">
              <w:rPr>
                <w:rFonts w:ascii="Cambria" w:hAnsi="Cambria"/>
                <w:sz w:val="28"/>
                <w:lang w:val="en-US"/>
              </w:rPr>
              <w:t>_sum_g_overflow</w:t>
            </w:r>
          </w:p>
        </w:tc>
      </w:tr>
    </w:tbl>
    <w:p w:rsidR="00EB63D8" w:rsidRPr="00186A13" w:rsidRDefault="00EB63D8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817FA" w:rsidRPr="00186A13" w:rsidRDefault="00A817FA" w:rsidP="00A817FA">
      <w:pPr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Соединение блока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с другими блоками библиотеки происходит с помощью блока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Узел компенсатора».</w:t>
      </w:r>
    </w:p>
    <w:p w:rsidR="00A817FA" w:rsidRPr="00186A13" w:rsidRDefault="00A817FA" w:rsidP="00A817FA">
      <w:pPr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В качестве дополнительных элементов на блок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могут быть установлены следующие блоки (при этом блок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будет родительским, а дополнительно установленные блоки – дочерними):</w:t>
      </w:r>
    </w:p>
    <w:p w:rsidR="00A817FA" w:rsidRPr="00186A13" w:rsidRDefault="00A817FA" w:rsidP="00A817FA">
      <w:pPr>
        <w:pStyle w:val="af3"/>
        <w:numPr>
          <w:ilvl w:val="0"/>
          <w:numId w:val="49"/>
        </w:numPr>
        <w:rPr>
          <w:rFonts w:ascii="Cambria" w:hAnsi="Cambria"/>
          <w:sz w:val="28"/>
          <w:lang w:val="en-US"/>
        </w:rPr>
      </w:pPr>
      <w:r w:rsidRPr="00186A13">
        <w:rPr>
          <w:rFonts w:ascii="Cambria" w:hAnsi="Cambria"/>
          <w:sz w:val="28"/>
        </w:rPr>
        <w:t>«</w:t>
      </w:r>
      <w:r w:rsidRPr="00186A13">
        <w:rPr>
          <w:rFonts w:ascii="Cambria" w:hAnsi="Cambria"/>
          <w:sz w:val="28"/>
          <w:lang w:val="en-US"/>
        </w:rPr>
        <w:t xml:space="preserve">HS – </w:t>
      </w:r>
      <w:r w:rsidRPr="00186A13">
        <w:rPr>
          <w:rFonts w:ascii="Cambria" w:hAnsi="Cambria"/>
          <w:sz w:val="28"/>
        </w:rPr>
        <w:t>Узел компенсатора».</w:t>
      </w:r>
    </w:p>
    <w:sectPr w:rsidR="00A817FA" w:rsidRPr="00186A13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503" w:rsidRDefault="00C93503" w:rsidP="0097473F">
      <w:r>
        <w:separator/>
      </w:r>
    </w:p>
  </w:endnote>
  <w:endnote w:type="continuationSeparator" w:id="0">
    <w:p w:rsidR="00C93503" w:rsidRDefault="00C9350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503" w:rsidRDefault="00C93503" w:rsidP="0097473F">
      <w:r>
        <w:separator/>
      </w:r>
    </w:p>
  </w:footnote>
  <w:footnote w:type="continuationSeparator" w:id="0">
    <w:p w:rsidR="00C93503" w:rsidRDefault="00C9350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2DEE"/>
    <w:rsid w:val="0006312D"/>
    <w:rsid w:val="000823B0"/>
    <w:rsid w:val="00083F58"/>
    <w:rsid w:val="000907A6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042C"/>
    <w:rsid w:val="00133A6F"/>
    <w:rsid w:val="0014396D"/>
    <w:rsid w:val="00145347"/>
    <w:rsid w:val="00147012"/>
    <w:rsid w:val="00163B0F"/>
    <w:rsid w:val="00165FC9"/>
    <w:rsid w:val="00176087"/>
    <w:rsid w:val="001815F2"/>
    <w:rsid w:val="00181CC8"/>
    <w:rsid w:val="00181F4E"/>
    <w:rsid w:val="00182ED8"/>
    <w:rsid w:val="00186A13"/>
    <w:rsid w:val="00187996"/>
    <w:rsid w:val="00192FF4"/>
    <w:rsid w:val="00195B0D"/>
    <w:rsid w:val="001A266A"/>
    <w:rsid w:val="001B18F3"/>
    <w:rsid w:val="001B4612"/>
    <w:rsid w:val="001C39FC"/>
    <w:rsid w:val="001C543E"/>
    <w:rsid w:val="001D0C42"/>
    <w:rsid w:val="001D0D74"/>
    <w:rsid w:val="001D74F0"/>
    <w:rsid w:val="001E265F"/>
    <w:rsid w:val="001E463F"/>
    <w:rsid w:val="001F448A"/>
    <w:rsid w:val="0020116D"/>
    <w:rsid w:val="00205CBE"/>
    <w:rsid w:val="00207B7F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75DE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220"/>
    <w:rsid w:val="002F2E0B"/>
    <w:rsid w:val="002F4291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1F10"/>
    <w:rsid w:val="003C66EA"/>
    <w:rsid w:val="003D2704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5F6D"/>
    <w:rsid w:val="00451B7E"/>
    <w:rsid w:val="00452325"/>
    <w:rsid w:val="00460FFB"/>
    <w:rsid w:val="00465A0C"/>
    <w:rsid w:val="004844F7"/>
    <w:rsid w:val="00492E73"/>
    <w:rsid w:val="0049371D"/>
    <w:rsid w:val="0049571A"/>
    <w:rsid w:val="0049608F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438"/>
    <w:rsid w:val="00620504"/>
    <w:rsid w:val="00624772"/>
    <w:rsid w:val="006361CC"/>
    <w:rsid w:val="00644652"/>
    <w:rsid w:val="006455B0"/>
    <w:rsid w:val="00647CAA"/>
    <w:rsid w:val="006504FF"/>
    <w:rsid w:val="006507D7"/>
    <w:rsid w:val="006667B9"/>
    <w:rsid w:val="00675A29"/>
    <w:rsid w:val="006866A5"/>
    <w:rsid w:val="00697D78"/>
    <w:rsid w:val="006A279C"/>
    <w:rsid w:val="006A4CCF"/>
    <w:rsid w:val="006B0B94"/>
    <w:rsid w:val="006B11CF"/>
    <w:rsid w:val="006C141A"/>
    <w:rsid w:val="006C41B4"/>
    <w:rsid w:val="006C424A"/>
    <w:rsid w:val="006C5AA7"/>
    <w:rsid w:val="006D0F11"/>
    <w:rsid w:val="006D7FC0"/>
    <w:rsid w:val="006F1935"/>
    <w:rsid w:val="006F3150"/>
    <w:rsid w:val="00702EE8"/>
    <w:rsid w:val="007119AB"/>
    <w:rsid w:val="00723CC4"/>
    <w:rsid w:val="00727DA4"/>
    <w:rsid w:val="00731C41"/>
    <w:rsid w:val="00741645"/>
    <w:rsid w:val="00746713"/>
    <w:rsid w:val="007524D3"/>
    <w:rsid w:val="00756D50"/>
    <w:rsid w:val="00760D00"/>
    <w:rsid w:val="00763B46"/>
    <w:rsid w:val="007842BB"/>
    <w:rsid w:val="007866AA"/>
    <w:rsid w:val="00786B6A"/>
    <w:rsid w:val="00794034"/>
    <w:rsid w:val="007A4F1B"/>
    <w:rsid w:val="007B1EAB"/>
    <w:rsid w:val="007B239D"/>
    <w:rsid w:val="007B4DC6"/>
    <w:rsid w:val="007D7BEC"/>
    <w:rsid w:val="007E0B8E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878"/>
    <w:rsid w:val="0084764B"/>
    <w:rsid w:val="0085417F"/>
    <w:rsid w:val="008706A8"/>
    <w:rsid w:val="008819F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7AAE"/>
    <w:rsid w:val="008E7616"/>
    <w:rsid w:val="008F3505"/>
    <w:rsid w:val="008F4506"/>
    <w:rsid w:val="008F7798"/>
    <w:rsid w:val="00900F29"/>
    <w:rsid w:val="009010B7"/>
    <w:rsid w:val="009039AF"/>
    <w:rsid w:val="00910D9F"/>
    <w:rsid w:val="00917DCB"/>
    <w:rsid w:val="0092205D"/>
    <w:rsid w:val="00922A57"/>
    <w:rsid w:val="00926878"/>
    <w:rsid w:val="00937880"/>
    <w:rsid w:val="009467D8"/>
    <w:rsid w:val="00952E53"/>
    <w:rsid w:val="00954C03"/>
    <w:rsid w:val="009653E5"/>
    <w:rsid w:val="0096666F"/>
    <w:rsid w:val="00967B1F"/>
    <w:rsid w:val="0097107E"/>
    <w:rsid w:val="0097473F"/>
    <w:rsid w:val="009873BB"/>
    <w:rsid w:val="00991E5C"/>
    <w:rsid w:val="00993C58"/>
    <w:rsid w:val="0099502A"/>
    <w:rsid w:val="009A497A"/>
    <w:rsid w:val="009A754A"/>
    <w:rsid w:val="009C6005"/>
    <w:rsid w:val="009D0946"/>
    <w:rsid w:val="009E43FE"/>
    <w:rsid w:val="009E67BE"/>
    <w:rsid w:val="00A0425E"/>
    <w:rsid w:val="00A06C8B"/>
    <w:rsid w:val="00A24530"/>
    <w:rsid w:val="00A3135A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17FA"/>
    <w:rsid w:val="00A86A0C"/>
    <w:rsid w:val="00AB78A7"/>
    <w:rsid w:val="00AD4A6D"/>
    <w:rsid w:val="00AD5DB0"/>
    <w:rsid w:val="00AE36DA"/>
    <w:rsid w:val="00AF6EE5"/>
    <w:rsid w:val="00B01E9F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7C72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6D0"/>
    <w:rsid w:val="00C5774D"/>
    <w:rsid w:val="00C75948"/>
    <w:rsid w:val="00C77EBB"/>
    <w:rsid w:val="00C816D1"/>
    <w:rsid w:val="00C818F3"/>
    <w:rsid w:val="00C833EE"/>
    <w:rsid w:val="00C8492E"/>
    <w:rsid w:val="00C93503"/>
    <w:rsid w:val="00C95C3B"/>
    <w:rsid w:val="00CA21D8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57A5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0D3E"/>
    <w:rsid w:val="00DB3756"/>
    <w:rsid w:val="00DB622E"/>
    <w:rsid w:val="00DC05A0"/>
    <w:rsid w:val="00DC4962"/>
    <w:rsid w:val="00DC63D4"/>
    <w:rsid w:val="00DD0CE5"/>
    <w:rsid w:val="00DD3591"/>
    <w:rsid w:val="00DE6618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5492"/>
    <w:rsid w:val="00E82B67"/>
    <w:rsid w:val="00E8648D"/>
    <w:rsid w:val="00E902B5"/>
    <w:rsid w:val="00E919E6"/>
    <w:rsid w:val="00EA093F"/>
    <w:rsid w:val="00EA16A0"/>
    <w:rsid w:val="00EA487C"/>
    <w:rsid w:val="00EA72D5"/>
    <w:rsid w:val="00EB3438"/>
    <w:rsid w:val="00EB63D8"/>
    <w:rsid w:val="00EC7AE4"/>
    <w:rsid w:val="00EC7EB5"/>
    <w:rsid w:val="00ED1BB2"/>
    <w:rsid w:val="00ED25AF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45C2"/>
    <w:rsid w:val="00F25019"/>
    <w:rsid w:val="00F32D93"/>
    <w:rsid w:val="00F348FF"/>
    <w:rsid w:val="00F43F9C"/>
    <w:rsid w:val="00F51035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2857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87BFB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5167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Бак со свободным уровнем</dc:title>
  <dc:subject/>
  <dc:creator>User</dc:creator>
  <cp:keywords/>
  <cp:lastModifiedBy>sam</cp:lastModifiedBy>
  <cp:revision>49</cp:revision>
  <cp:lastPrinted>2011-12-19T09:00:00Z</cp:lastPrinted>
  <dcterms:created xsi:type="dcterms:W3CDTF">2015-02-11T10:00:00Z</dcterms:created>
  <dcterms:modified xsi:type="dcterms:W3CDTF">2016-12-01T12:41:00Z</dcterms:modified>
</cp:coreProperties>
</file>