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506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5pt;height:18.85pt" o:ole="">
                  <v:imagedata r:id="rId7" o:title=""/>
                </v:shape>
                <o:OLEObject Type="Embed" ProgID="PBrush" ShapeID="_x0000_i1025" DrawAspect="Content" ObjectID="_1499014029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6.3pt" o:ole="">
                  <v:imagedata r:id="rId9" o:title=""/>
                </v:shape>
                <o:OLEObject Type="Embed" ProgID="PBrush" ShapeID="_x0000_i1026" DrawAspect="Content" ObjectID="_149901403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A166EF" w:rsidRDefault="00A166EF" w:rsidP="00A166EF">
      <w:pPr>
        <w:ind w:firstLine="851"/>
        <w:rPr>
          <w:rFonts w:ascii="Cambria" w:hAnsi="Cambria"/>
          <w:sz w:val="28"/>
        </w:rPr>
      </w:pPr>
      <w:bookmarkStart w:id="0" w:name="_GoBack"/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1B6C62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Тепловая связь внутри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Тепловая связь снаружи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Количество участков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диаметр кольцевого зазора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Наружный диаметр кольцевого зазора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Длина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Изменение высоты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Прямое местное сопротивление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Обратное местное сопротивление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Коэффициент интенсификации теплообмена</w:t>
      </w:r>
    </w:p>
    <w:p w:rsid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Абсолютная шероховатость</w:t>
      </w:r>
    </w:p>
    <w:p w:rsidR="00A166EF" w:rsidRPr="00A166EF" w:rsidRDefault="00A166EF" w:rsidP="00A166EF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Объемное </w:t>
      </w:r>
      <w:proofErr w:type="spellStart"/>
      <w:r>
        <w:rPr>
          <w:rFonts w:ascii="Cambria" w:hAnsi="Cambria"/>
          <w:szCs w:val="24"/>
        </w:rPr>
        <w:t>энерговыделение</w:t>
      </w:r>
      <w:proofErr w:type="spellEnd"/>
    </w:p>
    <w:bookmarkEnd w:id="0"/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1B6C62" w:rsidP="001B6C62">
      <w:pPr>
        <w:ind w:firstLine="0"/>
        <w:rPr>
          <w:rFonts w:ascii="Cambria" w:hAnsi="Cambria"/>
          <w:szCs w:val="24"/>
        </w:rPr>
        <w:sectPr w:rsidR="001B6C62" w:rsidSect="001B6C62">
          <w:headerReference w:type="default" r:id="rId11"/>
          <w:pgSz w:w="11906" w:h="16838"/>
          <w:pgMar w:top="567" w:right="567" w:bottom="567" w:left="1701" w:header="284" w:footer="708" w:gutter="0"/>
          <w:cols w:space="708"/>
          <w:docGrid w:linePitch="381"/>
        </w:sectPr>
      </w:pPr>
    </w:p>
    <w:p w:rsidR="005F09F9" w:rsidRPr="009E788C" w:rsidRDefault="005F09F9" w:rsidP="001B6C62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lastRenderedPageBreak/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К</w:t>
      </w:r>
      <w:r>
        <w:rPr>
          <w:rFonts w:ascii="Cambria" w:hAnsi="Cambria"/>
          <w:b/>
          <w:szCs w:val="24"/>
        </w:rPr>
        <w:t>ольцевой зазор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15588" w:type="dxa"/>
        <w:tblLook w:val="04A0" w:firstRow="1" w:lastRow="0" w:firstColumn="1" w:lastColumn="0" w:noHBand="0" w:noVBand="1"/>
      </w:tblPr>
      <w:tblGrid>
        <w:gridCol w:w="4344"/>
        <w:gridCol w:w="1321"/>
        <w:gridCol w:w="2127"/>
        <w:gridCol w:w="7796"/>
      </w:tblGrid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Pr="004117B3" w:rsidRDefault="00862515" w:rsidP="001B6C6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862515" w:rsidRDefault="00862515" w:rsidP="00862515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Относительный шаг труб в пучке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862515" w:rsidTr="001B6C62"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2515" w:rsidRDefault="00862515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515" w:rsidRDefault="0086251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117B3">
      <w:pgSz w:w="16838" w:h="11906" w:orient="landscape"/>
      <w:pgMar w:top="1238" w:right="567" w:bottom="567" w:left="567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FA" w:rsidRDefault="008C0DFA" w:rsidP="0097473F">
      <w:r>
        <w:separator/>
      </w:r>
    </w:p>
  </w:endnote>
  <w:endnote w:type="continuationSeparator" w:id="0">
    <w:p w:rsidR="008C0DFA" w:rsidRDefault="008C0DF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FA" w:rsidRDefault="008C0DFA" w:rsidP="0097473F">
      <w:r>
        <w:separator/>
      </w:r>
    </w:p>
  </w:footnote>
  <w:footnote w:type="continuationSeparator" w:id="0">
    <w:p w:rsidR="008C0DFA" w:rsidRDefault="008C0DF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0CE5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51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3CC9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2015-07-21T17:00:00Z</dcterms:modified>
</cp:coreProperties>
</file>