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4pt;height:18pt" o:ole="">
                  <v:imagedata r:id="rId7" o:title=""/>
                </v:shape>
                <o:OLEObject Type="Embed" ProgID="PBrush" ShapeID="_x0000_i1025" DrawAspect="Content" ObjectID="_1500104646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464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Default="00E822AE" w:rsidP="00DB3548">
      <w:pPr>
        <w:tabs>
          <w:tab w:val="left" w:pos="1140"/>
        </w:tabs>
        <w:ind w:firstLine="0"/>
        <w:rPr>
          <w:rFonts w:ascii="Cambria" w:hAnsi="Cambria"/>
          <w:szCs w:val="24"/>
        </w:rPr>
      </w:pPr>
      <w:r w:rsidRPr="00E822AE">
        <w:rPr>
          <w:rFonts w:ascii="Cambria" w:hAnsi="Cambria"/>
          <w:szCs w:val="24"/>
        </w:rPr>
        <w:t xml:space="preserve">Блок является одним из базовых блоков для построения </w:t>
      </w:r>
      <w:proofErr w:type="spellStart"/>
      <w:r w:rsidRPr="00E822AE">
        <w:rPr>
          <w:rFonts w:ascii="Cambria" w:hAnsi="Cambria"/>
          <w:szCs w:val="24"/>
        </w:rPr>
        <w:t>нодализационных</w:t>
      </w:r>
      <w:proofErr w:type="spellEnd"/>
      <w:r w:rsidRPr="00E822AE">
        <w:rPr>
          <w:rFonts w:ascii="Cambria" w:hAnsi="Cambria"/>
          <w:szCs w:val="24"/>
        </w:rPr>
        <w:t xml:space="preserve"> схем теплогидравлических моделей</w:t>
      </w:r>
    </w:p>
    <w:p w:rsidR="00316F77" w:rsidRPr="00E822AE" w:rsidRDefault="00316F77" w:rsidP="00DB3548">
      <w:pPr>
        <w:tabs>
          <w:tab w:val="left" w:pos="1140"/>
        </w:tabs>
        <w:ind w:firstLine="0"/>
        <w:rPr>
          <w:rFonts w:ascii="Cambria" w:hAnsi="Cambria"/>
          <w:szCs w:val="24"/>
        </w:rPr>
      </w:pPr>
    </w:p>
    <w:p w:rsidR="00DB3548" w:rsidRPr="00316F77" w:rsidRDefault="00DB3548" w:rsidP="001258A2">
      <w:pPr>
        <w:ind w:firstLine="0"/>
        <w:rPr>
          <w:rFonts w:ascii="Cambria" w:hAnsi="Cambria"/>
          <w:szCs w:val="24"/>
        </w:rPr>
      </w:pPr>
      <w:r w:rsidRPr="00316F77">
        <w:rPr>
          <w:rFonts w:ascii="Cambria" w:hAnsi="Cambria"/>
          <w:b/>
          <w:szCs w:val="24"/>
        </w:rPr>
        <w:t>Свойства блока</w:t>
      </w:r>
      <w:r w:rsidR="00316F77" w:rsidRPr="00316F77">
        <w:rPr>
          <w:rFonts w:ascii="Cambria" w:hAnsi="Cambria"/>
          <w:b/>
          <w:szCs w:val="24"/>
        </w:rPr>
        <w:t xml:space="preserve"> «</w:t>
      </w:r>
      <w:r w:rsidR="00316F77" w:rsidRPr="00316F77">
        <w:rPr>
          <w:rFonts w:ascii="Cambria" w:hAnsi="Cambria"/>
          <w:b/>
          <w:szCs w:val="24"/>
          <w:lang w:val="en-US"/>
        </w:rPr>
        <w:t>HS</w:t>
      </w:r>
      <w:r w:rsidR="00316F77" w:rsidRPr="00316F77">
        <w:rPr>
          <w:rFonts w:ascii="Cambria" w:hAnsi="Cambria"/>
          <w:b/>
          <w:szCs w:val="24"/>
        </w:rPr>
        <w:t xml:space="preserve"> – Внутренний узел»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8026D1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qv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7771C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7771C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1258A2" w:rsidRPr="00316F77" w:rsidRDefault="001258A2" w:rsidP="001258A2">
      <w:pPr>
        <w:tabs>
          <w:tab w:val="left" w:pos="1134"/>
        </w:tabs>
        <w:ind w:firstLine="0"/>
        <w:rPr>
          <w:rFonts w:ascii="Cambria" w:hAnsi="Cambria"/>
          <w:b/>
          <w:szCs w:val="24"/>
        </w:rPr>
      </w:pPr>
      <w:r w:rsidRPr="00316F77">
        <w:rPr>
          <w:rFonts w:ascii="Cambria" w:hAnsi="Cambria"/>
          <w:b/>
          <w:szCs w:val="24"/>
        </w:rPr>
        <w:t>Параметры блока</w:t>
      </w:r>
      <w:r w:rsidR="00316F77">
        <w:rPr>
          <w:rFonts w:ascii="Cambria" w:hAnsi="Cambria"/>
          <w:b/>
          <w:szCs w:val="24"/>
        </w:rPr>
        <w:t xml:space="preserve"> «</w:t>
      </w:r>
      <w:r w:rsidR="00316F77">
        <w:rPr>
          <w:rFonts w:ascii="Cambria" w:hAnsi="Cambria"/>
          <w:b/>
          <w:szCs w:val="24"/>
          <w:lang w:val="en-US"/>
        </w:rPr>
        <w:t>HS</w:t>
      </w:r>
      <w:r w:rsidR="00316F77" w:rsidRPr="00316F77">
        <w:rPr>
          <w:rFonts w:ascii="Cambria" w:hAnsi="Cambria"/>
          <w:b/>
          <w:szCs w:val="24"/>
        </w:rPr>
        <w:t xml:space="preserve"> – </w:t>
      </w:r>
      <w:r w:rsidR="00316F77">
        <w:rPr>
          <w:rFonts w:ascii="Cambria" w:hAnsi="Cambria"/>
          <w:b/>
          <w:szCs w:val="24"/>
        </w:rPr>
        <w:t>Внутренний узел»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8026D1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bookmarkStart w:id="0" w:name="_GoBack"/>
            <w:bookmarkEnd w:id="0"/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DB3548">
      <w:pPr>
        <w:tabs>
          <w:tab w:val="left" w:pos="1134"/>
        </w:tabs>
        <w:ind w:left="851" w:firstLine="0"/>
        <w:rPr>
          <w:rFonts w:ascii="Cambria" w:hAnsi="Cambria"/>
          <w:b/>
          <w:sz w:val="28"/>
          <w:szCs w:val="24"/>
        </w:rPr>
      </w:pPr>
    </w:p>
    <w:p w:rsidR="00764F2D" w:rsidRPr="00DB3548" w:rsidRDefault="00764F2D" w:rsidP="00DB3548">
      <w:pPr>
        <w:tabs>
          <w:tab w:val="left" w:pos="1134"/>
        </w:tabs>
        <w:ind w:left="851" w:firstLine="0"/>
        <w:rPr>
          <w:rFonts w:ascii="Cambria" w:hAnsi="Cambria"/>
          <w:szCs w:val="24"/>
        </w:rPr>
      </w:pPr>
      <w:r w:rsidRPr="00DB3548"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«Внутренний узел»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775B6D">
        <w:tc>
          <w:tcPr>
            <w:tcW w:w="8609" w:type="dxa"/>
          </w:tcPr>
          <w:p w:rsidR="00106506" w:rsidRDefault="00C25098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C25098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C25098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C25098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C25098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775B6D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Default="00C25098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C7097D"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решение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</w:t>
      </w:r>
      <w:r>
        <w:rPr>
          <w:rFonts w:ascii="Cambria" w:hAnsi="Cambria"/>
          <w:szCs w:val="24"/>
        </w:rPr>
        <w:lastRenderedPageBreak/>
        <w:t xml:space="preserve">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201A4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Уравнение сохранения массы пассивной примеси выглядит аналогично уравнению (2). </w:t>
      </w:r>
      <w:r w:rsidR="003B5981">
        <w:rPr>
          <w:rFonts w:ascii="Cambria" w:hAnsi="Cambria"/>
          <w:szCs w:val="24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>
        <w:rPr>
          <w:rFonts w:ascii="Cambria" w:hAnsi="Cambria"/>
          <w:szCs w:val="24"/>
          <w:lang w:val="en-US"/>
        </w:rPr>
        <w:t>C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passive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tracer</w:t>
      </w:r>
      <w:r w:rsidR="003B5981" w:rsidRPr="003B5981">
        <w:rPr>
          <w:rFonts w:ascii="Cambria" w:hAnsi="Cambria"/>
          <w:szCs w:val="24"/>
        </w:rPr>
        <w:t xml:space="preserve">, </w:t>
      </w:r>
      <w:r w:rsidR="003B5981">
        <w:rPr>
          <w:rFonts w:ascii="Cambria" w:hAnsi="Cambria"/>
          <w:szCs w:val="24"/>
        </w:rPr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Default="0011526A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>
        <w:rPr>
          <w:rFonts w:ascii="Cambria" w:hAnsi="Cambria"/>
          <w:szCs w:val="24"/>
        </w:rPr>
        <w:t xml:space="preserve"> жидкости и/или массы пассивной примеси</w:t>
      </w:r>
      <w:r>
        <w:rPr>
          <w:rFonts w:ascii="Cambria" w:hAnsi="Cambria"/>
          <w:szCs w:val="24"/>
        </w:rPr>
        <w:t xml:space="preserve"> в теплогидравлической схеме. </w:t>
      </w: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098" w:rsidRDefault="00C25098" w:rsidP="0097473F">
      <w:r>
        <w:separator/>
      </w:r>
    </w:p>
  </w:endnote>
  <w:endnote w:type="continuationSeparator" w:id="0">
    <w:p w:rsidR="00C25098" w:rsidRDefault="00C2509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098" w:rsidRDefault="00C25098" w:rsidP="0097473F">
      <w:r>
        <w:separator/>
      </w:r>
    </w:p>
  </w:footnote>
  <w:footnote w:type="continuationSeparator" w:id="0">
    <w:p w:rsidR="00C25098" w:rsidRDefault="00C2509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35</cp:revision>
  <cp:lastPrinted>2011-12-19T09:00:00Z</cp:lastPrinted>
  <dcterms:created xsi:type="dcterms:W3CDTF">2015-02-11T10:00:00Z</dcterms:created>
  <dcterms:modified xsi:type="dcterms:W3CDTF">2015-08-03T07:58:00Z</dcterms:modified>
</cp:coreProperties>
</file>