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8"/>
        <w:gridCol w:w="7260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5pt;height:18pt" o:ole="">
                  <v:imagedata r:id="rId7" o:title=""/>
                </v:shape>
                <o:OLEObject Type="Embed" ProgID="PBrush" ShapeID="_x0000_i1025" DrawAspect="Content" ObjectID="_1500209581" r:id="rId8"/>
              </w:object>
            </w:r>
          </w:p>
        </w:tc>
        <w:tc>
          <w:tcPr>
            <w:tcW w:w="7433" w:type="dxa"/>
          </w:tcPr>
          <w:p w:rsidR="008971FC" w:rsidRPr="003A6E11" w:rsidRDefault="003835C0" w:rsidP="00E503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50321">
              <w:rPr>
                <w:rFonts w:ascii="Cambria" w:hAnsi="Cambria"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DB3548">
      <w:pPr>
        <w:tabs>
          <w:tab w:val="left" w:pos="1140"/>
        </w:tabs>
        <w:ind w:firstLine="0"/>
        <w:rPr>
          <w:rFonts w:ascii="Cambria" w:hAnsi="Cambria"/>
          <w:sz w:val="28"/>
          <w:lang w:val="en-US"/>
        </w:rPr>
      </w:pPr>
    </w:p>
    <w:p w:rsidR="00E822AE" w:rsidRDefault="00E822AE" w:rsidP="00DB3548">
      <w:pPr>
        <w:tabs>
          <w:tab w:val="left" w:pos="1140"/>
        </w:tabs>
        <w:ind w:firstLine="0"/>
        <w:rPr>
          <w:rFonts w:ascii="Cambria" w:hAnsi="Cambria"/>
          <w:szCs w:val="24"/>
        </w:rPr>
      </w:pPr>
      <w:r w:rsidRPr="00E822AE">
        <w:rPr>
          <w:rFonts w:ascii="Cambria" w:hAnsi="Cambria"/>
          <w:szCs w:val="24"/>
        </w:rPr>
        <w:t xml:space="preserve">Блок является одним из базовых блоков для построения </w:t>
      </w:r>
      <w:proofErr w:type="spellStart"/>
      <w:r w:rsidRPr="00E822AE">
        <w:rPr>
          <w:rFonts w:ascii="Cambria" w:hAnsi="Cambria"/>
          <w:szCs w:val="24"/>
        </w:rPr>
        <w:t>нодализационных</w:t>
      </w:r>
      <w:proofErr w:type="spellEnd"/>
      <w:r w:rsidRPr="00E822AE">
        <w:rPr>
          <w:rFonts w:ascii="Cambria" w:hAnsi="Cambria"/>
          <w:szCs w:val="24"/>
        </w:rPr>
        <w:t xml:space="preserve"> схем теплогидравлических моделей</w:t>
      </w:r>
    </w:p>
    <w:p w:rsidR="00316F77" w:rsidRPr="00E822AE" w:rsidRDefault="00316F77" w:rsidP="00DB3548">
      <w:pPr>
        <w:tabs>
          <w:tab w:val="left" w:pos="1140"/>
        </w:tabs>
        <w:ind w:firstLine="0"/>
        <w:rPr>
          <w:rFonts w:ascii="Cambria" w:hAnsi="Cambria"/>
          <w:szCs w:val="24"/>
        </w:rPr>
      </w:pPr>
    </w:p>
    <w:p w:rsidR="00DB3548" w:rsidRPr="00316F77" w:rsidRDefault="00DB3548" w:rsidP="001258A2">
      <w:pPr>
        <w:ind w:firstLine="0"/>
        <w:rPr>
          <w:rFonts w:ascii="Cambria" w:hAnsi="Cambria"/>
          <w:szCs w:val="24"/>
        </w:rPr>
      </w:pPr>
      <w:r w:rsidRPr="00316F77">
        <w:rPr>
          <w:rFonts w:ascii="Cambria" w:hAnsi="Cambria"/>
          <w:b/>
          <w:szCs w:val="24"/>
        </w:rPr>
        <w:t>Свойства блока</w:t>
      </w:r>
      <w:r w:rsidR="00316F77" w:rsidRPr="00316F77">
        <w:rPr>
          <w:rFonts w:ascii="Cambria" w:hAnsi="Cambria"/>
          <w:b/>
          <w:szCs w:val="24"/>
        </w:rPr>
        <w:t xml:space="preserve"> «</w:t>
      </w:r>
      <w:r w:rsidR="00316F77" w:rsidRPr="00316F77">
        <w:rPr>
          <w:rFonts w:ascii="Cambria" w:hAnsi="Cambria"/>
          <w:b/>
          <w:szCs w:val="24"/>
          <w:lang w:val="en-US"/>
        </w:rPr>
        <w:t>HS</w:t>
      </w:r>
      <w:r w:rsidR="00316F77" w:rsidRPr="00316F77">
        <w:rPr>
          <w:rFonts w:ascii="Cambria" w:hAnsi="Cambria"/>
          <w:b/>
          <w:szCs w:val="24"/>
        </w:rPr>
        <w:t xml:space="preserve"> – Внутренний узел»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Pr="008026D1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P0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H0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узла,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V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Pr="00CD348E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Dg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Pr="00CD348E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S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Pr="002C3F52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Z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Pr="002C3F52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coolant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qv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C_passive_tracer_0</w:t>
            </w:r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узла </w:t>
            </w:r>
            <w:proofErr w:type="spellStart"/>
            <w:r w:rsidRPr="001258A2">
              <w:rPr>
                <w:rFonts w:ascii="Cambria" w:hAnsi="Cambria"/>
                <w:szCs w:val="24"/>
              </w:rPr>
              <w:t>dV</w:t>
            </w:r>
            <w:proofErr w:type="spellEnd"/>
            <w:r w:rsidRPr="001258A2">
              <w:rPr>
                <w:rFonts w:ascii="Cambria" w:hAnsi="Cambria"/>
                <w:szCs w:val="24"/>
              </w:rPr>
              <w:t>/</w:t>
            </w:r>
            <w:proofErr w:type="spellStart"/>
            <w:r w:rsidRPr="001258A2">
              <w:rPr>
                <w:rFonts w:ascii="Cambria" w:hAnsi="Cambria"/>
                <w:szCs w:val="24"/>
              </w:rPr>
              <w:t>dP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³/Па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7771C">
              <w:rPr>
                <w:rFonts w:ascii="Cambria" w:hAnsi="Cambria"/>
                <w:szCs w:val="24"/>
              </w:rPr>
              <w:t>dVdP</w:t>
            </w:r>
            <w:proofErr w:type="spellEnd"/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5014" w:type="dxa"/>
            <w:shd w:val="clear" w:color="auto" w:fill="auto"/>
            <w:vAlign w:val="center"/>
          </w:tcPr>
          <w:p w:rsidR="00395F58" w:rsidRPr="00CD348E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Объёмный источник пассивной примеси, кг/(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*с)</w:t>
            </w:r>
          </w:p>
        </w:tc>
        <w:tc>
          <w:tcPr>
            <w:tcW w:w="2520" w:type="dxa"/>
            <w:vAlign w:val="center"/>
          </w:tcPr>
          <w:p w:rsidR="00395F58" w:rsidRPr="0057771C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7771C">
              <w:rPr>
                <w:rFonts w:ascii="Cambria" w:hAnsi="Cambria"/>
                <w:szCs w:val="24"/>
              </w:rPr>
              <w:t>Cv_source</w:t>
            </w:r>
            <w:proofErr w:type="spellEnd"/>
          </w:p>
        </w:tc>
        <w:tc>
          <w:tcPr>
            <w:tcW w:w="2520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1258A2" w:rsidRDefault="001258A2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1258A2" w:rsidRPr="00316F77" w:rsidRDefault="001258A2" w:rsidP="001258A2">
      <w:pPr>
        <w:tabs>
          <w:tab w:val="left" w:pos="1134"/>
        </w:tabs>
        <w:ind w:firstLine="0"/>
        <w:rPr>
          <w:rFonts w:ascii="Cambria" w:hAnsi="Cambria"/>
          <w:b/>
          <w:szCs w:val="24"/>
        </w:rPr>
      </w:pPr>
      <w:r w:rsidRPr="00316F77">
        <w:rPr>
          <w:rFonts w:ascii="Cambria" w:hAnsi="Cambria"/>
          <w:b/>
          <w:szCs w:val="24"/>
        </w:rPr>
        <w:t>Параметры блока</w:t>
      </w:r>
      <w:r w:rsidR="00316F77">
        <w:rPr>
          <w:rFonts w:ascii="Cambria" w:hAnsi="Cambria"/>
          <w:b/>
          <w:szCs w:val="24"/>
        </w:rPr>
        <w:t xml:space="preserve"> «</w:t>
      </w:r>
      <w:r w:rsidR="00316F77">
        <w:rPr>
          <w:rFonts w:ascii="Cambria" w:hAnsi="Cambria"/>
          <w:b/>
          <w:szCs w:val="24"/>
          <w:lang w:val="en-US"/>
        </w:rPr>
        <w:t>HS</w:t>
      </w:r>
      <w:r w:rsidR="00316F77" w:rsidRPr="00316F77">
        <w:rPr>
          <w:rFonts w:ascii="Cambria" w:hAnsi="Cambria"/>
          <w:b/>
          <w:szCs w:val="24"/>
        </w:rPr>
        <w:t xml:space="preserve"> – </w:t>
      </w:r>
      <w:r w:rsidR="00316F77">
        <w:rPr>
          <w:rFonts w:ascii="Cambria" w:hAnsi="Cambria"/>
          <w:b/>
          <w:szCs w:val="24"/>
        </w:rPr>
        <w:t>Внутренний узел»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0"/>
        <w:gridCol w:w="2537"/>
        <w:gridCol w:w="2537"/>
      </w:tblGrid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Pr="008026D1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7C384C">
              <w:rPr>
                <w:rFonts w:ascii="Cambria" w:hAnsi="Cambria"/>
                <w:szCs w:val="24"/>
              </w:rPr>
              <w:t>Температура, °С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Pr="00CD348E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объём,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³/кг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Pr="00CD348E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Pr="002C3F52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Расходы по веткам, кг/с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Pr="002C3F52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подпитки в узел, кг/с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gp</w:t>
            </w:r>
            <w:proofErr w:type="spellEnd"/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95F58" w:rsidTr="0057771C">
        <w:tc>
          <w:tcPr>
            <w:tcW w:w="4980" w:type="dxa"/>
            <w:shd w:val="clear" w:color="auto" w:fill="auto"/>
            <w:vAlign w:val="center"/>
          </w:tcPr>
          <w:p w:rsidR="00395F58" w:rsidRDefault="00395F58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537" w:type="dxa"/>
            <w:vAlign w:val="center"/>
          </w:tcPr>
          <w:p w:rsidR="00395F58" w:rsidRP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_c_passive_tracer</w:t>
            </w:r>
          </w:p>
        </w:tc>
        <w:tc>
          <w:tcPr>
            <w:tcW w:w="2537" w:type="dxa"/>
            <w:vAlign w:val="center"/>
          </w:tcPr>
          <w:p w:rsidR="00395F58" w:rsidRDefault="00395F58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1258A2" w:rsidRDefault="001258A2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DB3548">
      <w:pPr>
        <w:tabs>
          <w:tab w:val="left" w:pos="1134"/>
        </w:tabs>
        <w:ind w:left="851" w:firstLine="0"/>
        <w:rPr>
          <w:rFonts w:ascii="Cambria" w:hAnsi="Cambria"/>
          <w:b/>
          <w:sz w:val="28"/>
          <w:szCs w:val="24"/>
        </w:rPr>
      </w:pPr>
    </w:p>
    <w:p w:rsidR="00764F2D" w:rsidRPr="00DB3548" w:rsidRDefault="00764F2D" w:rsidP="00DB3548">
      <w:pPr>
        <w:tabs>
          <w:tab w:val="left" w:pos="1134"/>
        </w:tabs>
        <w:ind w:left="851" w:firstLine="0"/>
        <w:rPr>
          <w:rFonts w:ascii="Cambria" w:hAnsi="Cambria"/>
          <w:szCs w:val="24"/>
        </w:rPr>
      </w:pPr>
      <w:r w:rsidRPr="00DB3548">
        <w:rPr>
          <w:rFonts w:ascii="Cambria" w:hAnsi="Cambria"/>
          <w:b/>
          <w:sz w:val="28"/>
          <w:szCs w:val="24"/>
        </w:rPr>
        <w:t>Физическая модель, реализованная в блоке «Внутренний узел»</w:t>
      </w:r>
    </w:p>
    <w:p w:rsidR="00764F2D" w:rsidRPr="00B23993" w:rsidRDefault="00764F2D" w:rsidP="00764F2D">
      <w:pPr>
        <w:ind w:firstLine="851"/>
        <w:rPr>
          <w:rFonts w:ascii="Cambria" w:hAnsi="Cambria"/>
          <w:szCs w:val="24"/>
        </w:rPr>
      </w:pPr>
    </w:p>
    <w:p w:rsidR="00764F2D" w:rsidRDefault="00764F2D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Внутренний узел</w:t>
      </w:r>
      <w:r w:rsidRPr="00B23993">
        <w:rPr>
          <w:rFonts w:ascii="Cambria" w:hAnsi="Cambria"/>
          <w:szCs w:val="24"/>
        </w:rPr>
        <w:t xml:space="preserve"> является одним из базовых объектов теплогидравлического кода. </w:t>
      </w:r>
      <w:r w:rsidR="00106506">
        <w:rPr>
          <w:rFonts w:ascii="Cambria" w:hAnsi="Cambria"/>
          <w:szCs w:val="24"/>
        </w:rPr>
        <w:t xml:space="preserve">Он служит для связи между собой каналов и рёбер теплогидравлической схемы. С </w:t>
      </w:r>
      <w:r w:rsidR="00106506">
        <w:rPr>
          <w:rFonts w:ascii="Cambria" w:hAnsi="Cambria"/>
          <w:szCs w:val="24"/>
        </w:rPr>
        <w:lastRenderedPageBreak/>
        <w:t xml:space="preserve">каждым узлом может быть связано произвольное количество каналов. Во внутренних узлах решаются уравнения сохранения массы и энергии жидкости, а также уравнение сохранения массы пассивной примеси. </w:t>
      </w:r>
    </w:p>
    <w:p w:rsidR="00106506" w:rsidRDefault="00106506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массы для внутреннего узла выглядит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6506" w:rsidTr="00775B6D">
        <w:tc>
          <w:tcPr>
            <w:tcW w:w="8609" w:type="dxa"/>
          </w:tcPr>
          <w:p w:rsidR="00106506" w:rsidRDefault="00CC594D" w:rsidP="005E2F24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6506" w:rsidRPr="00026767" w:rsidRDefault="00106506" w:rsidP="00775B6D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06506" w:rsidRDefault="00BA2A49" w:rsidP="00BA2A49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ρ</m:t>
        </m:r>
      </m:oMath>
      <w:r w:rsidR="005E2F24">
        <w:rPr>
          <w:rFonts w:ascii="Cambria" w:hAnsi="Cambria"/>
          <w:szCs w:val="24"/>
        </w:rPr>
        <w:t xml:space="preserve"> –</w:t>
      </w:r>
      <w:proofErr w:type="gramEnd"/>
      <w:r w:rsidR="005E2F24">
        <w:rPr>
          <w:rFonts w:ascii="Cambria" w:hAnsi="Cambria"/>
          <w:szCs w:val="24"/>
        </w:rPr>
        <w:t xml:space="preserve"> плотность жидкости;</w:t>
      </w:r>
    </w:p>
    <w:p w:rsidR="005E2F24" w:rsidRDefault="005E2F24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>
        <w:rPr>
          <w:rFonts w:ascii="Cambria" w:hAnsi="Cambria"/>
          <w:szCs w:val="24"/>
        </w:rPr>
        <w:t xml:space="preserve"> – объём узла;</w:t>
      </w:r>
    </w:p>
    <w:p w:rsidR="005E2F24" w:rsidRDefault="00CC594D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вх</m:t>
            </m:r>
          </m:sub>
        </m:sSub>
      </m:oMath>
      <w:r w:rsidR="00691B90" w:rsidRPr="00691B90">
        <w:rPr>
          <w:rFonts w:ascii="Cambria" w:hAnsi="Cambria"/>
          <w:szCs w:val="24"/>
        </w:rPr>
        <w:t xml:space="preserve"> – </w:t>
      </w:r>
      <w:r w:rsidR="00691B90">
        <w:rPr>
          <w:rFonts w:ascii="Cambria" w:hAnsi="Cambria"/>
          <w:szCs w:val="24"/>
        </w:rPr>
        <w:t>количество входящих в узел расходов;</w:t>
      </w:r>
    </w:p>
    <w:p w:rsidR="00691B90" w:rsidRDefault="00CC594D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вых</m:t>
            </m:r>
          </m:sub>
        </m:sSub>
      </m:oMath>
      <w:r w:rsidR="00691B90">
        <w:rPr>
          <w:rFonts w:ascii="Cambria" w:hAnsi="Cambria"/>
          <w:szCs w:val="24"/>
        </w:rPr>
        <w:t xml:space="preserve"> – количество выходящих из узла расходов;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P</m:t>
        </m:r>
      </m:oMath>
      <w:r>
        <w:rPr>
          <w:rFonts w:ascii="Cambria" w:hAnsi="Cambria"/>
          <w:szCs w:val="24"/>
        </w:rPr>
        <w:t xml:space="preserve"> – давление жидкости в узле;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>
        <w:rPr>
          <w:rFonts w:ascii="Cambria" w:hAnsi="Cambria"/>
          <w:szCs w:val="24"/>
        </w:rPr>
        <w:t xml:space="preserve"> - удельная энтальпия жидкости в узле;</w:t>
      </w:r>
    </w:p>
    <w:p w:rsidR="00691B90" w:rsidRDefault="00CC594D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691B90">
        <w:rPr>
          <w:rFonts w:ascii="Cambria" w:hAnsi="Cambria"/>
          <w:szCs w:val="24"/>
        </w:rPr>
        <w:t xml:space="preserve"> - частная производная плотности жидкости по давлению при постоянной энтальпии;</w:t>
      </w:r>
    </w:p>
    <w:p w:rsidR="00691B90" w:rsidRPr="00691B90" w:rsidRDefault="00CC594D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691B90">
        <w:rPr>
          <w:rFonts w:ascii="Cambria" w:hAnsi="Cambria"/>
          <w:szCs w:val="24"/>
        </w:rPr>
        <w:t xml:space="preserve"> – частная производная плотности жидкости по энтальпии при постоянном давлении. </w:t>
      </w:r>
    </w:p>
    <w:p w:rsidR="00106506" w:rsidRDefault="00D248E3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энергии для внутреннего узла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248E3" w:rsidTr="00775B6D">
        <w:tc>
          <w:tcPr>
            <w:tcW w:w="8609" w:type="dxa"/>
          </w:tcPr>
          <w:p w:rsidR="00D248E3" w:rsidRPr="004F4E90" w:rsidRDefault="00D248E3" w:rsidP="00D248E3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</m:oMath>
            </m:oMathPara>
          </w:p>
          <w:p w:rsidR="00D248E3" w:rsidRDefault="00D248E3" w:rsidP="00C7097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248E3" w:rsidRPr="00026767" w:rsidRDefault="00D248E3" w:rsidP="00D248E3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7097D" w:rsidRDefault="00C7097D" w:rsidP="00C7097D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>
        <w:rPr>
          <w:rFonts w:ascii="Cambria" w:hAnsi="Cambria"/>
          <w:szCs w:val="24"/>
        </w:rPr>
        <w:t xml:space="preserve"> –</w:t>
      </w:r>
      <w:proofErr w:type="gramEnd"/>
      <w:r>
        <w:rPr>
          <w:rFonts w:ascii="Cambria" w:hAnsi="Cambria"/>
          <w:szCs w:val="24"/>
        </w:rPr>
        <w:t xml:space="preserve"> удельная энтальпия в последних расчётных ячейках входящих каналов или в первых расчётных ячейках выходящих каналов;</w:t>
      </w:r>
    </w:p>
    <w:p w:rsidR="00C7097D" w:rsidRDefault="00CC594D" w:rsidP="00C7097D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="00C7097D">
        <w:rPr>
          <w:rFonts w:ascii="Cambria" w:hAnsi="Cambria"/>
          <w:szCs w:val="24"/>
        </w:rPr>
        <w:t xml:space="preserve"> – объёмное энерговыделение в узле.</w:t>
      </w:r>
    </w:p>
    <w:p w:rsidR="00D248E3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 решение общей системы уравнений сохранения массы и импульса для определения поля давлений и расходов на следующем слое по времени используется так называемый безытерационный алгоритм, основная идея которого состоит в следующем:</w:t>
      </w:r>
    </w:p>
    <w:p w:rsidR="00C02569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записываются уравнения сохранения импульса для последних гидравлических связей входящих рёбер и для первых гидравлических связей выходящих рёбер. Эти уравнения содержат давления в узлах и в последних расчётных ячейках входящих рёбер и в первых расчётных ячейках выходящих рёбер;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вместо давлений в первых и в последних расчётных ячейках рёбер подставляются их выражения согласно уравнениям, связывающим давления в расчётных ячейках рёбер с давлениями в ограничивающих рёбра узлах. В результате в уравнениях сохранения импульса для крайних гидравлических связей рёбер остаются только расходы в этих гидравлических связях и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из полученных уравнений сохранения импульса выражаются расходы </w:t>
      </w:r>
      <w:proofErr w:type="gramStart"/>
      <w:r>
        <w:rPr>
          <w:rFonts w:ascii="Cambria" w:hAnsi="Cambria"/>
          <w:szCs w:val="24"/>
        </w:rPr>
        <w:t>в крайних гидравлических связей</w:t>
      </w:r>
      <w:proofErr w:type="gramEnd"/>
      <w:r>
        <w:rPr>
          <w:rFonts w:ascii="Cambria" w:hAnsi="Cambria"/>
          <w:szCs w:val="24"/>
        </w:rPr>
        <w:t xml:space="preserve"> рёбер через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эти расходы подставляются в уравнения сохранения массы для узлов вида (1). В результате этой подстановки для узлов получаются уравнения, содержащие давления в данном узле и всех связанных с ним рёбрами узлах. Решение полученной системы методами линейной алгебры позволяет найти давления в узлах схемы на следующем шаге по времени. После этого обратной прогонкой находятся давления в расчётных ячейках всех каналов схемы, а по найденному полю давлений рассчитываются расходы в гидравлических связях на следующем слое по времени. </w:t>
      </w:r>
    </w:p>
    <w:p w:rsidR="00D248E3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 xml:space="preserve">Аналогичная идея используется при расчёте поля энтальпий на следующем слое по времени. </w:t>
      </w:r>
    </w:p>
    <w:p w:rsidR="00106506" w:rsidRPr="008201A4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Уравнение сохранения массы пассивной примеси выглядит аналогично уравнению (2). </w:t>
      </w:r>
      <w:r w:rsidR="003B5981">
        <w:rPr>
          <w:rFonts w:ascii="Cambria" w:hAnsi="Cambria"/>
          <w:szCs w:val="24"/>
        </w:rPr>
        <w:t xml:space="preserve">В теплогидравлическом коде предусмотрен расчёт произвольного количества пассивных примесей. Их количество определяется на этапе инициализации расчётной схемы, исходя из размерностей массивов концентраций </w:t>
      </w:r>
      <w:r w:rsidR="003B5981">
        <w:rPr>
          <w:rFonts w:ascii="Cambria" w:hAnsi="Cambria"/>
          <w:szCs w:val="24"/>
          <w:lang w:val="en-US"/>
        </w:rPr>
        <w:t>C</w:t>
      </w:r>
      <w:r w:rsidR="003B5981" w:rsidRPr="003B5981">
        <w:rPr>
          <w:rFonts w:ascii="Cambria" w:hAnsi="Cambria"/>
          <w:szCs w:val="24"/>
        </w:rPr>
        <w:t>_</w:t>
      </w:r>
      <w:r w:rsidR="003B5981">
        <w:rPr>
          <w:rFonts w:ascii="Cambria" w:hAnsi="Cambria"/>
          <w:szCs w:val="24"/>
          <w:lang w:val="en-US"/>
        </w:rPr>
        <w:t>passive</w:t>
      </w:r>
      <w:r w:rsidR="003B5981" w:rsidRPr="003B5981">
        <w:rPr>
          <w:rFonts w:ascii="Cambria" w:hAnsi="Cambria"/>
          <w:szCs w:val="24"/>
        </w:rPr>
        <w:t>_</w:t>
      </w:r>
      <w:r w:rsidR="003B5981">
        <w:rPr>
          <w:rFonts w:ascii="Cambria" w:hAnsi="Cambria"/>
          <w:szCs w:val="24"/>
          <w:lang w:val="en-US"/>
        </w:rPr>
        <w:t>tracer</w:t>
      </w:r>
      <w:r w:rsidR="003B5981" w:rsidRPr="003B5981">
        <w:rPr>
          <w:rFonts w:ascii="Cambria" w:hAnsi="Cambria"/>
          <w:szCs w:val="24"/>
        </w:rPr>
        <w:t xml:space="preserve">, </w:t>
      </w:r>
      <w:r w:rsidR="003B5981">
        <w:rPr>
          <w:rFonts w:ascii="Cambria" w:hAnsi="Cambria"/>
          <w:szCs w:val="24"/>
        </w:rPr>
        <w:t xml:space="preserve">заданных в узлах схемы. </w:t>
      </w:r>
      <w:r w:rsidR="008201A4">
        <w:rPr>
          <w:rFonts w:ascii="Cambria" w:hAnsi="Cambria"/>
          <w:szCs w:val="24"/>
        </w:rPr>
        <w:t xml:space="preserve">При анализе топологии схемы для каждого связного контуре теплогидравлической схемы рассчитывается количество концентраций пассивных примесей, соответствующее максимальной размерности массива </w:t>
      </w:r>
      <w:r w:rsidR="008201A4">
        <w:rPr>
          <w:rFonts w:ascii="Cambria" w:hAnsi="Cambria"/>
          <w:szCs w:val="24"/>
          <w:lang w:val="en-US"/>
        </w:rPr>
        <w:t>C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passive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tracer</w:t>
      </w:r>
      <w:r w:rsidR="008201A4" w:rsidRPr="008201A4">
        <w:rPr>
          <w:rFonts w:ascii="Cambria" w:hAnsi="Cambria"/>
          <w:szCs w:val="24"/>
        </w:rPr>
        <w:t xml:space="preserve"> </w:t>
      </w:r>
      <w:r w:rsidR="008201A4">
        <w:rPr>
          <w:rFonts w:ascii="Cambria" w:hAnsi="Cambria"/>
          <w:szCs w:val="24"/>
        </w:rPr>
        <w:t xml:space="preserve">в этом контуре. </w:t>
      </w:r>
      <w:r w:rsidR="008A73DE">
        <w:rPr>
          <w:rFonts w:ascii="Cambria" w:hAnsi="Cambria"/>
          <w:szCs w:val="24"/>
        </w:rPr>
        <w:t xml:space="preserve">Концентрации пассивных примесей в ячейках каналов в начале расчёта распределяются линейно между значениями, заданными в узлах. </w:t>
      </w:r>
    </w:p>
    <w:p w:rsidR="003B5981" w:rsidRDefault="0011526A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Внутренний узел является тем блоком теплогидравлического кода, в котором при помощи блока «Подпитка» возможно задание притока или стока массы</w:t>
      </w:r>
      <w:r w:rsidR="00A71335">
        <w:rPr>
          <w:rFonts w:ascii="Cambria" w:hAnsi="Cambria"/>
          <w:szCs w:val="24"/>
        </w:rPr>
        <w:t xml:space="preserve"> жидкости и/или массы пассивной примеси</w:t>
      </w:r>
      <w:r>
        <w:rPr>
          <w:rFonts w:ascii="Cambria" w:hAnsi="Cambria"/>
          <w:szCs w:val="24"/>
        </w:rPr>
        <w:t xml:space="preserve"> в теплогидравлической схеме. </w:t>
      </w:r>
    </w:p>
    <w:p w:rsidR="003B5981" w:rsidRDefault="003B5981" w:rsidP="00764F2D">
      <w:pPr>
        <w:ind w:firstLine="851"/>
        <w:rPr>
          <w:rFonts w:ascii="Cambria" w:hAnsi="Cambria"/>
          <w:szCs w:val="24"/>
        </w:rPr>
      </w:pPr>
    </w:p>
    <w:p w:rsidR="003B5981" w:rsidRPr="003B5981" w:rsidRDefault="003B5981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C7097D" w:rsidRDefault="00C7097D" w:rsidP="00764F2D">
      <w:pPr>
        <w:ind w:firstLine="851"/>
        <w:rPr>
          <w:rFonts w:ascii="Cambria" w:hAnsi="Cambria"/>
          <w:szCs w:val="24"/>
        </w:rPr>
      </w:pPr>
    </w:p>
    <w:sectPr w:rsidR="00C7097D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94D" w:rsidRDefault="00CC594D" w:rsidP="0097473F">
      <w:r>
        <w:separator/>
      </w:r>
    </w:p>
  </w:endnote>
  <w:endnote w:type="continuationSeparator" w:id="0">
    <w:p w:rsidR="00CC594D" w:rsidRDefault="00CC594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94D" w:rsidRDefault="00CC594D" w:rsidP="0097473F">
      <w:r>
        <w:separator/>
      </w:r>
    </w:p>
  </w:footnote>
  <w:footnote w:type="continuationSeparator" w:id="0">
    <w:p w:rsidR="00CC594D" w:rsidRDefault="00CC594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6506"/>
    <w:rsid w:val="00107076"/>
    <w:rsid w:val="0011526A"/>
    <w:rsid w:val="0011684F"/>
    <w:rsid w:val="00122D56"/>
    <w:rsid w:val="001258A2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2B7C"/>
    <w:rsid w:val="002A76BD"/>
    <w:rsid w:val="002B0316"/>
    <w:rsid w:val="002B3FBC"/>
    <w:rsid w:val="002B5B22"/>
    <w:rsid w:val="002C1CF1"/>
    <w:rsid w:val="002C2737"/>
    <w:rsid w:val="002C471C"/>
    <w:rsid w:val="002D004C"/>
    <w:rsid w:val="002D03E3"/>
    <w:rsid w:val="002D32E2"/>
    <w:rsid w:val="002D4200"/>
    <w:rsid w:val="002D6160"/>
    <w:rsid w:val="002E3D8B"/>
    <w:rsid w:val="002F6A1D"/>
    <w:rsid w:val="002F73A5"/>
    <w:rsid w:val="002F78B7"/>
    <w:rsid w:val="00316F7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95F58"/>
    <w:rsid w:val="003A0099"/>
    <w:rsid w:val="003A4A76"/>
    <w:rsid w:val="003A6E11"/>
    <w:rsid w:val="003B0148"/>
    <w:rsid w:val="003B5981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771C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2F24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1B9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64F2D"/>
    <w:rsid w:val="00767FE8"/>
    <w:rsid w:val="007842BB"/>
    <w:rsid w:val="007866AA"/>
    <w:rsid w:val="00786B6A"/>
    <w:rsid w:val="00794034"/>
    <w:rsid w:val="007B1EAB"/>
    <w:rsid w:val="007B239D"/>
    <w:rsid w:val="007B4DC6"/>
    <w:rsid w:val="007C4DB4"/>
    <w:rsid w:val="007D7BEC"/>
    <w:rsid w:val="007E2D3F"/>
    <w:rsid w:val="007E3D0D"/>
    <w:rsid w:val="007E4A68"/>
    <w:rsid w:val="00801687"/>
    <w:rsid w:val="00802217"/>
    <w:rsid w:val="00804DCB"/>
    <w:rsid w:val="00810330"/>
    <w:rsid w:val="008106C0"/>
    <w:rsid w:val="008201A4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73DE"/>
    <w:rsid w:val="008B2EF6"/>
    <w:rsid w:val="008B6260"/>
    <w:rsid w:val="008B6BBD"/>
    <w:rsid w:val="008B769B"/>
    <w:rsid w:val="008C2C3E"/>
    <w:rsid w:val="008C42C7"/>
    <w:rsid w:val="008C4554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3AE9"/>
    <w:rsid w:val="00937880"/>
    <w:rsid w:val="00944D5F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1335"/>
    <w:rsid w:val="00A80543"/>
    <w:rsid w:val="00A80727"/>
    <w:rsid w:val="00A8475F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0E9D"/>
    <w:rsid w:val="00B548EC"/>
    <w:rsid w:val="00B5583F"/>
    <w:rsid w:val="00B644C3"/>
    <w:rsid w:val="00B672E1"/>
    <w:rsid w:val="00B72EE0"/>
    <w:rsid w:val="00B73E36"/>
    <w:rsid w:val="00B87556"/>
    <w:rsid w:val="00B87E50"/>
    <w:rsid w:val="00BA2A49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2569"/>
    <w:rsid w:val="00C04EC9"/>
    <w:rsid w:val="00C05C1B"/>
    <w:rsid w:val="00C0666C"/>
    <w:rsid w:val="00C07491"/>
    <w:rsid w:val="00C24007"/>
    <w:rsid w:val="00C25098"/>
    <w:rsid w:val="00C25FDD"/>
    <w:rsid w:val="00C3147F"/>
    <w:rsid w:val="00C332C4"/>
    <w:rsid w:val="00C367D0"/>
    <w:rsid w:val="00C36C52"/>
    <w:rsid w:val="00C40FC5"/>
    <w:rsid w:val="00C50DBE"/>
    <w:rsid w:val="00C5774D"/>
    <w:rsid w:val="00C7097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594D"/>
    <w:rsid w:val="00CC61C3"/>
    <w:rsid w:val="00CC7438"/>
    <w:rsid w:val="00CD1DDB"/>
    <w:rsid w:val="00CE3494"/>
    <w:rsid w:val="00CE3F98"/>
    <w:rsid w:val="00CF010C"/>
    <w:rsid w:val="00CF6A08"/>
    <w:rsid w:val="00D03641"/>
    <w:rsid w:val="00D248E3"/>
    <w:rsid w:val="00D24D0A"/>
    <w:rsid w:val="00D562A4"/>
    <w:rsid w:val="00D60061"/>
    <w:rsid w:val="00D64E6D"/>
    <w:rsid w:val="00D74FD1"/>
    <w:rsid w:val="00D826EB"/>
    <w:rsid w:val="00D87220"/>
    <w:rsid w:val="00D904E8"/>
    <w:rsid w:val="00DB3548"/>
    <w:rsid w:val="00DB3756"/>
    <w:rsid w:val="00DB622E"/>
    <w:rsid w:val="00DC05A0"/>
    <w:rsid w:val="00DC4962"/>
    <w:rsid w:val="00DC63D4"/>
    <w:rsid w:val="00DD0CE5"/>
    <w:rsid w:val="00DD4CE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321"/>
    <w:rsid w:val="00E50EB3"/>
    <w:rsid w:val="00E64A9E"/>
    <w:rsid w:val="00E822AE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41E"/>
    <w:rsid w:val="00F84F8B"/>
    <w:rsid w:val="00F87EEE"/>
    <w:rsid w:val="00F90369"/>
    <w:rsid w:val="00F91AE8"/>
    <w:rsid w:val="00F97C5D"/>
    <w:rsid w:val="00FD4F0A"/>
    <w:rsid w:val="00FD5474"/>
    <w:rsid w:val="00FD7B42"/>
    <w:rsid w:val="00FE0649"/>
    <w:rsid w:val="00FE21B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36</cp:revision>
  <cp:lastPrinted>2011-12-19T09:00:00Z</cp:lastPrinted>
  <dcterms:created xsi:type="dcterms:W3CDTF">2015-02-11T10:00:00Z</dcterms:created>
  <dcterms:modified xsi:type="dcterms:W3CDTF">2015-08-04T13:06:00Z</dcterms:modified>
</cp:coreProperties>
</file>