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917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8" o:title=""/>
                </v:shape>
                <o:OLEObject Type="Embed" ProgID="PBrush" ShapeID="_x0000_i1025" DrawAspect="Content" ObjectID="_1501666697" r:id="rId9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F438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4928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ароводяной компенсатор давле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F10FD6" w:rsidRDefault="00F10FD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представляет собой модель закрытого объема.</w:t>
      </w:r>
    </w:p>
    <w:p w:rsidR="00F10FD6" w:rsidRPr="003A6E11" w:rsidRDefault="00F10FD6" w:rsidP="00AD4A6D">
      <w:pPr>
        <w:ind w:firstLine="851"/>
        <w:rPr>
          <w:rFonts w:ascii="Cambria" w:hAnsi="Cambria"/>
          <w:szCs w:val="24"/>
        </w:rPr>
      </w:pPr>
    </w:p>
    <w:p w:rsidR="003A6E11" w:rsidRPr="00F24050" w:rsidRDefault="00560979" w:rsidP="00F24050">
      <w:pPr>
        <w:rPr>
          <w:rFonts w:ascii="Cambria" w:hAnsi="Cambria"/>
          <w:b/>
          <w:szCs w:val="24"/>
        </w:rPr>
      </w:pPr>
      <w:r w:rsidRPr="00F24050">
        <w:rPr>
          <w:rFonts w:ascii="Cambria" w:hAnsi="Cambria"/>
          <w:b/>
          <w:szCs w:val="24"/>
        </w:rPr>
        <w:t>Свойства блока</w:t>
      </w:r>
      <w:r w:rsidR="009B0ED3" w:rsidRPr="00F24050">
        <w:rPr>
          <w:rFonts w:ascii="Cambria" w:hAnsi="Cambria"/>
          <w:b/>
          <w:szCs w:val="24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тепловых портов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Pr="00756D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Pr="00CD348E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Pr="00CD348E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Pr="002C3F52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зеркала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CB50A2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Pr="002C3F52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Din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недогрев жидкости до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Tf_0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перегрев пара относительно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Tv_0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объемная доля для 1-й области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объемное паросодержание в 1-й области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Fi_0</w:t>
            </w:r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по высоте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</w:tcPr>
          <w:p w:rsidR="00F24050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693" w:type="dxa"/>
          </w:tcPr>
          <w:p w:rsidR="00F24050" w:rsidRPr="009A0A6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</w:tr>
    </w:tbl>
    <w:p w:rsidR="00F7761A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F24050" w:rsidRDefault="00EE58FE" w:rsidP="00F24050">
      <w:pPr>
        <w:rPr>
          <w:rFonts w:ascii="Cambria" w:hAnsi="Cambria"/>
          <w:b/>
          <w:szCs w:val="24"/>
        </w:rPr>
      </w:pPr>
      <w:r w:rsidRPr="00F24050">
        <w:rPr>
          <w:rFonts w:ascii="Cambria" w:hAnsi="Cambria"/>
          <w:b/>
          <w:szCs w:val="24"/>
        </w:rPr>
        <w:t>Параметры блока</w:t>
      </w:r>
      <w:r w:rsidR="009B0ED3" w:rsidRPr="00F24050">
        <w:rPr>
          <w:rFonts w:ascii="Cambria" w:hAnsi="Cambria"/>
          <w:b/>
          <w:szCs w:val="24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Весовой уровень, м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756D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Физический уровень, м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CD348E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паросодержание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_fi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CD348E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1-й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2C3F52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2-й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2C3F52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жидкости в 1-й области, Дж/кг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жидкости в 1-й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жидкости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 в 1-й области, 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 1-й области, Дж/кг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пара в 1-й области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пара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 1-й области, 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во 2-й области, Дж/кг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пара во 2-й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пара во 2-й области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во 2-й области, кг</w:t>
            </w:r>
          </w:p>
        </w:tc>
        <w:tc>
          <w:tcPr>
            <w:tcW w:w="2693" w:type="dxa"/>
            <w:vAlign w:val="center"/>
          </w:tcPr>
          <w:p w:rsidR="00F24050" w:rsidRPr="004A7902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жидкости чрез патрубки в/из 1-й области,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Сумма расходов пара через патрубки в/из 1-й области,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2-й области,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патрубки в 1-ю область,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 1-ю область,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во 2-ю область,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спринклеры, кг/с</w:t>
            </w:r>
          </w:p>
        </w:tc>
        <w:tc>
          <w:tcPr>
            <w:tcW w:w="2693" w:type="dxa"/>
            <w:vAlign w:val="center"/>
          </w:tcPr>
          <w:p w:rsidR="00F24050" w:rsidRPr="006C48CB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Gspr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 из 1-й области по 2-ю, кг/с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_G12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при конденсации на зеркале, кг/ с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Gmir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струях впрыска, кг/с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Gd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стенках компенсатора, кг/с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Gw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в объеме пара, кг/с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Gcon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 1-й области, Вт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Ggen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во 2-й области, Вт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Gvol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_Qfwf1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_Qwv2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693" w:type="dxa"/>
            <w:vAlign w:val="center"/>
          </w:tcPr>
          <w:p w:rsidR="00F24050" w:rsidRPr="0082635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_Qnf1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Qnv2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при конденсации на зеркале, Вт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Qmir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_Ghf1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_GHv1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_GHv2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826351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Па/с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dPdt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dV</w:t>
            </w:r>
            <w:proofErr w:type="spellEnd"/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56D50">
              <w:rPr>
                <w:rFonts w:ascii="Cambria" w:hAnsi="Cambria"/>
                <w:szCs w:val="24"/>
              </w:rPr>
              <w:t>м³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F24050" w:rsidRPr="009B0ED3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_dHf1dt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  <w:r w:rsidRPr="003E148B">
              <w:rPr>
                <w:rFonts w:ascii="Cambria" w:hAnsi="Cambria"/>
                <w:szCs w:val="24"/>
              </w:rPr>
              <w:t>2/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_dHv2dt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</w:t>
            </w:r>
            <w:proofErr w:type="spellEnd"/>
            <w:r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1/с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dFidt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воды на линии насыщения, Дж/кг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Hfs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на линии насыщения, Дж/кг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Hvs</w:t>
            </w:r>
            <w:proofErr w:type="spellEnd"/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интегрирования, с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_step</w:t>
            </w:r>
          </w:p>
        </w:tc>
      </w:tr>
      <w:tr w:rsidR="00F24050" w:rsidTr="00F24050">
        <w:tc>
          <w:tcPr>
            <w:tcW w:w="4961" w:type="dxa"/>
            <w:shd w:val="clear" w:color="auto" w:fill="auto"/>
            <w:vAlign w:val="center"/>
          </w:tcPr>
          <w:p w:rsidR="00F24050" w:rsidRPr="003E148B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3E148B">
              <w:rPr>
                <w:rFonts w:ascii="Cambria" w:hAnsi="Cambria"/>
                <w:szCs w:val="24"/>
              </w:rPr>
              <w:lastRenderedPageBreak/>
              <w:t>Коэффициенты теплоотдачи к стенке, Вт/(м²*К)</w:t>
            </w:r>
          </w:p>
        </w:tc>
        <w:tc>
          <w:tcPr>
            <w:tcW w:w="2693" w:type="dxa"/>
            <w:vAlign w:val="center"/>
          </w:tcPr>
          <w:p w:rsidR="00F24050" w:rsidRPr="009A0A6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</w:tr>
    </w:tbl>
    <w:p w:rsidR="00DB167A" w:rsidRDefault="00DB167A" w:rsidP="00F10FD6">
      <w:pPr>
        <w:rPr>
          <w:rFonts w:ascii="Cambria" w:hAnsi="Cambria"/>
          <w:szCs w:val="24"/>
        </w:rPr>
      </w:pPr>
    </w:p>
    <w:p w:rsidR="00F10FD6" w:rsidRDefault="00F10FD6" w:rsidP="00F10FD6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Соединение блока «</w:t>
      </w:r>
      <w:r>
        <w:rPr>
          <w:rFonts w:ascii="Cambria" w:hAnsi="Cambria"/>
          <w:szCs w:val="24"/>
          <w:lang w:val="en-US"/>
        </w:rPr>
        <w:t>HS</w:t>
      </w:r>
      <w:r w:rsidRPr="00A817FA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Бак со свободным уровнем» с другими блоками библиотеки происходит с помощью блока «</w:t>
      </w:r>
      <w:r>
        <w:rPr>
          <w:rFonts w:ascii="Cambria" w:hAnsi="Cambria"/>
          <w:szCs w:val="24"/>
          <w:lang w:val="en-US"/>
        </w:rPr>
        <w:t>HS</w:t>
      </w:r>
      <w:r w:rsidRPr="00A817F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A817F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Узел компенсатора».</w:t>
      </w:r>
    </w:p>
    <w:p w:rsidR="00DB167A" w:rsidRDefault="00DB167A" w:rsidP="00DB167A">
      <w:pPr>
        <w:rPr>
          <w:rFonts w:ascii="Cambria" w:hAnsi="Cambria"/>
          <w:szCs w:val="24"/>
        </w:rPr>
      </w:pPr>
      <w:bookmarkStart w:id="0" w:name="_GoBack"/>
      <w:bookmarkEnd w:id="0"/>
      <w:r w:rsidRPr="00C61042">
        <w:rPr>
          <w:rFonts w:ascii="Cambria" w:hAnsi="Cambria"/>
          <w:szCs w:val="24"/>
        </w:rPr>
        <w:t>В качестве дополнительных элементов на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Бак со свободным уровнем</w:t>
      </w:r>
      <w:r w:rsidRPr="00C61042">
        <w:rPr>
          <w:rFonts w:ascii="Cambria" w:hAnsi="Cambria"/>
          <w:szCs w:val="24"/>
        </w:rPr>
        <w:t>»</w:t>
      </w:r>
      <w:r>
        <w:rPr>
          <w:rFonts w:ascii="Cambria" w:hAnsi="Cambria"/>
          <w:szCs w:val="24"/>
        </w:rPr>
        <w:t xml:space="preserve"> могут быть установлены следующие блоки (при этом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Бак со свободным уровнем» будет родительским, а дополнительно установленные блоки – дочерними):</w:t>
      </w:r>
    </w:p>
    <w:p w:rsidR="00DB167A" w:rsidRPr="00A817FA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Узел компенсатора».</w:t>
      </w:r>
    </w:p>
    <w:p w:rsidR="00CB50A2" w:rsidRPr="00560979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56097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D4" w:rsidRDefault="006221D4" w:rsidP="0097473F">
      <w:r>
        <w:separator/>
      </w:r>
    </w:p>
  </w:endnote>
  <w:endnote w:type="continuationSeparator" w:id="0">
    <w:p w:rsidR="006221D4" w:rsidRDefault="006221D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D4" w:rsidRDefault="006221D4" w:rsidP="0097473F">
      <w:r>
        <w:separator/>
      </w:r>
    </w:p>
  </w:footnote>
  <w:footnote w:type="continuationSeparator" w:id="0">
    <w:p w:rsidR="006221D4" w:rsidRDefault="006221D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5C99-2E11-4038-AF61-94A64B82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3</Pages>
  <Words>463</Words>
  <Characters>3035</Characters>
  <Application>Microsoft Office Word</Application>
  <DocSecurity>0</DocSecurity>
  <Lines>233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2015-08-21T09:48:00Z</dcterms:modified>
</cp:coreProperties>
</file>