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E4" w:rsidRPr="001E5AE4" w:rsidRDefault="001E5AE4" w:rsidP="001E5AE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1E5AE4" w:rsidRPr="001E5AE4" w:rsidRDefault="001E5AE4" w:rsidP="001E5AE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E5AE4" w:rsidRPr="001E5AE4" w:rsidRDefault="001E5AE4" w:rsidP="001E5AE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E5AE4" w:rsidRPr="001E5AE4" w:rsidRDefault="001E5AE4" w:rsidP="001E5AE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1E5AE4" w:rsidRPr="001E5AE4" w:rsidRDefault="001E5AE4" w:rsidP="001E5AE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1E5AE4">
      <w:pPr>
        <w:pStyle w:val="2"/>
      </w:pPr>
      <w:r>
        <w:t>Диагонально неявные методы Рунге-Кутты</w:t>
      </w:r>
    </w:p>
    <w:p w:rsidR="00826B19" w:rsidRDefault="00212902" w:rsidP="008025DF">
      <w:r>
        <w:t>В общем случае метод Рунге-Кутты задается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876920" w:rsidTr="00AF5A50">
        <w:trPr>
          <w:jc w:val="center"/>
        </w:trPr>
        <w:tc>
          <w:tcPr>
            <w:tcW w:w="4169" w:type="pct"/>
            <w:vAlign w:val="center"/>
          </w:tcPr>
          <w:p w:rsidR="00876920" w:rsidRPr="00876920" w:rsidRDefault="008D7F4D" w:rsidP="0087692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</m:e>
                </m:nary>
              </m:oMath>
            </m:oMathPara>
          </w:p>
          <w:p w:rsidR="00876920" w:rsidRPr="00876920" w:rsidRDefault="008D7F4D" w:rsidP="0087692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,  i=1,…,s</m:t>
                </m:r>
              </m:oMath>
            </m:oMathPara>
          </w:p>
        </w:tc>
        <w:tc>
          <w:tcPr>
            <w:tcW w:w="831" w:type="pct"/>
            <w:vAlign w:val="center"/>
          </w:tcPr>
          <w:p w:rsidR="00876920" w:rsidRPr="00EA44C1" w:rsidRDefault="00876920" w:rsidP="0087692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826B19" w:rsidRDefault="00212902">
      <w:r>
        <w:t>и может быть представлен в виде таблицы Бутчера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876920" w:rsidTr="00DB475C">
        <w:trPr>
          <w:jc w:val="center"/>
        </w:trPr>
        <w:tc>
          <w:tcPr>
            <w:tcW w:w="4169" w:type="pct"/>
            <w:vAlign w:val="center"/>
          </w:tcPr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"/>
              <w:gridCol w:w="527"/>
              <w:gridCol w:w="372"/>
              <w:gridCol w:w="459"/>
              <w:gridCol w:w="1787"/>
            </w:tblGrid>
            <w:tr w:rsidR="00A542FE" w:rsidTr="00DB475C">
              <w:trPr>
                <w:trHeight w:val="409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Pr="00A542FE" w:rsidRDefault="00A542FE" w:rsidP="00A542FE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A542FE">
                    <w:rPr>
                      <w:b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542FE" w:rsidRPr="00A542FE" w:rsidRDefault="00A542FE" w:rsidP="00A542FE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A542FE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A542FE" w:rsidRPr="00A542FE" w:rsidRDefault="00A542FE" w:rsidP="00A542F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Default="008D7F4D" w:rsidP="00A542FE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542FE" w:rsidRPr="00A542FE" w:rsidRDefault="008D7F4D" w:rsidP="00A542FE">
                  <w:pPr>
                    <w:ind w:firstLine="0"/>
                    <w:jc w:val="center"/>
                    <w:rPr>
                      <w:i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ss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</w:tc>
            </w:tr>
            <w:tr w:rsidR="00A542FE" w:rsidTr="00DB475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Default="00A542FE" w:rsidP="00A542F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A542FE" w:rsidRDefault="008D7F4D" w:rsidP="00A542FE">
                  <w:pPr>
                    <w:ind w:firstLine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vMerge/>
                  <w:vAlign w:val="center"/>
                </w:tcPr>
                <w:p w:rsidR="00A542FE" w:rsidRDefault="00A542FE" w:rsidP="00A542F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Default="00A542FE" w:rsidP="00A542F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A542FE" w:rsidRDefault="008D7F4D" w:rsidP="00A542FE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</w:tc>
            </w:tr>
          </w:tbl>
          <w:p w:rsidR="00A542FE" w:rsidRPr="00876920" w:rsidRDefault="00A542FE" w:rsidP="00A542FE">
            <w:pPr>
              <w:ind w:firstLine="0"/>
              <w:jc w:val="center"/>
            </w:pPr>
          </w:p>
        </w:tc>
        <w:tc>
          <w:tcPr>
            <w:tcW w:w="831" w:type="pct"/>
            <w:vAlign w:val="center"/>
          </w:tcPr>
          <w:p w:rsidR="00876920" w:rsidRPr="00EA44C1" w:rsidRDefault="00876920" w:rsidP="00DB475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(3.</w:t>
            </w:r>
            <w:r w:rsidR="00DB475C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</w:tbl>
    <w:p w:rsidR="00876920" w:rsidRDefault="00876920"/>
    <w:p w:rsidR="00826B19" w:rsidRDefault="00212902">
      <w:r>
        <w:t>Часто приводят также формулу</w:t>
      </w:r>
    </w:p>
    <w:p w:rsidR="00DB475C" w:rsidRPr="00876920" w:rsidRDefault="008D7F4D" w:rsidP="00DB475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037A43" w:rsidRDefault="00212902" w:rsidP="006D73C6">
      <w:r>
        <w:t>которая используется для получения оценки погрешности численного решения</w:t>
      </w:r>
      <w:r w:rsidR="00DB475C" w:rsidRPr="00DB475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</m:oMath>
      <w:r>
        <w:t>. В этом случае в таблицу (3.</w:t>
      </w:r>
      <w:r w:rsidR="00DB475C" w:rsidRPr="00DB475C">
        <w:t>3</w:t>
      </w:r>
      <w:r>
        <w:t>) добавляется строка коэффициентов</w:t>
      </w:r>
      <w:r w:rsidR="00DB475C" w:rsidRPr="00DB475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037A43" w:rsidRDefault="00212902" w:rsidP="002D3953">
      <w:r>
        <w:lastRenderedPageBreak/>
        <w:t>В явном методе</w:t>
      </w:r>
      <w:r w:rsidR="00F632DB" w:rsidRPr="00F632D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при</w:t>
      </w:r>
      <w:r w:rsidR="00F632DB" w:rsidRPr="00F632DB">
        <w:t xml:space="preserve"> </w:t>
      </w:r>
      <w:r w:rsidR="00F632DB" w:rsidRPr="00F632DB">
        <w:rPr>
          <w:i/>
          <w:lang w:val="en-US"/>
        </w:rPr>
        <w:t>j</w:t>
      </w:r>
      <w:r w:rsidR="00F632DB" w:rsidRPr="00F632DB">
        <w:rPr>
          <w:i/>
        </w:rPr>
        <w:t xml:space="preserve"> ≥ </w:t>
      </w:r>
      <w:r w:rsidR="00F632DB" w:rsidRPr="00F632DB">
        <w:rPr>
          <w:i/>
          <w:lang w:val="en-US"/>
        </w:rPr>
        <w:t>i</w:t>
      </w:r>
      <w:r>
        <w:t>, тогда формулы</w:t>
      </w:r>
      <w:r w:rsidR="00F632DB">
        <w:t xml:space="preserve"> </w:t>
      </w:r>
      <w:r>
        <w:t>(3.</w:t>
      </w:r>
      <w:r w:rsidR="00F632DB" w:rsidRPr="00F632DB">
        <w:t>2</w:t>
      </w:r>
      <w:r>
        <w:t>) задают расчетный алгоритм, который может быть непосредственно реализован. В противном случае метод является неявным и требует при своей реализации решения системы алгебраических уравнений</w:t>
      </w:r>
      <w:r w:rsidRPr="00765614">
        <w:t xml:space="preserve">. </w:t>
      </w:r>
      <w:r>
        <w:t>Среди неявных методов Рунге</w:t>
      </w:r>
      <w:r>
        <w:noBreakHyphen/>
        <w:t>Кутты наиболее просто реализуются диагонально неявные (</w:t>
      </w:r>
      <w:r>
        <w:rPr>
          <w:lang w:val="en-US"/>
        </w:rPr>
        <w:t>DIRK</w:t>
      </w:r>
      <w:r w:rsidRPr="00765614">
        <w:t xml:space="preserve"> – </w:t>
      </w:r>
      <w:r>
        <w:rPr>
          <w:lang w:val="en-US"/>
        </w:rPr>
        <w:t>Diagonally</w:t>
      </w:r>
      <w:r w:rsidRPr="00765614">
        <w:t xml:space="preserve"> </w:t>
      </w:r>
      <w:r>
        <w:rPr>
          <w:lang w:val="en-US"/>
        </w:rPr>
        <w:t>Implicit</w:t>
      </w:r>
      <w:r w:rsidRPr="00765614">
        <w:t xml:space="preserve"> </w:t>
      </w:r>
      <w:r>
        <w:rPr>
          <w:lang w:val="en-US"/>
        </w:rPr>
        <w:t>Runge</w:t>
      </w:r>
      <w:r w:rsidRPr="00765614">
        <w:noBreakHyphen/>
      </w:r>
      <w:r>
        <w:rPr>
          <w:lang w:val="en-US"/>
        </w:rPr>
        <w:t>Kutta</w:t>
      </w:r>
      <w:r w:rsidRPr="00765614">
        <w:t>)</w:t>
      </w:r>
      <w:r>
        <w:t xml:space="preserve">, у которых матрица </w:t>
      </w:r>
      <w:r>
        <w:rPr>
          <w:b/>
          <w:lang w:val="en-US"/>
        </w:rPr>
        <w:t>A</w:t>
      </w:r>
      <w:r w:rsidRPr="00765614">
        <w:t xml:space="preserve"> </w:t>
      </w:r>
      <w:r>
        <w:t>имеет</w:t>
      </w:r>
      <w:r w:rsidRPr="00765614">
        <w:t xml:space="preserve"> </w:t>
      </w:r>
      <w:r>
        <w:t xml:space="preserve">нижнюю треугольную форму. </w:t>
      </w:r>
    </w:p>
    <w:p w:rsidR="00826B19" w:rsidRDefault="00212902" w:rsidP="002D3953">
      <w:r>
        <w:t xml:space="preserve">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реализованы три метода </w:t>
      </w:r>
      <w:r>
        <w:rPr>
          <w:lang w:val="en-US"/>
        </w:rPr>
        <w:t>DIRK</w:t>
      </w:r>
      <w:r w:rsidRPr="00765614">
        <w:t xml:space="preserve">, </w:t>
      </w:r>
      <w:r>
        <w:t>имеющие таблицу Бутчера вида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662555" w:rsidTr="00662555">
        <w:trPr>
          <w:jc w:val="center"/>
        </w:trPr>
        <w:tc>
          <w:tcPr>
            <w:tcW w:w="4169" w:type="pct"/>
            <w:vAlign w:val="center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8"/>
              <w:gridCol w:w="2917"/>
            </w:tblGrid>
            <w:tr w:rsidR="00662555" w:rsidTr="00AF5A50">
              <w:trPr>
                <w:trHeight w:val="1641"/>
              </w:trPr>
              <w:tc>
                <w:tcPr>
                  <w:tcW w:w="618" w:type="dxa"/>
                </w:tcPr>
                <w:p w:rsidR="00662555" w:rsidRDefault="008D7F4D" w:rsidP="00662555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2917" w:type="dxa"/>
                </w:tcPr>
                <w:p w:rsidR="00662555" w:rsidRDefault="008D7F4D" w:rsidP="00662555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mr>
                      </m:m>
                    </m:oMath>
                  </m:oMathPara>
                </w:p>
              </w:tc>
            </w:tr>
            <w:tr w:rsidR="00662555" w:rsidTr="00AF5A50">
              <w:tc>
                <w:tcPr>
                  <w:tcW w:w="618" w:type="dxa"/>
                </w:tcPr>
                <w:p w:rsidR="00662555" w:rsidRDefault="00662555" w:rsidP="00662555">
                  <w:pPr>
                    <w:ind w:firstLine="0"/>
                    <w:jc w:val="center"/>
                  </w:pPr>
                </w:p>
              </w:tc>
              <w:tc>
                <w:tcPr>
                  <w:tcW w:w="2917" w:type="dxa"/>
                </w:tcPr>
                <w:p w:rsidR="00662555" w:rsidRDefault="008D7F4D" w:rsidP="00662555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662555" w:rsidRPr="00876920" w:rsidRDefault="00662555" w:rsidP="00662555">
            <w:pPr>
              <w:ind w:firstLine="0"/>
              <w:jc w:val="center"/>
            </w:pPr>
          </w:p>
        </w:tc>
        <w:tc>
          <w:tcPr>
            <w:tcW w:w="831" w:type="pct"/>
            <w:vAlign w:val="center"/>
          </w:tcPr>
          <w:p w:rsidR="00662555" w:rsidRPr="00EA44C1" w:rsidRDefault="00662555" w:rsidP="00662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(3.4)</w:t>
            </w:r>
          </w:p>
        </w:tc>
      </w:tr>
    </w:tbl>
    <w:p w:rsidR="00662555" w:rsidRDefault="00662555" w:rsidP="00662555">
      <w:r w:rsidRPr="00662555">
        <w:t xml:space="preserve">Эти методы имеют явную первую стадию и </w:t>
      </w:r>
      <w:r w:rsidRPr="00662555">
        <w:rPr>
          <w:i/>
          <w:lang w:val="en-US"/>
        </w:rPr>
        <w:t>r</w:t>
      </w:r>
      <w:r w:rsidRPr="00662555">
        <w:t xml:space="preserve"> = </w:t>
      </w:r>
      <w:r w:rsidRPr="00662555">
        <w:rPr>
          <w:i/>
        </w:rPr>
        <w:t>s</w:t>
      </w:r>
      <w:r w:rsidRPr="00662555">
        <w:t xml:space="preserve"> </w:t>
      </w:r>
      <w:r>
        <w:t>–</w:t>
      </w:r>
      <w:r w:rsidRPr="00662555">
        <w:t xml:space="preserve"> 1 неявных стадий с одинаковыми диагональными элементами матрицы </w:t>
      </w:r>
      <w:r w:rsidRPr="00662555">
        <w:rPr>
          <w:b/>
        </w:rPr>
        <w:t>A</w:t>
      </w:r>
      <w:r w:rsidRPr="00662555">
        <w:t xml:space="preserve">, поэтому их обычно называют ESDIRK (Explicit first stage Singly DIRK). Явная стадия не требует вычислений, поскольку результат ее выполнения совпадает с последней стадией предыдущего шага. Такие методы называют </w:t>
      </w:r>
      <w:r>
        <w:t xml:space="preserve">иногда </w:t>
      </w:r>
      <w:r w:rsidRPr="00662555">
        <w:t>также FSAL</w:t>
      </w:r>
      <w:r>
        <w:t>-</w:t>
      </w:r>
      <w:r>
        <w:rPr>
          <w:lang w:val="en-US"/>
        </w:rPr>
        <w:t>DIRK</w:t>
      </w:r>
      <w:r w:rsidRPr="00662555">
        <w:t xml:space="preserve"> (First Same As Last). Преимущество методов вида (3.4) по сравнению с другими методами DIRK состоит в том, что они являются жестко точными и могут иметь второй стадийный порядок [</w:t>
      </w:r>
      <w:r w:rsidR="00F80655" w:rsidRPr="00F80655">
        <w:t>7</w:t>
      </w:r>
      <w:r w:rsidRPr="00662555">
        <w:t xml:space="preserve">, </w:t>
      </w:r>
      <w:r w:rsidR="00F80655" w:rsidRPr="00F80655">
        <w:t>8</w:t>
      </w:r>
      <w:r w:rsidRPr="00662555">
        <w:t>].</w:t>
      </w:r>
    </w:p>
    <w:sectPr w:rsidR="00662555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4D" w:rsidRDefault="008D7F4D">
      <w:r>
        <w:separator/>
      </w:r>
    </w:p>
  </w:endnote>
  <w:endnote w:type="continuationSeparator" w:id="0">
    <w:p w:rsidR="008D7F4D" w:rsidRDefault="008D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4D" w:rsidRDefault="008D7F4D">
      <w:r>
        <w:separator/>
      </w:r>
    </w:p>
  </w:footnote>
  <w:footnote w:type="continuationSeparator" w:id="0">
    <w:p w:rsidR="008D7F4D" w:rsidRDefault="008D7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232AF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B1022"/>
    <w:rsid w:val="008C626F"/>
    <w:rsid w:val="008D7F4D"/>
    <w:rsid w:val="008E0F32"/>
    <w:rsid w:val="008E4BC0"/>
    <w:rsid w:val="009041A7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Диагонально-Неявные методы Рунге-Кутта.</dc:title>
  <dc:subject/>
  <dc:creator>Alex</dc:creator>
  <cp:keywords/>
  <dc:description/>
  <cp:lastModifiedBy>Redmann</cp:lastModifiedBy>
  <cp:revision>103</cp:revision>
  <dcterms:created xsi:type="dcterms:W3CDTF">2015-01-03T15:20:00Z</dcterms:created>
  <dcterms:modified xsi:type="dcterms:W3CDTF">2015-11-10T08:03:00Z</dcterms:modified>
</cp:coreProperties>
</file>