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bookmarkStart w:id="0" w:name="_GoBack"/>
      <w:bookmarkEnd w:id="0"/>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C033FB" w:rsidRDefault="00C033FB" w:rsidP="00A60994">
      <w:pPr>
        <w:pStyle w:val="3"/>
      </w:pPr>
      <w:r>
        <w:t>Задача Капса</w:t>
      </w:r>
    </w:p>
    <w:p w:rsidR="00C033FB" w:rsidRDefault="00C033FB" w:rsidP="00C033FB">
      <w:r w:rsidRPr="00C033FB">
        <w:t>Будем решать задачу Капса</w:t>
      </w:r>
    </w:p>
    <w:p w:rsidR="00C033FB" w:rsidRPr="00C033FB" w:rsidRDefault="0063090E"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63090E"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r>
            <w:r w:rsidRPr="00C71EFF">
              <w:rPr>
                <w:szCs w:val="24"/>
              </w:rPr>
              <w:lastRenderedPageBreak/>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r>
            <w:r w:rsidRPr="00C71EFF">
              <w:rPr>
                <w:szCs w:val="24"/>
              </w:rPr>
              <w:lastRenderedPageBreak/>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sectPr w:rsidR="00C71EFF" w:rsidSect="00FB3291">
      <w:footerReference w:type="even" r:id="rId7"/>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90E" w:rsidRDefault="0063090E">
      <w:r>
        <w:separator/>
      </w:r>
    </w:p>
  </w:endnote>
  <w:endnote w:type="continuationSeparator" w:id="0">
    <w:p w:rsidR="0063090E" w:rsidRDefault="0063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90E" w:rsidRDefault="0063090E">
      <w:r>
        <w:separator/>
      </w:r>
    </w:p>
  </w:footnote>
  <w:footnote w:type="continuationSeparator" w:id="0">
    <w:p w:rsidR="0063090E" w:rsidRDefault="00630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73431"/>
    <w:rsid w:val="00082ED6"/>
    <w:rsid w:val="000A1DCA"/>
    <w:rsid w:val="000B3FA6"/>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720DC"/>
    <w:rsid w:val="003A664C"/>
    <w:rsid w:val="003C0018"/>
    <w:rsid w:val="003C1437"/>
    <w:rsid w:val="003C78C3"/>
    <w:rsid w:val="003D249D"/>
    <w:rsid w:val="003D350A"/>
    <w:rsid w:val="003E5246"/>
    <w:rsid w:val="003F7C12"/>
    <w:rsid w:val="00411C9C"/>
    <w:rsid w:val="0041254B"/>
    <w:rsid w:val="00413363"/>
    <w:rsid w:val="004222C2"/>
    <w:rsid w:val="00440A3D"/>
    <w:rsid w:val="00453FE6"/>
    <w:rsid w:val="00460956"/>
    <w:rsid w:val="004967D9"/>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090E"/>
    <w:rsid w:val="00635AE2"/>
    <w:rsid w:val="00662555"/>
    <w:rsid w:val="00683750"/>
    <w:rsid w:val="00694BDF"/>
    <w:rsid w:val="006D10C8"/>
    <w:rsid w:val="006D69A4"/>
    <w:rsid w:val="006D73C6"/>
    <w:rsid w:val="006E0122"/>
    <w:rsid w:val="00700EE8"/>
    <w:rsid w:val="007033F1"/>
    <w:rsid w:val="00710BA8"/>
    <w:rsid w:val="00710BB9"/>
    <w:rsid w:val="00737D5E"/>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B3495"/>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0994"/>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C4279"/>
    <w:rsid w:val="00BC576A"/>
    <w:rsid w:val="00BD28C1"/>
    <w:rsid w:val="00BD2CE3"/>
    <w:rsid w:val="00C033FB"/>
    <w:rsid w:val="00C148F6"/>
    <w:rsid w:val="00C154E0"/>
    <w:rsid w:val="00C516A2"/>
    <w:rsid w:val="00C52BE6"/>
    <w:rsid w:val="00C5376C"/>
    <w:rsid w:val="00C56F6F"/>
    <w:rsid w:val="00C71EFF"/>
    <w:rsid w:val="00C83F15"/>
    <w:rsid w:val="00C961F9"/>
    <w:rsid w:val="00CA0822"/>
    <w:rsid w:val="00CE56C9"/>
    <w:rsid w:val="00CF3743"/>
    <w:rsid w:val="00D22484"/>
    <w:rsid w:val="00D255CA"/>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720B"/>
    <w:rsid w:val="00F632DB"/>
    <w:rsid w:val="00F66049"/>
    <w:rsid w:val="00F74BE8"/>
    <w:rsid w:val="00F752A1"/>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407</Words>
  <Characters>2325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обыкновенных дифференциальных и дифференциально-алгебраических уравнений в SimInTech. Задача Капса.</dc:title>
  <dc:subject/>
  <dc:creator>Alex</dc:creator>
  <cp:keywords/>
  <dc:description/>
  <cp:lastModifiedBy>Redmann</cp:lastModifiedBy>
  <cp:revision>97</cp:revision>
  <dcterms:created xsi:type="dcterms:W3CDTF">2015-01-03T15:20:00Z</dcterms:created>
  <dcterms:modified xsi:type="dcterms:W3CDTF">2015-11-10T08:05:00Z</dcterms:modified>
</cp:coreProperties>
</file>