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987649" w:rsidRDefault="000E18D2" w:rsidP="00987649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Се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гмент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="004D42EE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="0050191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Ellipse</w:t>
      </w:r>
      <w:r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</w:t>
      </w:r>
      <w:r w:rsidR="00BD268D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egment</w:t>
      </w:r>
      <w:proofErr w:type="spellEnd"/>
      <w:r w:rsidR="00941C9C" w:rsidRPr="00987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582494" w:rsidRPr="00582494" w:rsidRDefault="00582494" w:rsidP="00941C9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294909" cy="217815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5" t="11898" r="52813" b="59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09" cy="217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987649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987649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1. Кликнуть в панели примитивов по кнопке</w:t>
      </w:r>
      <w:r w:rsidR="00987649" w:rsidRPr="00582494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BD268D" w:rsidRPr="00987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93675" cy="200891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58189" t="36836" r="38548" b="42605"/>
                    <a:stretch/>
                  </pic:blipFill>
                  <pic:spPr bwMode="auto">
                    <a:xfrm>
                      <a:off x="0" y="0"/>
                      <a:ext cx="193820" cy="201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в точке центра окружности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будущего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.</w:t>
      </w:r>
      <w:r w:rsidR="000E18D2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Появится круговой </w:t>
      </w:r>
      <w:r w:rsidR="007169B1" w:rsidRPr="00987649">
        <w:rPr>
          <w:rFonts w:ascii="Times New Roman" w:hAnsi="Times New Roman" w:cs="Times New Roman"/>
          <w:noProof/>
          <w:sz w:val="28"/>
          <w:lang w:eastAsia="ru-RU"/>
        </w:rPr>
        <w:t>сегмент.</w:t>
      </w:r>
    </w:p>
    <w:p w:rsidR="0050191C" w:rsidRPr="00987649" w:rsidRDefault="0050191C" w:rsidP="0050191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1. Выделить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кликнув на его изображении.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 xml:space="preserve">сегмента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навести на него указатель мыши </w:t>
      </w:r>
      <w:r w:rsidR="008C5B3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8C5B3E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564E5F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на новое место.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3. Для изменения размера высоты и ширины прямоугольника, описывающего </w:t>
      </w:r>
      <w:r w:rsidR="000A0724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эллипс, частью которого является </w:t>
      </w:r>
      <w:r w:rsidR="0010261D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одной из сторон прямоугольника, описывающего эллипс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E271D8" w:rsidRPr="00987649">
        <w:rPr>
          <w:rFonts w:ascii="Times New Roman" w:hAnsi="Times New Roman" w:cs="Times New Roman"/>
          <w:noProof/>
          <w:sz w:val="28"/>
          <w:lang w:eastAsia="ru-RU"/>
        </w:rPr>
        <w:t>высоты или 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. При этом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будет трансформироваться симметрично относительно цен</w:t>
      </w:r>
      <w:r w:rsidR="00F6669B">
        <w:rPr>
          <w:rFonts w:ascii="Times New Roman" w:hAnsi="Times New Roman" w:cs="Times New Roman"/>
          <w:noProof/>
          <w:sz w:val="28"/>
          <w:lang w:eastAsia="ru-RU"/>
        </w:rPr>
        <w:t>т</w:t>
      </w:r>
      <w:bookmarkStart w:id="0" w:name="_GoBack"/>
      <w:bookmarkEnd w:id="0"/>
      <w:r w:rsidRPr="00987649">
        <w:rPr>
          <w:rFonts w:ascii="Times New Roman" w:hAnsi="Times New Roman" w:cs="Times New Roman"/>
          <w:noProof/>
          <w:sz w:val="28"/>
          <w:lang w:eastAsia="ru-RU"/>
        </w:rPr>
        <w:t>ра описывающего его прямоугольника.</w:t>
      </w:r>
    </w:p>
    <w:p w:rsidR="0050191C" w:rsidRPr="00987649" w:rsidRDefault="0050191C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4. Для поворота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подвести указатель мыши к красному квадратному маркеру в центре правой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(если вращение ещё не выполнялось) стороны прямоугольника, описывающего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мнимый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эллипс 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размера 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>ширины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, приуроченной к данному маркеру, поэтому если важно сохранить размеры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="00FB5BB7"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и выполнить только его поворот, то предпочтительнее задать угол поворота в свойстве «Угол поворота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/</w:t>
      </w:r>
      <w:r w:rsidR="00941F00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Angle» данного примитива.</w:t>
      </w:r>
    </w:p>
    <w:p w:rsidR="001637B7" w:rsidRPr="00987649" w:rsidRDefault="001637B7" w:rsidP="0050191C">
      <w:pPr>
        <w:rPr>
          <w:rFonts w:ascii="Times New Roman" w:hAnsi="Times New Roman" w:cs="Times New Roman"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5. Для задания начального и конечного углов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сегмента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используются свойства </w:t>
      </w:r>
      <w:r w:rsidR="0021244B" w:rsidRPr="00987649">
        <w:rPr>
          <w:rFonts w:ascii="Times New Roman" w:hAnsi="Times New Roman" w:cs="Times New Roman"/>
          <w:noProof/>
          <w:sz w:val="28"/>
          <w:lang w:eastAsia="ru-RU"/>
        </w:rPr>
        <w:t>примитива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StartAngle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987649">
        <w:rPr>
          <w:rFonts w:ascii="Times New Roman" w:hAnsi="Times New Roman" w:cs="Times New Roman"/>
          <w:noProof/>
          <w:sz w:val="28"/>
          <w:lang w:val="en-US" w:eastAsia="ru-RU"/>
        </w:rPr>
        <w:t>EndAngle</w:t>
      </w:r>
      <w:r w:rsidRPr="00987649">
        <w:rPr>
          <w:rFonts w:ascii="Times New Roman" w:hAnsi="Times New Roman" w:cs="Times New Roman"/>
          <w:noProof/>
          <w:sz w:val="28"/>
          <w:lang w:eastAsia="ru-RU"/>
        </w:rPr>
        <w:t>, в которых задаются значения соответствующих углов в радианах.</w:t>
      </w:r>
    </w:p>
    <w:p w:rsidR="00941C9C" w:rsidRPr="00987649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987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4D42EE" w:rsidRPr="004D42EE" w:rsidRDefault="005709AF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712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/>
      </w:tblPr>
      <w:tblGrid>
        <w:gridCol w:w="2480"/>
        <w:gridCol w:w="1750"/>
        <w:gridCol w:w="2387"/>
        <w:gridCol w:w="574"/>
        <w:gridCol w:w="845"/>
        <w:gridCol w:w="2390"/>
        <w:gridCol w:w="6859"/>
      </w:tblGrid>
      <w:tr w:rsidR="00987649" w:rsidRPr="00987649" w:rsidTr="00EA6E71">
        <w:trPr>
          <w:cnfStyle w:val="1000000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987649">
            <w:pPr>
              <w:autoSpaceDE w:val="0"/>
              <w:autoSpaceDN w:val="0"/>
              <w:adjustRightInd w:val="0"/>
              <w:cnfStyle w:val="10000000000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987649" w:rsidRPr="00987649" w:rsidRDefault="00987649" w:rsidP="00987649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582494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582494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1000000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Имя объекта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FillEllipseSegment3.Visible</w:t>
            </w:r>
            <w:r w:rsidRPr="00987649">
              <w:rPr>
                <w:noProof/>
                <w:szCs w:val="22"/>
                <w:lang w:eastAsia="ru-RU"/>
              </w:rPr>
              <w:t>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FillEllipseSegment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зеленый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[(X1,Y1),(X2,Y2)</w:t>
            </w:r>
            <w:r w:rsidRPr="00987649">
              <w:rPr>
                <w:noProof/>
                <w:szCs w:val="22"/>
                <w:lang w:eastAsia="ru-RU"/>
              </w:rPr>
              <w:t>,</w:t>
            </w:r>
            <w:r w:rsidRPr="00987649">
              <w:rPr>
                <w:noProof/>
                <w:szCs w:val="22"/>
                <w:lang w:val="en-US" w:eastAsia="ru-RU"/>
              </w:rPr>
              <w:t xml:space="preserve"> (X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,Y</w:t>
            </w:r>
            <w:r w:rsidRPr="00987649">
              <w:rPr>
                <w:noProof/>
                <w:szCs w:val="22"/>
                <w:lang w:eastAsia="ru-RU"/>
              </w:rPr>
              <w:t>3</w:t>
            </w:r>
            <w:r w:rsidRPr="00987649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[(56 , 104), (112 , </w:t>
            </w:r>
            <w:r w:rsidRPr="00987649">
              <w:rPr>
                <w:noProof/>
                <w:szCs w:val="22"/>
                <w:lang w:val="en-US" w:eastAsia="ru-RU"/>
              </w:rPr>
              <w:t>src1</w:t>
            </w:r>
            <w:r w:rsidRPr="00987649">
              <w:rPr>
                <w:noProof/>
                <w:szCs w:val="22"/>
                <w:lang w:eastAsia="ru-RU"/>
              </w:rPr>
              <w:t>),(</w:t>
            </w:r>
            <w:r w:rsidRPr="00987649">
              <w:rPr>
                <w:noProof/>
                <w:szCs w:val="22"/>
                <w:lang w:val="en-US" w:eastAsia="ru-RU"/>
              </w:rPr>
              <w:t>coord3*k4</w:t>
            </w:r>
            <w:r w:rsidRPr="00987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1,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1) – координаты центра прямоугольника описывающего мнимый эллипс, частью которого является сегмент.</w:t>
            </w:r>
          </w:p>
          <w:p w:rsidR="00987649" w:rsidRPr="00987649" w:rsidRDefault="00987649" w:rsidP="00987649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2,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:rsidR="00987649" w:rsidRPr="00987649" w:rsidRDefault="00987649" w:rsidP="00987649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(</w:t>
            </w:r>
            <w:r w:rsidRPr="00987649">
              <w:rPr>
                <w:noProof/>
                <w:szCs w:val="22"/>
                <w:lang w:val="en-US" w:eastAsia="ru-RU"/>
              </w:rPr>
              <w:t>X</w:t>
            </w:r>
            <w:r w:rsidRPr="00987649">
              <w:rPr>
                <w:noProof/>
                <w:szCs w:val="22"/>
                <w:lang w:eastAsia="ru-RU"/>
              </w:rPr>
              <w:t>3,</w:t>
            </w:r>
            <w:r w:rsidRPr="00987649">
              <w:rPr>
                <w:noProof/>
                <w:szCs w:val="22"/>
                <w:lang w:val="en-US" w:eastAsia="ru-RU"/>
              </w:rPr>
              <w:t>Y</w:t>
            </w:r>
            <w:r w:rsidRPr="00987649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987649" w:rsidRPr="00987649" w:rsidRDefault="00987649" w:rsidP="00987649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color w:val="FF0000"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FE342D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Двойной щелчок</w:t>
            </w:r>
          </w:p>
          <w:p w:rsidR="00987649" w:rsidRPr="00FE342D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:rsidR="00987649" w:rsidRPr="00987649" w:rsidRDefault="00FD7D8B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нет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859" w:type="dxa"/>
          </w:tcPr>
          <w:p w:rsidR="00987649" w:rsidRPr="00987649" w:rsidRDefault="00EA6E71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мнимый эллипс.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574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  <w:gridSpan w:val="2"/>
          </w:tcPr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987649" w:rsidRPr="00D07008" w:rsidRDefault="00987649" w:rsidP="00987649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987649" w:rsidRPr="00987649" w:rsidRDefault="00987649" w:rsidP="00987649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spacing w:line="280" w:lineRule="exact"/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границы</w:t>
            </w:r>
            <w:r w:rsidRPr="00987649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</w:t>
            </w:r>
            <w:r w:rsidRPr="00987649">
              <w:rPr>
                <w:i/>
                <w:noProof/>
                <w:szCs w:val="22"/>
                <w:lang w:eastAsia="ru-RU"/>
              </w:rPr>
              <w:t>черный</w:t>
            </w:r>
            <w:r w:rsidRPr="00987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:rsidR="00987649" w:rsidRPr="00D07008" w:rsidRDefault="00987649" w:rsidP="0098764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987649" w:rsidRPr="00D07008" w:rsidRDefault="00987649" w:rsidP="0098764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987649" w:rsidRPr="00D07008" w:rsidRDefault="00987649" w:rsidP="0098764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987649" w:rsidRPr="00D07008" w:rsidRDefault="00987649" w:rsidP="0098764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987649" w:rsidRPr="00987649" w:rsidRDefault="00987649" w:rsidP="00987649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809" w:type="dxa"/>
            <w:gridSpan w:val="3"/>
          </w:tcPr>
          <w:p w:rsidR="00987649" w:rsidRPr="00D07008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987649" w:rsidRPr="00D07008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987649" w:rsidRPr="00D07008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987649" w:rsidRPr="00987649" w:rsidRDefault="00987649" w:rsidP="00FE342D">
            <w:pPr>
              <w:spacing w:after="20" w:line="240" w:lineRule="auto"/>
              <w:cnfStyle w:val="000000100000"/>
              <w:rPr>
                <w:noProof/>
                <w:szCs w:val="22"/>
                <w:lang w:eastAsia="ru-RU"/>
              </w:rPr>
            </w:pPr>
            <w:r w:rsidRPr="00582494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GradientColor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Второй цвет для градиентной заливки.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 xml:space="preserve">float </w:t>
            </w:r>
            <w:r w:rsidRPr="00987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809" w:type="dxa"/>
            <w:gridSpan w:val="3"/>
          </w:tcPr>
          <w:p w:rsidR="00987649" w:rsidRPr="00FE342D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{0} Нет</w:t>
            </w:r>
          </w:p>
          <w:p w:rsidR="00987649" w:rsidRPr="00987649" w:rsidRDefault="00987649" w:rsidP="00FE342D">
            <w:pPr>
              <w:spacing w:after="20" w:line="240" w:lineRule="auto"/>
              <w:cnfStyle w:val="000000010000"/>
              <w:rPr>
                <w:noProof/>
                <w:szCs w:val="22"/>
                <w:lang w:eastAsia="ru-RU"/>
              </w:rPr>
            </w:pPr>
            <w:r w:rsidRPr="00FE342D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859" w:type="dxa"/>
          </w:tcPr>
          <w:p w:rsidR="00FB6E35" w:rsidRDefault="00FB6E35" w:rsidP="00FB6E35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сегмента.</w:t>
            </w:r>
          </w:p>
          <w:p w:rsidR="00FB6E35" w:rsidRDefault="00FB6E35" w:rsidP="00FB6E35">
            <w:pPr>
              <w:cnfStyle w:val="00000001000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сегмент и та часть изображения над ним, которая попадает внутрь границ сегмента. Все остальные части изображения будут обрезаны.</w:t>
            </w:r>
          </w:p>
          <w:p w:rsidR="00987649" w:rsidRPr="00987649" w:rsidRDefault="00FB6E35" w:rsidP="00FB6E35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сегмента, будут полностью скрыты в независимости от степени попадания их в его границы.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натуральные числа, начиная с 3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эллипс, частью которого является сектор.</w:t>
            </w:r>
          </w:p>
        </w:tc>
      </w:tr>
      <w:tr w:rsidR="00987649" w:rsidRPr="00987649" w:rsidTr="00EA6E71">
        <w:trPr>
          <w:cnfStyle w:val="00000001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StartAngle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01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начального радиуса эллипса, описывающего сектор. Угол отсчитывается по часовой стрелке от горизонтальной оси.</w:t>
            </w:r>
          </w:p>
        </w:tc>
      </w:tr>
      <w:tr w:rsidR="00987649" w:rsidRPr="00987649" w:rsidTr="00EA6E71">
        <w:trPr>
          <w:cnfStyle w:val="000000100000"/>
        </w:trPr>
        <w:tc>
          <w:tcPr>
            <w:cnfStyle w:val="001000000000"/>
            <w:tcW w:w="2480" w:type="dxa"/>
          </w:tcPr>
          <w:p w:rsidR="00987649" w:rsidRPr="00987649" w:rsidRDefault="00987649" w:rsidP="00987649">
            <w:pPr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Значение</w:t>
            </w:r>
          </w:p>
        </w:tc>
        <w:tc>
          <w:tcPr>
            <w:tcW w:w="1750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EndAngle</w:t>
            </w:r>
          </w:p>
        </w:tc>
        <w:tc>
          <w:tcPr>
            <w:tcW w:w="2387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987649">
              <w:rPr>
                <w:noProof/>
                <w:szCs w:val="22"/>
                <w:lang w:val="en-US" w:eastAsia="ru-RU"/>
              </w:rPr>
              <w:t>1.5707963</w:t>
            </w:r>
          </w:p>
        </w:tc>
        <w:tc>
          <w:tcPr>
            <w:tcW w:w="3809" w:type="dxa"/>
            <w:gridSpan w:val="3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 xml:space="preserve">Значения </w:t>
            </w:r>
            <w:r w:rsidRPr="00987649">
              <w:rPr>
                <w:noProof/>
                <w:szCs w:val="22"/>
                <w:lang w:val="en-US" w:eastAsia="ru-RU"/>
              </w:rPr>
              <w:t>float</w:t>
            </w:r>
            <w:r w:rsidRPr="00987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859" w:type="dxa"/>
          </w:tcPr>
          <w:p w:rsidR="00987649" w:rsidRPr="00987649" w:rsidRDefault="00987649" w:rsidP="00987649">
            <w:pPr>
              <w:cnfStyle w:val="000000100000"/>
              <w:rPr>
                <w:noProof/>
                <w:szCs w:val="22"/>
                <w:lang w:eastAsia="ru-RU"/>
              </w:rPr>
            </w:pPr>
            <w:r w:rsidRPr="00987649">
              <w:rPr>
                <w:noProof/>
                <w:szCs w:val="22"/>
                <w:lang w:eastAsia="ru-RU"/>
              </w:rPr>
              <w:t>Угол конечного радиуса эллипса, описывающего сектор. Угол отсчитывается по часовой стрелке от горизонтальной оси.</w:t>
            </w:r>
          </w:p>
        </w:tc>
      </w:tr>
    </w:tbl>
    <w:p w:rsidR="004A3A9D" w:rsidRDefault="004A3A9D" w:rsidP="00A9670C"/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/>
  <w:defaultTabStop w:val="708"/>
  <w:characterSpacingControl w:val="doNotCompress"/>
  <w:compat/>
  <w:rsids>
    <w:rsidRoot w:val="00941C9C"/>
    <w:rsid w:val="000A0724"/>
    <w:rsid w:val="000C021D"/>
    <w:rsid w:val="000C5C65"/>
    <w:rsid w:val="000E18D2"/>
    <w:rsid w:val="000E71EA"/>
    <w:rsid w:val="0010261D"/>
    <w:rsid w:val="00132C46"/>
    <w:rsid w:val="001637B7"/>
    <w:rsid w:val="00186D0F"/>
    <w:rsid w:val="001B4A5A"/>
    <w:rsid w:val="0021244B"/>
    <w:rsid w:val="00220E7E"/>
    <w:rsid w:val="00323510"/>
    <w:rsid w:val="004A3A9D"/>
    <w:rsid w:val="004D42EE"/>
    <w:rsid w:val="0050191C"/>
    <w:rsid w:val="00564E5F"/>
    <w:rsid w:val="005709AF"/>
    <w:rsid w:val="00582494"/>
    <w:rsid w:val="005C2BCC"/>
    <w:rsid w:val="0060530D"/>
    <w:rsid w:val="00627E1D"/>
    <w:rsid w:val="007169B1"/>
    <w:rsid w:val="00784195"/>
    <w:rsid w:val="008C5B3E"/>
    <w:rsid w:val="00941C9C"/>
    <w:rsid w:val="00941F00"/>
    <w:rsid w:val="009652BF"/>
    <w:rsid w:val="0096673C"/>
    <w:rsid w:val="009848BB"/>
    <w:rsid w:val="00987649"/>
    <w:rsid w:val="009E0776"/>
    <w:rsid w:val="00A83D04"/>
    <w:rsid w:val="00A9670C"/>
    <w:rsid w:val="00B30186"/>
    <w:rsid w:val="00BD268D"/>
    <w:rsid w:val="00CC4A77"/>
    <w:rsid w:val="00CD4EDD"/>
    <w:rsid w:val="00D57C52"/>
    <w:rsid w:val="00D73775"/>
    <w:rsid w:val="00DB2989"/>
    <w:rsid w:val="00DD77AD"/>
    <w:rsid w:val="00DE2CAC"/>
    <w:rsid w:val="00E271D8"/>
    <w:rsid w:val="00E502CD"/>
    <w:rsid w:val="00EA41AC"/>
    <w:rsid w:val="00EA6E71"/>
    <w:rsid w:val="00F23CC9"/>
    <w:rsid w:val="00F625EE"/>
    <w:rsid w:val="00F6669B"/>
    <w:rsid w:val="00FB5BB7"/>
    <w:rsid w:val="00FB6E35"/>
    <w:rsid w:val="00FD7D8B"/>
    <w:rsid w:val="00FE342D"/>
    <w:rsid w:val="00FF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987649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lichkovaha</cp:lastModifiedBy>
  <cp:revision>50</cp:revision>
  <dcterms:created xsi:type="dcterms:W3CDTF">2014-08-25T20:12:00Z</dcterms:created>
  <dcterms:modified xsi:type="dcterms:W3CDTF">2014-09-19T13:15:00Z</dcterms:modified>
</cp:coreProperties>
</file>