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34" w:rsidRPr="002B754C" w:rsidRDefault="00165134" w:rsidP="005B54D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</w:p>
    <w:p w:rsidR="006F2A5A" w:rsidRPr="00EA1872" w:rsidRDefault="006F2A5A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Pr="00EA1872">
        <w:rPr>
          <w:rFonts w:ascii="Times New Roman" w:hAnsi="Times New Roman" w:cs="Times New Roman"/>
          <w:sz w:val="28"/>
          <w:szCs w:val="28"/>
        </w:rPr>
        <w:t>граф</w:t>
      </w:r>
      <w:bookmarkStart w:id="0" w:name="_GoBack"/>
      <w:bookmarkEnd w:id="0"/>
      <w:r w:rsidRPr="00EA1872">
        <w:rPr>
          <w:rFonts w:ascii="Times New Roman" w:hAnsi="Times New Roman" w:cs="Times New Roman"/>
          <w:sz w:val="28"/>
          <w:szCs w:val="28"/>
        </w:rPr>
        <w:t xml:space="preserve">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 xml:space="preserve">ля </w:t>
      </w:r>
      <w:r w:rsidRPr="00EA1872">
        <w:rPr>
          <w:rFonts w:ascii="Times New Roman" w:hAnsi="Times New Roman" w:cs="Times New Roman"/>
          <w:sz w:val="28"/>
          <w:szCs w:val="28"/>
        </w:rPr>
        <w:lastRenderedPageBreak/>
        <w:t>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.gcn</w:t>
      </w:r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ч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lastRenderedPageBreak/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Связывание глобальных </w:t>
      </w:r>
      <w:r w:rsidR="00374B34" w:rsidRPr="00EA1872">
        <w:rPr>
          <w:rFonts w:ascii="Times New Roman" w:hAnsi="Times New Roman" w:cs="Times New Roman"/>
          <w:sz w:val="28"/>
          <w:szCs w:val="28"/>
        </w:rPr>
        <w:lastRenderedPageBreak/>
        <w:t>свойств контейнера с сигналами проекта и базы данных реализуется по аналогичной схеме.</w:t>
      </w:r>
    </w:p>
    <w:p w:rsidR="004D5237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создать набор глобальных свойств для обмена значениями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801F8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70</cp:revision>
  <dcterms:created xsi:type="dcterms:W3CDTF">2014-05-09T18:00:00Z</dcterms:created>
  <dcterms:modified xsi:type="dcterms:W3CDTF">2014-11-07T11:53:00Z</dcterms:modified>
</cp:coreProperties>
</file>