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D6F67" w:rsidRDefault="00AA2631" w:rsidP="00E33381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Pr="006D6F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FA5D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ий контейнер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, предназначенн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ый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6D6F67">
        <w:rPr>
          <w:rFonts w:ascii="Cambria" w:hAnsi="Cambria" w:cs="Times New Roman"/>
          <w:noProof/>
          <w:sz w:val="28"/>
          <w:szCs w:val="28"/>
          <w:lang w:eastAsia="ru-RU"/>
        </w:rPr>
        <w:t>окон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6D6F67">
        <w:rPr>
          <w:rFonts w:ascii="Cambria" w:hAnsi="Cambria" w:cs="Times New Roman"/>
          <w:noProof/>
          <w:sz w:val="28"/>
          <w:szCs w:val="28"/>
          <w:lang w:eastAsia="ru-RU"/>
        </w:rPr>
        <w:t>добавлены в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B247FE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через менеджер проекта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(см. Добавление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0003C1" w:rsidRPr="006D6F67">
        <w:rPr>
          <w:rFonts w:ascii="Cambria" w:hAnsi="Cambria" w:cs="Times New Roman"/>
          <w:noProof/>
          <w:sz w:val="28"/>
          <w:szCs w:val="28"/>
          <w:lang w:eastAsia="ru-RU"/>
        </w:rPr>
        <w:t>)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ссылок. </w:t>
      </w:r>
    </w:p>
    <w:p w:rsidR="00E22F60" w:rsidRPr="006D6F67" w:rsidRDefault="000003C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анел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создаётся на осн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ве объекта «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окно анимации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– графическо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окн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, использующе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Глобальные свойства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;</w:t>
      </w:r>
    </w:p>
    <w:p w:rsidR="00AA2631" w:rsidRPr="006D6F67" w:rsidRDefault="00AA2631" w:rsidP="00E3338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Редактор связей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.</w:t>
      </w:r>
    </w:p>
    <w:p w:rsidR="00AA2631" w:rsidRPr="006D6F67" w:rsidRDefault="00327062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6D6F67">
        <w:rPr>
          <w:rFonts w:ascii="Cambria" w:hAnsi="Cambria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p</w:t>
      </w:r>
      <w:r w:rsidR="001A39E5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o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lygon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 свойством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BorderWidth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A39E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управления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самостоятельно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6D6F67" w:rsidRDefault="00455159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позволяет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</w:t>
      </w:r>
      <w:r w:rsidR="00B4005E" w:rsidRPr="006D6F67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ать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D6AD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универсальн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ую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</w:t>
      </w:r>
      <w:r w:rsidR="001A33C7" w:rsidRPr="006D6F67">
        <w:rPr>
          <w:rFonts w:ascii="Cambria" w:hAnsi="Cambria" w:cs="Times New Roman"/>
          <w:noProof/>
          <w:sz w:val="28"/>
          <w:szCs w:val="28"/>
          <w:lang w:eastAsia="ru-RU"/>
        </w:rPr>
        <w:t>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внутренн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к значениям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свой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EB758E" w:rsidRPr="006D6F67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панель управления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6D6F67" w:rsidRDefault="00DE6446" w:rsidP="00E33381">
      <w:pPr>
        <w:jc w:val="both"/>
        <w:rPr>
          <w:rFonts w:ascii="Cambria" w:hAnsi="Cambria" w:cs="Times New Roman"/>
          <w:sz w:val="28"/>
          <w:szCs w:val="28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М</w:t>
      </w:r>
      <w:r w:rsidR="00AA2631" w:rsidRPr="006D6F67">
        <w:rPr>
          <w:rStyle w:val="a6"/>
          <w:rFonts w:ascii="Cambria" w:hAnsi="Cambria" w:cs="Times New Roman"/>
          <w:i w:val="0"/>
          <w:sz w:val="28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6D6F67">
        <w:rPr>
          <w:rFonts w:ascii="Cambria" w:hAnsi="Cambria" w:cs="Times New Roman"/>
          <w:noProof/>
          <w:sz w:val="28"/>
          <w:szCs w:val="28"/>
          <w:lang w:eastAsia="ru-RU"/>
        </w:rPr>
        <w:t>ся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конструкци</w:t>
      </w:r>
      <w:r w:rsidR="00703F57" w:rsidRPr="006D6F67">
        <w:rPr>
          <w:rFonts w:ascii="Cambria" w:hAnsi="Cambria" w:cs="Times New Roman"/>
          <w:noProof/>
          <w:sz w:val="28"/>
          <w:szCs w:val="28"/>
          <w:lang w:eastAsia="ru-RU"/>
        </w:rPr>
        <w:t>ей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formattext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- </w:t>
      </w:r>
      <w:r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AA2631" w:rsidRPr="006D6F67" w:rsidRDefault="00703F57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панели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создать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автоматически копир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овать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, т.к. все библиотечные блоки и графические 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примитивы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6D6F67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6D6F67" w:rsidRDefault="00703F57" w:rsidP="00E33381">
      <w:pPr>
        <w:spacing w:before="12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В данном фрагменте к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онструкция {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следующ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ему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35165" w:rsidRPr="006D6F67">
        <w:rPr>
          <w:rFonts w:ascii="Cambria" w:hAnsi="Cambria" w:cs="Times New Roman"/>
          <w:noProof/>
          <w:sz w:val="28"/>
          <w:szCs w:val="28"/>
          <w:lang w:eastAsia="ru-RU"/>
        </w:rPr>
        <w:t>коду</w:t>
      </w:r>
      <w:r w:rsidR="00AA2631" w:rsidRPr="006D6F67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5658EE" w:rsidRPr="006D6F67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6D6F67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6D6F67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6D6F67" w:rsidRDefault="00AA2631" w:rsidP="00E3338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6D6F67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выбрать пункт </w:t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«Расчёт</w:t>
      </w:r>
      <w:r w:rsidR="00C46A47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D5905"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335883C" wp14:editId="77B83CEF">
            <wp:extent cx="26574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6D6F67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менеджера проектов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3D5905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6D0B83" w:rsidRPr="006D6F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6D6F67" w:rsidRDefault="006D0B83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F214A4D" wp14:editId="7B2C4223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Добавление окна анимации в менеджере проекта</w:t>
      </w:r>
    </w:p>
    <w:p w:rsidR="00AA2631" w:rsidRPr="006D6F67" w:rsidRDefault="00AA2631" w:rsidP="00E3338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 w:rsidRPr="006D6F67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A2631" w:rsidRPr="006D6F67" w:rsidRDefault="00D77D6B" w:rsidP="00E33381">
      <w:pPr>
        <w:spacing w:after="0"/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D6F6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6D6F67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D6F67">
        <w:rPr>
          <w:rStyle w:val="a6"/>
          <w:rFonts w:ascii="Cambria" w:hAnsi="Cambria" w:cs="Times New Roman"/>
          <w:i w:val="0"/>
          <w:sz w:val="28"/>
          <w:szCs w:val="28"/>
        </w:rPr>
        <w:t>Окно анимации</w:t>
      </w:r>
      <w:bookmarkStart w:id="0" w:name="_GoBack"/>
      <w:bookmarkEnd w:id="0"/>
    </w:p>
    <w:sectPr w:rsidR="00A71457" w:rsidRPr="006D6F67" w:rsidSect="006D6F6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C12C7"/>
    <w:rsid w:val="003D5905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6D0B83"/>
    <w:rsid w:val="006D6F67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77D6B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A5DC0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Панель управления </dc:title>
  <dc:creator>lichkovaha</dc:creator>
  <cp:lastModifiedBy>Redmann</cp:lastModifiedBy>
  <cp:revision>60</cp:revision>
  <dcterms:created xsi:type="dcterms:W3CDTF">2014-05-13T13:46:00Z</dcterms:created>
  <dcterms:modified xsi:type="dcterms:W3CDTF">2015-11-10T11:17:00Z</dcterms:modified>
</cp:coreProperties>
</file>