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85B" w:rsidRPr="00086B75" w:rsidRDefault="002C3D25" w:rsidP="001760E6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086B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Круг</w:t>
      </w:r>
      <w:r w:rsidR="00F4785B" w:rsidRPr="00086B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bookmarkEnd w:id="0"/>
      <w:r w:rsidR="00F4785B" w:rsidRPr="00086B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086B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FillCircle</w:t>
      </w:r>
      <w:r w:rsidR="00F4785B" w:rsidRPr="00086B7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E009D3" w:rsidRPr="00086B75" w:rsidRDefault="000820C5" w:rsidP="001760E6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086B75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r_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8BE" w:rsidRPr="00086B75" w:rsidRDefault="000820C5" w:rsidP="001760E6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086B75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981741" cy="154326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85B" w:rsidRPr="00086B75" w:rsidRDefault="00F4785B" w:rsidP="001760E6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F4785B" w:rsidRPr="00086B75" w:rsidRDefault="00F4785B" w:rsidP="001760E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0820C5" w:rsidRPr="00086B7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_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086B75" w:rsidRDefault="79962F9E" w:rsidP="001760E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будущего круга.</w:t>
      </w:r>
    </w:p>
    <w:p w:rsidR="00F4785B" w:rsidRPr="00086B75" w:rsidRDefault="79962F9E" w:rsidP="001760E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завершения отвести курсор  на расстояние радиуса и повторно кликнуть. </w:t>
      </w:r>
    </w:p>
    <w:p w:rsidR="00F4785B" w:rsidRPr="00086B75" w:rsidRDefault="00F4785B" w:rsidP="001760E6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F4785B" w:rsidRPr="00086B75" w:rsidRDefault="00F4785B" w:rsidP="001760E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CA5446" w:rsidRPr="00086B75">
        <w:rPr>
          <w:rFonts w:ascii="Cambria" w:hAnsi="Cambria" w:cs="Times New Roman"/>
          <w:noProof/>
          <w:sz w:val="28"/>
          <w:szCs w:val="28"/>
          <w:lang w:eastAsia="ru-RU"/>
        </w:rPr>
        <w:t>круг</w:t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>, кликнув на е</w:t>
      </w:r>
      <w:r w:rsidR="00CA5446" w:rsidRPr="00086B75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</w:t>
      </w:r>
      <w:r w:rsidR="00CA5446" w:rsidRPr="00086B75">
        <w:rPr>
          <w:rFonts w:ascii="Cambria" w:hAnsi="Cambria" w:cs="Times New Roman"/>
          <w:noProof/>
          <w:sz w:val="28"/>
          <w:szCs w:val="28"/>
          <w:lang w:eastAsia="ru-RU"/>
        </w:rPr>
        <w:t>и</w:t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F4785B" w:rsidRPr="00086B75" w:rsidRDefault="00F4785B" w:rsidP="001760E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B226A3" w:rsidRPr="00086B75">
        <w:rPr>
          <w:rFonts w:ascii="Cambria" w:hAnsi="Cambria" w:cs="Times New Roman"/>
          <w:noProof/>
          <w:sz w:val="28"/>
          <w:szCs w:val="28"/>
          <w:lang w:eastAsia="ru-RU"/>
        </w:rPr>
        <w:t>круга</w:t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 навести </w:t>
      </w:r>
      <w:r w:rsidR="00B226A3"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на него </w:t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указатель мыши </w:t>
      </w:r>
      <w:r w:rsidR="0053693D" w:rsidRPr="00086B7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B226A3"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круг </w:t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F4785B" w:rsidRPr="00086B75" w:rsidRDefault="79962F9E" w:rsidP="001760E6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радиуса круга подвести указатель мыши к красному квадратному маркеру </w:t>
      </w:r>
      <w:r w:rsidR="0053693D" w:rsidRPr="00086B75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2D"/>
      </w:r>
      <w:r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перекрестье, нажать ЛКМ и удерживая её переместить точку на расстояние, соответствующее новому радиусу.</w:t>
      </w:r>
      <w:r w:rsidR="00774518" w:rsidRPr="00086B75">
        <w:rPr>
          <w:rFonts w:ascii="Cambria" w:hAnsi="Cambria" w:cs="Times New Roman"/>
          <w:noProof/>
          <w:sz w:val="28"/>
          <w:szCs w:val="28"/>
          <w:lang w:eastAsia="ru-RU"/>
        </w:rPr>
        <w:t xml:space="preserve"> Аналогично можно изменить радиус круга перемещая маркер центра относительно неподвижного маркера на окружности.</w:t>
      </w:r>
    </w:p>
    <w:p w:rsidR="00F4785B" w:rsidRPr="00086B75" w:rsidRDefault="00F4785B" w:rsidP="001760E6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086B75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F4785B" w:rsidRPr="00086B75" w:rsidRDefault="00B80679" w:rsidP="001760E6">
      <w:pPr>
        <w:jc w:val="both"/>
        <w:rPr>
          <w:rFonts w:ascii="Cambria" w:hAnsi="Cambria"/>
          <w:b/>
          <w:noProof/>
          <w:sz w:val="28"/>
          <w:szCs w:val="28"/>
          <w:lang w:eastAsia="ru-RU"/>
        </w:rPr>
      </w:pPr>
      <w:r w:rsidRPr="00086B75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6562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17436" w:type="dxa"/>
        <w:tblLook w:val="04A0" w:firstRow="1" w:lastRow="0" w:firstColumn="1" w:lastColumn="0" w:noHBand="0" w:noVBand="1"/>
      </w:tblPr>
      <w:tblGrid>
        <w:gridCol w:w="2605"/>
        <w:gridCol w:w="2224"/>
        <w:gridCol w:w="2382"/>
        <w:gridCol w:w="1559"/>
        <w:gridCol w:w="787"/>
        <w:gridCol w:w="2846"/>
        <w:gridCol w:w="5033"/>
      </w:tblGrid>
      <w:tr w:rsidR="008E27F1" w:rsidRPr="00086B75" w:rsidTr="00980D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086B75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8E27F1" w:rsidRPr="00086B75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FillCircle&lt;N&gt;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свойтсвам объекта, например, в скрипте:</w:t>
            </w:r>
          </w:p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Point.Visible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FillCircle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внутренней заливки круга. 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c</w:t>
            </w: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,Yc),(Xm,Ym)]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центра круга (</w:t>
            </w: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Xc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Yc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) и координаты маркера на окружности (</w:t>
            </w: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Xm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Ym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).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скрыть или показать группу объектов.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Шаблон автозаполнения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395" w:type="dxa"/>
          </w:tcPr>
          <w:p w:rsidR="008E27F1" w:rsidRPr="00086B75" w:rsidRDefault="00020E8E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980D5F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980D5F" w:rsidRPr="00086B75" w:rsidRDefault="00980D5F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980D5F" w:rsidRPr="00086B75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395" w:type="dxa"/>
          </w:tcPr>
          <w:p w:rsidR="00980D5F" w:rsidRPr="00086B75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980D5F" w:rsidRPr="00086B75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088" w:type="dxa"/>
          </w:tcPr>
          <w:p w:rsidR="00980D5F" w:rsidRPr="00086B75" w:rsidRDefault="00980D5F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BrushStyle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867" w:type="dxa"/>
          </w:tcPr>
          <w:p w:rsidR="008E27F1" w:rsidRPr="00086B75" w:rsidRDefault="000820C5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15_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5" w:type="dxa"/>
            <w:gridSpan w:val="2"/>
          </w:tcPr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Нулевая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Горизонтальная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Вертикальная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Диагональная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{5} Обратнодиагональная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{6} 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Клеточка</w:t>
            </w:r>
          </w:p>
          <w:p w:rsidR="008E27F1" w:rsidRPr="00086B75" w:rsidRDefault="008E27F1" w:rsidP="001760E6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{7} 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Обратная клеточка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297" w:type="dxa"/>
            <w:gridSpan w:val="2"/>
          </w:tcPr>
          <w:p w:rsidR="008E27F1" w:rsidRPr="00086B75" w:rsidRDefault="00A9454E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5_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5" w:type="dxa"/>
          </w:tcPr>
          <w:p w:rsidR="008E27F1" w:rsidRPr="00086B75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8E27F1" w:rsidRPr="00086B75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8E27F1" w:rsidRPr="00086B75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8E27F1" w:rsidRPr="00086B75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8E27F1" w:rsidRPr="00086B75" w:rsidRDefault="008E27F1" w:rsidP="001760E6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Стиль градиента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GradientStyle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Без градиента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Без градиента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Линейный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Линейный симметричный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Радиальный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Дополнительный цвет градиента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GradientColor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Второй цвет для градиентной заливки.</w:t>
            </w:r>
          </w:p>
        </w:tc>
      </w:tr>
      <w:tr w:rsidR="008E27F1" w:rsidRPr="00086B75" w:rsidTr="00980D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088" w:type="dxa"/>
          </w:tcPr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8E27F1" w:rsidRPr="00086B75" w:rsidRDefault="008E27F1" w:rsidP="001760E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8E27F1" w:rsidRPr="00086B75" w:rsidTr="00980D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1" w:type="dxa"/>
          </w:tcPr>
          <w:p w:rsidR="008E27F1" w:rsidRPr="00086B75" w:rsidRDefault="008E27F1" w:rsidP="001760E6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IsMaskObject</w:t>
            </w:r>
          </w:p>
        </w:tc>
        <w:tc>
          <w:tcPr>
            <w:tcW w:w="2395" w:type="dxa"/>
          </w:tcPr>
          <w:p w:rsidR="008E27F1" w:rsidRPr="00086B75" w:rsidRDefault="008E27F1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712" w:type="dxa"/>
            <w:gridSpan w:val="3"/>
          </w:tcPr>
          <w:p w:rsidR="008E27F1" w:rsidRPr="00086B75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8E27F1" w:rsidRPr="00086B75" w:rsidRDefault="008E27F1" w:rsidP="001760E6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088" w:type="dxa"/>
          </w:tcPr>
          <w:p w:rsidR="004E74C7" w:rsidRPr="00086B75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086B75">
              <w:rPr>
                <w:rFonts w:ascii="Cambria" w:hAnsi="Cambria"/>
                <w:sz w:val="28"/>
                <w:szCs w:val="28"/>
              </w:rPr>
              <w:t>Включает и отключает режим обрезки изображения по контуру круга.</w:t>
            </w:r>
          </w:p>
          <w:p w:rsidR="004E74C7" w:rsidRPr="00086B75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086B75">
              <w:rPr>
                <w:rFonts w:ascii="Cambria" w:hAnsi="Cambria"/>
                <w:sz w:val="28"/>
                <w:szCs w:val="28"/>
              </w:rPr>
              <w:t>При включенном свойстве при запуске расчета будут видны только сам круг и та часть изображения над ним, которая попадает внутрь границ круга. Все остальные части изображения будут обрезаны.</w:t>
            </w:r>
          </w:p>
          <w:p w:rsidR="008E27F1" w:rsidRPr="00086B75" w:rsidRDefault="004E74C7" w:rsidP="001760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086B75">
              <w:rPr>
                <w:rFonts w:ascii="Cambria" w:hAnsi="Cambria"/>
                <w:sz w:val="28"/>
                <w:szCs w:val="28"/>
              </w:rPr>
              <w:t>Все объекты, размещенные на заднем фоне относительно круга, будут полностью скрыты в независимости от степени попадания их в его границы.</w:t>
            </w:r>
          </w:p>
        </w:tc>
      </w:tr>
    </w:tbl>
    <w:p w:rsidR="004A3A9D" w:rsidRPr="00086B75" w:rsidRDefault="004A3A9D" w:rsidP="001760E6">
      <w:pPr>
        <w:jc w:val="both"/>
        <w:rPr>
          <w:rFonts w:ascii="Cambria" w:hAnsi="Cambria"/>
          <w:sz w:val="28"/>
          <w:szCs w:val="28"/>
        </w:rPr>
      </w:pPr>
    </w:p>
    <w:sectPr w:rsidR="004A3A9D" w:rsidRPr="00086B75" w:rsidSect="00DE1A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5B"/>
    <w:rsid w:val="00020E8E"/>
    <w:rsid w:val="000462B4"/>
    <w:rsid w:val="000820C5"/>
    <w:rsid w:val="00086B75"/>
    <w:rsid w:val="00106718"/>
    <w:rsid w:val="001328BE"/>
    <w:rsid w:val="001760E6"/>
    <w:rsid w:val="002C3D25"/>
    <w:rsid w:val="00306A47"/>
    <w:rsid w:val="00311368"/>
    <w:rsid w:val="003209AA"/>
    <w:rsid w:val="0038217D"/>
    <w:rsid w:val="00493E06"/>
    <w:rsid w:val="004A3A9D"/>
    <w:rsid w:val="004E74C7"/>
    <w:rsid w:val="00510513"/>
    <w:rsid w:val="0053693D"/>
    <w:rsid w:val="006D2687"/>
    <w:rsid w:val="00774518"/>
    <w:rsid w:val="00874D08"/>
    <w:rsid w:val="008E27F1"/>
    <w:rsid w:val="00980D5F"/>
    <w:rsid w:val="00A20D15"/>
    <w:rsid w:val="00A37892"/>
    <w:rsid w:val="00A9454E"/>
    <w:rsid w:val="00AC786D"/>
    <w:rsid w:val="00B226A3"/>
    <w:rsid w:val="00B80679"/>
    <w:rsid w:val="00CA5446"/>
    <w:rsid w:val="00DC0CC8"/>
    <w:rsid w:val="00DE1A4E"/>
    <w:rsid w:val="00E009D3"/>
    <w:rsid w:val="00E01B12"/>
    <w:rsid w:val="00F13A24"/>
    <w:rsid w:val="00F4785B"/>
    <w:rsid w:val="00F52C03"/>
    <w:rsid w:val="00F53DC9"/>
    <w:rsid w:val="00FA1692"/>
    <w:rsid w:val="00FE4D67"/>
    <w:rsid w:val="7996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951A6A-E6CE-4E12-87AC-74E6376B3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785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F478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2C3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C3D25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8E27F1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7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Круг</dc:title>
  <dc:subject/>
  <dc:creator>polecat spiteking</dc:creator>
  <cp:keywords/>
  <dc:description/>
  <cp:lastModifiedBy>Redmann</cp:lastModifiedBy>
  <cp:revision>41</cp:revision>
  <dcterms:created xsi:type="dcterms:W3CDTF">2014-07-14T20:17:00Z</dcterms:created>
  <dcterms:modified xsi:type="dcterms:W3CDTF">2015-11-10T11:25:00Z</dcterms:modified>
</cp:coreProperties>
</file>