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8E27F1" w:rsidRDefault="002C3D25" w:rsidP="001760E6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Круг</w:t>
      </w:r>
      <w:r w:rsidR="00F4785B"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bookmarkStart w:id="0" w:name="_GoBack"/>
      <w:bookmarkEnd w:id="0"/>
      <w:r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FillCircle</w:t>
      </w:r>
      <w:r w:rsidR="00F4785B"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1328BE" w:rsidRPr="001328BE" w:rsidRDefault="001328BE" w:rsidP="001760E6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639291" cy="1343627"/>
            <wp:effectExtent l="19050" t="0" r="865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348" t="13170" r="66051" b="69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91" cy="134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87081" cy="187569"/>
            <wp:effectExtent l="19050" t="0" r="341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2312" t="27922" r="54914" b="51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81" cy="18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8E27F1" w:rsidRDefault="79962F9E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точке центра будущего круга.</w:t>
      </w:r>
    </w:p>
    <w:p w:rsidR="00F4785B" w:rsidRPr="008E27F1" w:rsidRDefault="79962F9E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круг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, кликнув на е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го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и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навести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 xml:space="preserve">на него 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указатель мыши </w:t>
      </w:r>
      <w:r w:rsidR="0053693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 xml:space="preserve">круг 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F4785B" w:rsidRPr="008E27F1" w:rsidRDefault="79962F9E" w:rsidP="001760E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радиуса круга подвести указатель мыши к красному квадратному маркеру </w:t>
      </w:r>
      <w:r w:rsidR="0053693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  <w:r w:rsidR="00774518"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Аналогично можно изменить радиус круга</w:t>
      </w:r>
      <w:r w:rsidR="00774518" w:rsidRPr="001328BE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74518" w:rsidRPr="008E27F1">
        <w:rPr>
          <w:rFonts w:ascii="Times New Roman" w:hAnsi="Times New Roman" w:cs="Times New Roman"/>
          <w:noProof/>
          <w:sz w:val="28"/>
          <w:lang w:eastAsia="ru-RU"/>
        </w:rPr>
        <w:t>перемещая маркер центра относительно неподвижного маркера на окружности.</w:t>
      </w:r>
    </w:p>
    <w:p w:rsidR="000462B4" w:rsidRDefault="000462B4" w:rsidP="001760E6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lastRenderedPageBreak/>
        <w:drawing>
          <wp:inline distT="0" distB="0" distL="0" distR="0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8E27F1" w:rsidRDefault="00F4785B" w:rsidP="001760E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F4785B" w:rsidRDefault="00B80679" w:rsidP="001760E6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656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491"/>
        <w:gridCol w:w="1750"/>
        <w:gridCol w:w="2395"/>
        <w:gridCol w:w="867"/>
        <w:gridCol w:w="430"/>
        <w:gridCol w:w="2415"/>
        <w:gridCol w:w="7088"/>
      </w:tblGrid>
      <w:tr w:rsidR="008E27F1" w:rsidRPr="008E27F1" w:rsidTr="0098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12" w:type="dxa"/>
            <w:gridSpan w:val="3"/>
          </w:tcPr>
          <w:p w:rsidR="008E27F1" w:rsidRPr="00D07008" w:rsidRDefault="008E27F1" w:rsidP="001760E6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328BE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1328BE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Имя объекта</w:t>
            </w:r>
            <w:r w:rsidRPr="008E27F1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FillCircle&lt;N&gt;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Point.Visible</w:t>
            </w:r>
            <w:r w:rsidRPr="008E27F1">
              <w:rPr>
                <w:noProof/>
                <w:szCs w:val="22"/>
                <w:lang w:eastAsia="ru-RU"/>
              </w:rPr>
              <w:t>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FillCircle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lastRenderedPageBreak/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Цвет внутренней заливки круга. 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[(X</w:t>
            </w:r>
            <w:r w:rsidRPr="008E27F1">
              <w:rPr>
                <w:noProof/>
                <w:szCs w:val="22"/>
                <w:lang w:eastAsia="ru-RU"/>
              </w:rPr>
              <w:t>c</w:t>
            </w:r>
            <w:r w:rsidRPr="008E27F1">
              <w:rPr>
                <w:noProof/>
                <w:szCs w:val="22"/>
                <w:lang w:val="en-US" w:eastAsia="ru-RU"/>
              </w:rPr>
              <w:t>,Yc),(Xm,Ym)]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>float</w:t>
            </w:r>
            <w:r w:rsidRPr="008E27F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Координаты центра круга (</w:t>
            </w:r>
            <w:r w:rsidRPr="008E27F1">
              <w:rPr>
                <w:noProof/>
                <w:szCs w:val="22"/>
                <w:lang w:val="en-US" w:eastAsia="ru-RU"/>
              </w:rPr>
              <w:t>Xc</w:t>
            </w:r>
            <w:r w:rsidRPr="008E27F1">
              <w:rPr>
                <w:noProof/>
                <w:szCs w:val="22"/>
                <w:lang w:eastAsia="ru-RU"/>
              </w:rPr>
              <w:t xml:space="preserve">, </w:t>
            </w:r>
            <w:r w:rsidRPr="008E27F1">
              <w:rPr>
                <w:noProof/>
                <w:szCs w:val="22"/>
                <w:lang w:val="en-US" w:eastAsia="ru-RU"/>
              </w:rPr>
              <w:t>Yc</w:t>
            </w:r>
            <w:r w:rsidRPr="008E27F1">
              <w:rPr>
                <w:noProof/>
                <w:szCs w:val="22"/>
                <w:lang w:eastAsia="ru-RU"/>
              </w:rPr>
              <w:t>) и координаты маркера на окружности (</w:t>
            </w:r>
            <w:r w:rsidRPr="008E27F1">
              <w:rPr>
                <w:noProof/>
                <w:szCs w:val="22"/>
                <w:lang w:val="en-US" w:eastAsia="ru-RU"/>
              </w:rPr>
              <w:t>Xm</w:t>
            </w:r>
            <w:r w:rsidRPr="008E27F1">
              <w:rPr>
                <w:noProof/>
                <w:szCs w:val="22"/>
                <w:lang w:eastAsia="ru-RU"/>
              </w:rPr>
              <w:t xml:space="preserve">, </w:t>
            </w:r>
            <w:r w:rsidRPr="008E27F1">
              <w:rPr>
                <w:noProof/>
                <w:szCs w:val="22"/>
                <w:lang w:val="en-US" w:eastAsia="ru-RU"/>
              </w:rPr>
              <w:t>Ym</w:t>
            </w:r>
            <w:r w:rsidRPr="008E27F1">
              <w:rPr>
                <w:noProof/>
                <w:szCs w:val="22"/>
                <w:lang w:eastAsia="ru-RU"/>
              </w:rPr>
              <w:t>).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Двойной щелчок</w:t>
            </w:r>
          </w:p>
          <w:p w:rsidR="008E27F1" w:rsidRPr="00AC786D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8E27F1" w:rsidRPr="008E27F1" w:rsidRDefault="00020E8E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0D5F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980D5F" w:rsidRPr="008E27F1" w:rsidRDefault="00980D5F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0D5F" w:rsidRPr="008E27F1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980D5F" w:rsidRPr="008E27F1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980D5F" w:rsidRPr="008E27F1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980D5F" w:rsidRPr="00B8633B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867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5" w:type="dxa"/>
            <w:gridSpan w:val="2"/>
          </w:tcPr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8E27F1" w:rsidRPr="008E27F1" w:rsidRDefault="008E27F1" w:rsidP="001760E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Цвет выбирается из стандартной </w:t>
            </w:r>
            <w:r w:rsidRPr="008E27F1">
              <w:rPr>
                <w:noProof/>
                <w:szCs w:val="22"/>
                <w:lang w:eastAsia="ru-RU"/>
              </w:rPr>
              <w:lastRenderedPageBreak/>
              <w:t>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lastRenderedPageBreak/>
              <w:t>Цвет абриса.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lastRenderedPageBreak/>
              <w:t>Толщина границы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>float</w:t>
            </w:r>
            <w:r w:rsidRPr="008E27F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97" w:type="dxa"/>
            <w:gridSpan w:val="2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8E27F1" w:rsidRPr="00D07008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8E27F1" w:rsidRPr="008E27F1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12" w:type="dxa"/>
            <w:gridSpan w:val="3"/>
          </w:tcPr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8E27F1" w:rsidRPr="00D07008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8E27F1" w:rsidRPr="008E27F1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 xml:space="preserve">float </w:t>
            </w:r>
            <w:r w:rsidRPr="008E27F1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088" w:type="dxa"/>
          </w:tcPr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8E27F1" w:rsidRPr="008E27F1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8E27F1" w:rsidRPr="008E27F1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8E27F1" w:rsidRDefault="008E27F1" w:rsidP="001760E6">
            <w:pPr>
              <w:jc w:val="both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95" w:type="dxa"/>
          </w:tcPr>
          <w:p w:rsidR="008E27F1" w:rsidRPr="008E27F1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4E74C7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круга.</w:t>
            </w:r>
          </w:p>
          <w:p w:rsidR="004E74C7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круг и та часть изображения над ним, которая попадает внутрь границ круга. Все остальные части изображения будут обрезаны.</w:t>
            </w:r>
          </w:p>
          <w:p w:rsidR="008E27F1" w:rsidRPr="008E27F1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круга, будут полностью скрыты в независимости от степени попадания их в его границы.</w:t>
            </w:r>
          </w:p>
        </w:tc>
      </w:tr>
    </w:tbl>
    <w:p w:rsidR="004A3A9D" w:rsidRDefault="004A3A9D" w:rsidP="001760E6">
      <w:pPr>
        <w:jc w:val="both"/>
      </w:pPr>
    </w:p>
    <w:sectPr w:rsidR="004A3A9D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4785B"/>
    <w:rsid w:val="00020E8E"/>
    <w:rsid w:val="000462B4"/>
    <w:rsid w:val="00106718"/>
    <w:rsid w:val="001328BE"/>
    <w:rsid w:val="001760E6"/>
    <w:rsid w:val="002C3D25"/>
    <w:rsid w:val="00306A47"/>
    <w:rsid w:val="0038217D"/>
    <w:rsid w:val="00493E06"/>
    <w:rsid w:val="004A3A9D"/>
    <w:rsid w:val="004E74C7"/>
    <w:rsid w:val="00510513"/>
    <w:rsid w:val="0053693D"/>
    <w:rsid w:val="006D2687"/>
    <w:rsid w:val="00774518"/>
    <w:rsid w:val="008E27F1"/>
    <w:rsid w:val="00980D5F"/>
    <w:rsid w:val="00A20D15"/>
    <w:rsid w:val="00A37892"/>
    <w:rsid w:val="00AC786D"/>
    <w:rsid w:val="00B226A3"/>
    <w:rsid w:val="00B80679"/>
    <w:rsid w:val="00CA5446"/>
    <w:rsid w:val="00DC0CC8"/>
    <w:rsid w:val="00DE1A4E"/>
    <w:rsid w:val="00E01B12"/>
    <w:rsid w:val="00F13A24"/>
    <w:rsid w:val="00F4785B"/>
    <w:rsid w:val="00F52C03"/>
    <w:rsid w:val="00F53DC9"/>
    <w:rsid w:val="00FA1692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951A6A-E6CE-4E12-87AC-74E6376B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8E27F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31</cp:revision>
  <dcterms:created xsi:type="dcterms:W3CDTF">2014-07-14T20:17:00Z</dcterms:created>
  <dcterms:modified xsi:type="dcterms:W3CDTF">2014-11-07T08:16:00Z</dcterms:modified>
</cp:coreProperties>
</file>