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1700"/>
      </w:pPr>
      <w:r>
        <w:rPr>
          <w:rFonts w:ascii="Times" w:hAnsi="Times" w:cs="Times"/>
          <w:sz w:val="20"/>
          <w:sz-cs w:val="20"/>
          <w:spacing w:val="120"/>
          <w:color w:val="111111"/>
        </w:rPr>
        <w:t xml:space="preserve">PETWASH™ PRESTIGE</w:t>
      </w:r>
    </w:p>
    <w:p>
      <w:pPr>
        <w:spacing w:before="120"/>
      </w:pPr>
      <w:r>
        <w:rPr>
          <w:rFonts w:ascii="Georgia" w:hAnsi="Georgia" w:cs="Georgia"/>
          <w:sz w:val="66"/>
          <w:sz-cs w:val="66"/>
          <w:color w:val="111111"/>
        </w:rPr>
        <w:t xml:space="preserve">Data &amp; Intelligence</w:t>
      </w:r>
    </w:p>
    <w:p>
      <w:pPr>
        <w:spacing w:before="30" w:after="200"/>
      </w:pPr>
      <w:r>
        <w:rPr>
          <w:rFonts w:ascii="Georgia" w:hAnsi="Georgia" w:cs="Georgia"/>
          <w:sz w:val="66"/>
          <w:sz-cs w:val="66"/>
          <w:color w:val="6B675E"/>
        </w:rPr>
        <w:t xml:space="preserve">Architecture</w:t>
      </w:r>
    </w:p>
    <w:p>
      <w:pPr/>
      <w:r>
        <w:rPr>
          <w:rFonts w:ascii="Georgia" w:hAnsi="Georgia" w:cs="Georgia"/>
          <w:sz w:val="66"/>
          <w:sz-cs w:val="66"/>
          <w:color w:val="6B675E"/>
        </w:rPr>
        <w:t xml:space="preserve"/>
      </w:r>
    </w:p>
    <w:p>
      <w:pPr>
        <w:spacing w:before="200"/>
      </w:pPr>
      <w:r>
        <w:rPr>
          <w:rFonts w:ascii="Times" w:hAnsi="Times" w:cs="Times"/>
          <w:sz w:val="22"/>
          <w:sz-cs w:val="22"/>
          <w:color w:val="6B675E"/>
        </w:rPr>
        <w:t xml:space="preserve">Privacy-first behavioural intelligence for stations, platform and providers</w:t>
      </w:r>
    </w:p>
    <w:p>
      <w:pPr>
        <w:spacing w:before="60"/>
      </w:pPr>
      <w:r>
        <w:rPr>
          <w:rFonts w:ascii="Times" w:hAnsi="Times" w:cs="Times"/>
          <w:sz w:val="22"/>
          <w:sz-cs w:val="22"/>
          <w:i/>
          <w:color w:val="111111"/>
        </w:rPr>
        <w:t xml:space="preserve">Data for the user, not on them. One engine, two screens.</w:t>
      </w:r>
    </w:p>
    <w:p>
      <w:pPr>
        <w:spacing w:before="300"/>
      </w:pPr>
      <w:r>
        <w:rPr>
          <w:rFonts w:ascii="Times" w:hAnsi="Times" w:cs="Times"/>
          <w:sz w:val="20"/>
          <w:sz-cs w:val="20"/>
          <w:color w:val="6B675E"/>
        </w:rPr>
        <w:t xml:space="preserve">Companion file:  petwash_prestige_schema.sql  (PostgreSQL reference schema)</w:t>
      </w:r>
    </w:p>
    <w:p>
      <w:pPr/>
      <w:r>
        <w:rPr>
          <w:rFonts w:ascii="Times" w:hAnsi="Times" w:cs="Times"/>
          <w:sz w:val="24"/>
          <w:sz-cs w:val="24"/>
        </w:rPr>
        <w:t xml:space="preserve"/>
        <w:br w:type="page"/>
        <w:t xml:space="preserve"/>
      </w:r>
    </w:p>
    <w:p>
      <w:pPr/>
      <w:r>
        <w:rPr>
          <w:rFonts w:ascii="Times" w:hAnsi="Times" w:cs="Times"/>
          <w:sz w:val="24"/>
          <w:sz-cs w:val="24"/>
        </w:rPr>
        <w:t xml:space="preserve">Contents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1 · Operating principles</w:t>
      </w:r>
    </w:p>
    <w:p>
      <w:pPr>
        <w:spacing w:after="60"/>
      </w:pPr>
      <w:r>
        <w:rPr>
          <w:rFonts w:ascii="Times" w:hAnsi="Times" w:cs="Times"/>
          <w:sz w:val="16"/>
          <w:sz-cs w:val="16"/>
          <w:spacing w:val="60"/>
          <w:color w:val="6B675E"/>
        </w:rPr>
        <w:t xml:space="preserve">THE REFRAME</w:t>
      </w:r>
    </w:p>
    <w:p>
      <w:pPr>
        <w:spacing w:after="120"/>
      </w:pPr>
      <w:r>
        <w:rPr>
          <w:rFonts w:ascii="Times" w:hAnsi="Times" w:cs="Times"/>
          <w:sz w:val="22"/>
          <w:sz-cs w:val="22"/>
          <w:color w:val="111111"/>
        </w:rPr>
        <w:t xml:space="preserve">This is not a database built on users. It is a profile built for them. Behavioural data — how long someone browses, what they look at most, which washes they choose — is the natural exhaust of a service they enjoy. When that exhaust is turned back into visible value (a richer profile for them and their dog), people feed it willingly. The brand never has to ask permission to watch; it offers a benefit, and the signal follows.</w:t>
      </w:r>
    </w:p>
    <w:p>
      <w:pPr>
        <w:spacing w:after="60"/>
      </w:pPr>
      <w:r>
        <w:rPr>
          <w:rFonts w:ascii="Times" w:hAnsi="Times" w:cs="Times"/>
          <w:sz w:val="16"/>
          <w:sz-cs w:val="16"/>
          <w:spacing w:val="60"/>
          <w:color w:val="6B675E"/>
        </w:rPr>
        <w:t xml:space="preserve">THE FIVE RULES THAT KEEP IT PREMIUM, NOT CREEPY</w:t>
      </w:r>
    </w:p>
    <w:p>
      <w:pPr>
        <w:ind w:left="720" w:first-line="-720"/>
        <w:spacing w:after="60"/>
      </w:pPr>
      <w:r>
        <w:rPr>
          <w:rFonts w:ascii="Times" w:hAnsi="Times" w:cs="Times"/>
          <w:sz w:val="22"/>
          <w:sz-cs w:val="22"/>
          <w:color w:val="111111"/>
        </w:rPr>
        <w:t xml:space="preserve"/>
        <w:tab/>
        <w:t xml:space="preserve">•</w:t>
        <w:tab/>
        <w:t xml:space="preserve">Value before ask. Never request a data point until its benefit is visible on screen. Consent is progressive, not a wall of checkboxes on day one.</w:t>
      </w:r>
    </w:p>
    <w:p>
      <w:pPr>
        <w:ind w:left="720" w:first-line="-720"/>
        <w:spacing w:after="60"/>
      </w:pPr>
      <w:r>
        <w:rPr>
          <w:rFonts w:ascii="Times" w:hAnsi="Times" w:cs="Times"/>
          <w:sz w:val="22"/>
          <w:sz-cs w:val="22"/>
          <w:color w:val="111111"/>
        </w:rPr>
        <w:t xml:space="preserve"/>
        <w:tab/>
        <w:t xml:space="preserve">•</w:t>
        <w:tab/>
        <w:t xml:space="preserve">First-party only. No third-party ad trackers leak data outward. Privacy becomes a marketable luxury feature — the Apple posture.</w:t>
      </w:r>
    </w:p>
    <w:p>
      <w:pPr>
        <w:ind w:left="720" w:first-line="-720"/>
        <w:spacing w:after="60"/>
      </w:pPr>
      <w:r>
        <w:rPr>
          <w:rFonts w:ascii="Times" w:hAnsi="Times" w:cs="Times"/>
          <w:sz w:val="22"/>
          <w:sz-cs w:val="22"/>
          <w:color w:val="111111"/>
        </w:rPr>
        <w:t xml:space="preserve"/>
        <w:tab/>
        <w:t xml:space="preserve">•</w:t>
        <w:tab/>
        <w:t xml:space="preserve">Show your hand. A member can open a “what we know / why we keep it” panel at any time. Transparency reads as confidence.</w:t>
      </w:r>
    </w:p>
    <w:p>
      <w:pPr>
        <w:ind w:left="720" w:first-line="-720"/>
        <w:spacing w:after="60"/>
      </w:pPr>
      <w:r>
        <w:rPr>
          <w:rFonts w:ascii="Times" w:hAnsi="Times" w:cs="Times"/>
          <w:sz w:val="22"/>
          <w:sz-cs w:val="22"/>
          <w:color w:val="111111"/>
        </w:rPr>
        <w:t xml:space="preserve"/>
        <w:tab/>
        <w:t xml:space="preserve">•</w:t>
        <w:tab/>
        <w:t xml:space="preserve">No dark patterns, no notification spam. Attention is earned; one well-timed nudge beats ten.</w:t>
      </w:r>
    </w:p>
    <w:p>
      <w:pPr>
        <w:ind w:left="720" w:first-line="-720"/>
        <w:spacing w:after="60"/>
      </w:pPr>
      <w:r>
        <w:rPr>
          <w:rFonts w:ascii="Times" w:hAnsi="Times" w:cs="Times"/>
          <w:sz w:val="22"/>
          <w:sz-cs w:val="22"/>
          <w:color w:val="111111"/>
        </w:rPr>
        <w:t xml:space="preserve"/>
        <w:tab/>
        <w:t xml:space="preserve">•</w:t>
        <w:tab/>
        <w:t xml:space="preserve">Aggregate in public, personal in private. Trends and heatmaps for the business; individual profiles locked to the member who owns them.</w:t>
      </w:r>
    </w:p>
    <w:p>
      <w:pPr>
        <w:spacing w:after="160"/>
      </w:pPr>
      <w:r>
        <w:rPr>
          <w:rFonts w:ascii="Times" w:hAnsi="Times" w:cs="Times"/>
          <w:sz w:val="22"/>
          <w:sz-cs w:val="22"/>
          <w:color w:val="111111"/>
        </w:rPr>
        <w:t xml:space="preserve"/>
      </w:r>
    </w:p>
    <w:p>
      <w:pPr/>
      <w:r>
        <w:rPr>
          <w:rFonts w:ascii="Times" w:hAnsi="Times" w:cs="Times"/>
          <w:sz w:val="24"/>
          <w:sz-cs w:val="24"/>
        </w:rPr>
        <w:t xml:space="preserve">2 · The signal architecture</w:t>
      </w:r>
    </w:p>
    <w:p>
      <w:pPr>
        <w:spacing w:after="120"/>
      </w:pPr>
      <w:r>
        <w:rPr>
          <w:rFonts w:ascii="Times" w:hAnsi="Times" w:cs="Times"/>
          <w:sz w:val="22"/>
          <w:sz-cs w:val="22"/>
          <w:color w:val="111111"/>
        </w:rPr>
        <w:t xml:space="preserve">Signals flow through four stages. The shape is deliberately simple so that privacy is structural, not a policy bolted on afterwards.</w:t>
      </w:r>
    </w:p>
    <w:p>
      <w:pPr/>
      <w:r>
        <w:rPr>
          <w:rFonts w:ascii="Times" w:hAnsi="Times" w:cs="Times"/>
          <w:sz w:val="24"/>
          <w:sz-cs w:val="24"/>
        </w:rPr>
        <w:t xml:space="preserve">Capture</w:t>
      </w:r>
    </w:p>
    <w:p>
      <w:pPr>
        <w:spacing w:after="120"/>
      </w:pPr>
      <w:r>
        <w:rPr>
          <w:rFonts w:ascii="Times" w:hAnsi="Times" w:cs="Times"/>
          <w:sz w:val="22"/>
          <w:sz-cs w:val="22"/>
          <w:color w:val="111111"/>
        </w:rPr>
        <w:t xml:space="preserve">Three surfaces emit signal: the dual-bay stations (tap-in, wash telemetry), the mobile app (taps, dwell time, screens), and the web and e-gift flow (scroll, search, funnel).</w:t>
      </w:r>
    </w:p>
    <w:p>
      <w:pPr/>
      <w:r>
        <w:rPr>
          <w:rFonts w:ascii="Times" w:hAnsi="Times" w:cs="Times"/>
          <w:sz w:val="24"/>
          <w:sz-cs w:val="24"/>
        </w:rPr>
        <w:t xml:space="preserve">Protect</w:t>
      </w:r>
    </w:p>
    <w:p>
      <w:pPr>
        <w:spacing w:after="120"/>
      </w:pPr>
      <w:r>
        <w:rPr>
          <w:rFonts w:ascii="Times" w:hAnsi="Times" w:cs="Times"/>
          <w:sz w:val="22"/>
          <w:sz-cs w:val="22"/>
          <w:color w:val="111111"/>
        </w:rPr>
        <w:t xml:space="preserve">Every signal enters as a pseudonymous event keyed to a subject_id, never a name. The only bridge from that pseudonym back to a person sits inside the identity vault. A consent gate stands between the raw stream and any use of it: a purpose with no active consent simply yields no data.</w:t>
      </w:r>
    </w:p>
    <w:p>
      <w:pPr/>
      <w:r>
        <w:rPr>
          <w:rFonts w:ascii="Times" w:hAnsi="Times" w:cs="Times"/>
          <w:sz w:val="24"/>
          <w:sz-cs w:val="24"/>
        </w:rPr>
        <w:t xml:space="preserve">Use</w:t>
      </w:r>
    </w:p>
    <w:p>
      <w:pPr>
        <w:spacing w:after="120"/>
      </w:pPr>
      <w:r>
        <w:rPr>
          <w:rFonts w:ascii="Times" w:hAnsi="Times" w:cs="Times"/>
          <w:sz w:val="22"/>
          <w:sz-cs w:val="22"/>
          <w:color w:val="111111"/>
        </w:rPr>
        <w:t xml:space="preserve">Consented, aggregated signal powers four outcomes: operations (peak hours, queue load), trends (which products and content earn action), expansion (where unserved demand clusters, for franchise and municipal siting), and member value (the wash story returned to the owner).</w:t>
      </w:r>
    </w:p>
    <w:p>
      <w:pPr/>
      <w:r>
        <w:rPr>
          <w:rFonts w:ascii="Times" w:hAnsi="Times" w:cs="Times"/>
          <w:sz w:val="24"/>
          <w:sz-cs w:val="24"/>
        </w:rPr>
        <w:t xml:space="preserve">Return</w:t>
      </w:r>
    </w:p>
    <w:p>
      <w:pPr>
        <w:spacing w:after="120"/>
      </w:pPr>
      <w:r>
        <w:rPr>
          <w:rFonts w:ascii="Times" w:hAnsi="Times" w:cs="Times"/>
          <w:sz w:val="22"/>
          <w:sz-cs w:val="22"/>
          <w:color w:val="111111"/>
        </w:rPr>
        <w:t xml:space="preserve">The loop closes by giving value back rather than extracting it. The same events that inform the business also compose the member’s own dashboard — the reason they were happy to share in the first place.</w:t>
      </w:r>
    </w:p>
    <w:p>
      <w:pPr>
        <w:spacing w:after="160"/>
      </w:pPr>
      <w:r>
        <w:rPr>
          <w:rFonts w:ascii="Times" w:hAnsi="Times" w:cs="Times"/>
          <w:sz w:val="22"/>
          <w:sz-cs w:val="22"/>
          <w:color w:val="111111"/>
        </w:rPr>
        <w:t xml:space="preserve"/>
      </w:r>
    </w:p>
    <w:p>
      <w:pPr/>
      <w:r>
        <w:rPr>
          <w:rFonts w:ascii="Times" w:hAnsi="Times" w:cs="Times"/>
          <w:sz w:val="24"/>
          <w:sz-cs w:val="24"/>
        </w:rPr>
        <w:t xml:space="preserve">3 · The data model</w:t>
      </w:r>
    </w:p>
    <w:p>
      <w:pPr>
        <w:spacing w:after="120"/>
      </w:pPr>
      <w:r>
        <w:rPr>
          <w:rFonts w:ascii="Times" w:hAnsi="Times" w:cs="Times"/>
          <w:sz w:val="22"/>
          <w:sz-cs w:val="22"/>
          <w:color w:val="111111"/>
        </w:rPr>
        <w:t xml:space="preserve">The schema is split into five domains by sensitivity. Access is granted per domain — analytics roles have no rights inside the identity vault. The full PostgreSQL definition ships as the companion file petwash_prestige_schema.sql.</w:t>
      </w:r>
    </w:p>
    <w:p>
      <w:pPr/>
      <w:r>
        <w:rPr>
          <w:rFonts w:ascii="Times" w:hAnsi="Times" w:cs="Times"/>
          <w:sz w:val="19"/>
          <w:sz-cs w:val="19"/>
          <w:b/>
          <w:color w:val="FFFFFF"/>
        </w:rPr>
        <w:t xml:space="preserve">Domain</w:t>
      </w:r>
    </w:p>
    <w:p>
      <w:pPr/>
      <w:r>
        <w:rPr>
          <w:rFonts w:ascii="Times" w:hAnsi="Times" w:cs="Times"/>
          <w:sz w:val="19"/>
          <w:sz-cs w:val="19"/>
          <w:b/>
          <w:color w:val="FFFFFF"/>
        </w:rPr>
        <w:t xml:space="preserve">Holds</w:t>
      </w:r>
    </w:p>
    <w:p>
      <w:pPr/>
      <w:r>
        <w:rPr>
          <w:rFonts w:ascii="Times" w:hAnsi="Times" w:cs="Times"/>
          <w:sz w:val="19"/>
          <w:sz-cs w:val="19"/>
          <w:b/>
          <w:color w:val="FFFFFF"/>
        </w:rPr>
        <w:t xml:space="preserve">Sensitivity</w:t>
      </w:r>
    </w:p>
    <w:p>
      <w:pPr/>
      <w:r>
        <w:rPr>
          <w:rFonts w:ascii="Times" w:hAnsi="Times" w:cs="Times"/>
          <w:sz w:val="19"/>
          <w:sz-cs w:val="19"/>
          <w:b/>
          <w:color w:val="111111"/>
        </w:rPr>
        <w:t xml:space="preserve">identity (vault)</w:t>
      </w:r>
    </w:p>
    <w:p>
      <w:pPr/>
      <w:r>
        <w:rPr>
          <w:rFonts w:ascii="Times" w:hAnsi="Times" w:cs="Times"/>
          <w:sz w:val="19"/>
          <w:sz-cs w:val="19"/>
          <w:b/>
          <w:color w:val="111111"/>
        </w:rPr>
        <w:t xml:space="preserve">Owner, pet, direct identifiers, the subject_id bridge</w:t>
      </w:r>
    </w:p>
    <w:p>
      <w:pPr/>
      <w:r>
        <w:rPr>
          <w:rFonts w:ascii="Times" w:hAnsi="Times" w:cs="Times"/>
          <w:sz w:val="19"/>
          <w:sz-cs w:val="19"/>
          <w:b/>
          <w:color w:val="111111"/>
        </w:rPr>
        <w:t xml:space="preserve">Highest — restricted access, encrypted</w:t>
      </w:r>
    </w:p>
    <w:p>
      <w:pPr/>
      <w:r>
        <w:rPr>
          <w:rFonts w:ascii="Times" w:hAnsi="Times" w:cs="Times"/>
          <w:sz w:val="19"/>
          <w:sz-cs w:val="19"/>
          <w:b/>
          <w:color w:val="111111"/>
        </w:rPr>
        <w:t xml:space="preserve">core</w:t>
      </w:r>
    </w:p>
    <w:p>
      <w:pPr/>
      <w:r>
        <w:rPr>
          <w:rFonts w:ascii="Times" w:hAnsi="Times" w:cs="Times"/>
          <w:sz w:val="19"/>
          <w:sz-cs w:val="19"/>
          <w:b/>
          <w:color w:val="111111"/>
        </w:rPr>
        <w:t xml:space="preserve">Stations, bays, membership, gift cards, wash sessions, providers, jobs, ratings</w:t>
      </w:r>
    </w:p>
    <w:p>
      <w:pPr/>
      <w:r>
        <w:rPr>
          <w:rFonts w:ascii="Times" w:hAnsi="Times" w:cs="Times"/>
          <w:sz w:val="19"/>
          <w:sz-cs w:val="19"/>
          <w:b/>
          <w:color w:val="111111"/>
        </w:rPr>
        <w:t xml:space="preserve">Operational</w:t>
      </w:r>
    </w:p>
    <w:p>
      <w:pPr/>
      <w:r>
        <w:rPr>
          <w:rFonts w:ascii="Times" w:hAnsi="Times" w:cs="Times"/>
          <w:sz w:val="19"/>
          <w:sz-cs w:val="19"/>
          <w:b/>
          <w:color w:val="111111"/>
        </w:rPr>
        <w:t xml:space="preserve">events</w:t>
      </w:r>
    </w:p>
    <w:p>
      <w:pPr/>
      <w:r>
        <w:rPr>
          <w:rFonts w:ascii="Times" w:hAnsi="Times" w:cs="Times"/>
          <w:sz w:val="19"/>
          <w:sz-cs w:val="19"/>
          <w:b/>
          <w:color w:val="111111"/>
        </w:rPr>
        <w:t xml:space="preserve">Pseudonymous behavioural stream — screens, taps, dwell, sessions</w:t>
      </w:r>
    </w:p>
    <w:p>
      <w:pPr/>
      <w:r>
        <w:rPr>
          <w:rFonts w:ascii="Times" w:hAnsi="Times" w:cs="Times"/>
          <w:sz w:val="19"/>
          <w:sz-cs w:val="19"/>
          <w:b/>
          <w:color w:val="111111"/>
        </w:rPr>
        <w:t xml:space="preserve">Pseudonymous, no PII</w:t>
      </w:r>
    </w:p>
    <w:p>
      <w:pPr/>
      <w:r>
        <w:rPr>
          <w:rFonts w:ascii="Times" w:hAnsi="Times" w:cs="Times"/>
          <w:sz w:val="19"/>
          <w:sz-cs w:val="19"/>
          <w:b/>
          <w:color w:val="111111"/>
        </w:rPr>
        <w:t xml:space="preserve">analytics</w:t>
      </w:r>
    </w:p>
    <w:p>
      <w:pPr/>
      <w:r>
        <w:rPr>
          <w:rFonts w:ascii="Times" w:hAnsi="Times" w:cs="Times"/>
          <w:sz w:val="19"/>
          <w:sz-cs w:val="19"/>
          <w:b/>
          <w:color w:val="111111"/>
        </w:rPr>
        <w:t xml:space="preserve">Derived aggregates and the provider health model</w:t>
      </w:r>
    </w:p>
    <w:p>
      <w:pPr/>
      <w:r>
        <w:rPr>
          <w:rFonts w:ascii="Times" w:hAnsi="Times" w:cs="Times"/>
          <w:sz w:val="19"/>
          <w:sz-cs w:val="19"/>
          <w:b/>
          <w:color w:val="111111"/>
        </w:rPr>
        <w:t xml:space="preserve">Aggregate</w:t>
      </w:r>
    </w:p>
    <w:p>
      <w:pPr/>
      <w:r>
        <w:rPr>
          <w:rFonts w:ascii="Times" w:hAnsi="Times" w:cs="Times"/>
          <w:sz w:val="19"/>
          <w:sz-cs w:val="19"/>
          <w:b/>
          <w:color w:val="111111"/>
        </w:rPr>
        <w:t xml:space="preserve">consent</w:t>
      </w:r>
    </w:p>
    <w:p>
      <w:pPr/>
      <w:r>
        <w:rPr>
          <w:rFonts w:ascii="Times" w:hAnsi="Times" w:cs="Times"/>
          <w:sz w:val="19"/>
          <w:sz-cs w:val="19"/>
          <w:b/>
          <w:color w:val="111111"/>
        </w:rPr>
        <w:t xml:space="preserve">Consent records, retention policy, data-subject requests</w:t>
      </w:r>
    </w:p>
    <w:p>
      <w:pPr/>
      <w:r>
        <w:rPr>
          <w:rFonts w:ascii="Times" w:hAnsi="Times" w:cs="Times"/>
          <w:sz w:val="19"/>
          <w:sz-cs w:val="19"/>
          <w:b/>
          <w:color w:val="111111"/>
        </w:rPr>
        <w:t xml:space="preserve">Governance</w:t>
      </w:r>
    </w:p>
    <w:p>
      <w:pPr>
        <w:spacing w:after="120"/>
      </w:pPr>
      <w:r>
        <w:rPr>
          <w:rFonts w:ascii="Times" w:hAnsi="Times" w:cs="Times"/>
          <w:sz w:val="19"/>
          <w:sz-cs w:val="19"/>
          <w:b/>
          <w:color w:val="111111"/>
        </w:rPr>
        <w:t xml:space="preserve"/>
      </w:r>
    </w:p>
    <w:p>
      <w:pPr/>
      <w:r>
        <w:rPr>
          <w:rFonts w:ascii="Times" w:hAnsi="Times" w:cs="Times"/>
          <w:sz w:val="24"/>
          <w:sz-cs w:val="24"/>
        </w:rPr>
        <w:t xml:space="preserve">The pseudonymisation bridge</w:t>
      </w:r>
    </w:p>
    <w:p>
      <w:pPr>
        <w:spacing w:after="120"/>
      </w:pPr>
      <w:r>
        <w:rPr>
          <w:rFonts w:ascii="Times" w:hAnsi="Times" w:cs="Times"/>
          <w:sz w:val="22"/>
          <w:sz-cs w:val="22"/>
          <w:color w:val="111111"/>
        </w:rPr>
        <w:t xml:space="preserve">identity.subject_map is the single table that resolves a pseudonymous subject_id to an owner and pet. Wash sessions, jobs and every behavioural event reference only the subject_id. Break or restrict access to that one table and the entire analytics layer becomes anonymous — which is exactly what a data-subject “restrict” or “delete” request should achieve.</w:t>
      </w:r>
    </w:p>
    <w:p>
      <w:pPr/>
      <w:r>
        <w:rPr>
          <w:rFonts w:ascii="Times" w:hAnsi="Times" w:cs="Times"/>
          <w:sz w:val="24"/>
          <w:sz-cs w:val="24"/>
        </w:rPr>
        <w:t xml:space="preserve">Pet-centric, not just person-centric</w:t>
      </w:r>
    </w:p>
    <w:p>
      <w:pPr>
        <w:spacing w:after="120"/>
      </w:pPr>
      <w:r>
        <w:rPr>
          <w:rFonts w:ascii="Times" w:hAnsi="Times" w:cs="Times"/>
          <w:sz w:val="22"/>
          <w:sz-cs w:val="22"/>
          <w:color w:val="111111"/>
        </w:rPr>
        <w:t xml:space="preserve">The model treats the pet as a first-class entity with its own profile (breed, coat type, weight, wash history). This is the differentiator: it lets the brand return delightful, specific value (“Mocha’s wash story”) that a generic person-level CRM never could.</w:t>
      </w:r>
    </w:p>
    <w:p>
      <w:pPr>
        <w:spacing w:after="160"/>
      </w:pPr>
      <w:r>
        <w:rPr>
          <w:rFonts w:ascii="Times" w:hAnsi="Times" w:cs="Times"/>
          <w:sz w:val="22"/>
          <w:sz-cs w:val="22"/>
          <w:color w:val="111111"/>
        </w:rPr>
        <w:t xml:space="preserve"/>
      </w:r>
    </w:p>
    <w:p>
      <w:pPr/>
      <w:r>
        <w:rPr>
          <w:rFonts w:ascii="Times" w:hAnsi="Times" w:cs="Times"/>
          <w:sz w:val="24"/>
          <w:sz-cs w:val="24"/>
        </w:rPr>
        <w:t xml:space="preserve">4 · What we capture, and where</w:t>
      </w:r>
    </w:p>
    <w:p>
      <w:pPr/>
      <w:r>
        <w:rPr>
          <w:rFonts w:ascii="Times" w:hAnsi="Times" w:cs="Times"/>
          <w:sz w:val="24"/>
          <w:sz-cs w:val="24"/>
        </w:rPr>
        <w:t xml:space="preserve">Station signals (dual-bay)</w:t>
      </w:r>
    </w:p>
    <w:p>
      <w:pPr>
        <w:ind w:left="720" w:first-line="-720"/>
        <w:spacing w:after="60"/>
      </w:pPr>
      <w:r>
        <w:rPr>
          <w:rFonts w:ascii="Times" w:hAnsi="Times" w:cs="Times"/>
          <w:sz w:val="22"/>
          <w:sz-cs w:val="22"/>
          <w:color w:val="111111"/>
        </w:rPr>
        <w:t xml:space="preserve"/>
        <w:tab/>
        <w:t xml:space="preserve">•</w:t>
        <w:tab/>
        <w:t xml:space="preserve">Tap-in via member tag; which bay; time-of-day and day-of-week.</w:t>
      </w:r>
    </w:p>
    <w:p>
      <w:pPr>
        <w:ind w:left="720" w:first-line="-720"/>
        <w:spacing w:after="60"/>
      </w:pPr>
      <w:r>
        <w:rPr>
          <w:rFonts w:ascii="Times" w:hAnsi="Times" w:cs="Times"/>
          <w:sz w:val="22"/>
          <w:sz-cs w:val="22"/>
          <w:color w:val="111111"/>
        </w:rPr>
        <w:t xml:space="preserve"/>
        <w:tab/>
        <w:t xml:space="preserve">•</w:t>
        <w:tab/>
        <w:t xml:space="preserve">Wash duration, chosen water temperature, products used, pay method.</w:t>
      </w:r>
    </w:p>
    <w:p>
      <w:pPr>
        <w:ind w:left="720" w:first-line="-720"/>
        <w:spacing w:after="60"/>
      </w:pPr>
      <w:r>
        <w:rPr>
          <w:rFonts w:ascii="Times" w:hAnsi="Times" w:cs="Times"/>
          <w:sz w:val="22"/>
          <w:sz-cs w:val="22"/>
          <w:color w:val="111111"/>
        </w:rPr>
        <w:t xml:space="preserve"/>
        <w:tab/>
        <w:t xml:space="preserve">•</w:t>
        <w:tab/>
        <w:t xml:space="preserve">Return cadence per pet — the single strongest churn and loyalty signal.</w:t>
      </w:r>
    </w:p>
    <w:p>
      <w:pPr/>
      <w:r>
        <w:rPr>
          <w:rFonts w:ascii="Times" w:hAnsi="Times" w:cs="Times"/>
          <w:sz w:val="24"/>
          <w:sz-cs w:val="24"/>
        </w:rPr>
        <w:t xml:space="preserve">App &amp; web signals</w:t>
      </w:r>
    </w:p>
    <w:p>
      <w:pPr>
        <w:ind w:left="720" w:first-line="-720"/>
        <w:spacing w:after="60"/>
      </w:pPr>
      <w:r>
        <w:rPr>
          <w:rFonts w:ascii="Times" w:hAnsi="Times" w:cs="Times"/>
          <w:sz w:val="22"/>
          <w:sz-cs w:val="22"/>
          <w:color w:val="111111"/>
        </w:rPr>
        <w:t xml:space="preserve"/>
        <w:tab/>
        <w:t xml:space="preserve">•</w:t>
        <w:tab/>
        <w:t xml:space="preserve">Screen dwell time and scroll depth — what genuinely holds attention.</w:t>
      </w:r>
    </w:p>
    <w:p>
      <w:pPr>
        <w:ind w:left="720" w:first-line="-720"/>
        <w:spacing w:after="60"/>
      </w:pPr>
      <w:r>
        <w:rPr>
          <w:rFonts w:ascii="Times" w:hAnsi="Times" w:cs="Times"/>
          <w:sz w:val="22"/>
          <w:sz-cs w:val="22"/>
          <w:color w:val="111111"/>
        </w:rPr>
        <w:t xml:space="preserve"/>
        <w:tab/>
        <w:t xml:space="preserve">•</w:t>
        <w:tab/>
        <w:t xml:space="preserve">Tap targets and search terms — intent, in the user’s own words.</w:t>
      </w:r>
    </w:p>
    <w:p>
      <w:pPr>
        <w:ind w:left="720" w:first-line="-720"/>
        <w:spacing w:after="60"/>
      </w:pPr>
      <w:r>
        <w:rPr>
          <w:rFonts w:ascii="Times" w:hAnsi="Times" w:cs="Times"/>
          <w:sz w:val="22"/>
          <w:sz-cs w:val="22"/>
          <w:color w:val="111111"/>
        </w:rPr>
        <w:t xml:space="preserve"/>
        <w:tab/>
        <w:t xml:space="preserve">•</w:t>
        <w:tab/>
        <w:t xml:space="preserve">The gift-flow funnel — where Prestige e-gift purchases convert or drop.</w:t>
      </w:r>
    </w:p>
    <w:p>
      <w:pPr>
        <w:ind w:left="720" w:first-line="-720"/>
        <w:spacing w:after="60"/>
      </w:pPr>
      <w:r>
        <w:rPr>
          <w:rFonts w:ascii="Times" w:hAnsi="Times" w:cs="Times"/>
          <w:sz w:val="22"/>
          <w:sz-cs w:val="22"/>
          <w:color w:val="111111"/>
        </w:rPr>
        <w:t xml:space="preserve"/>
        <w:tab/>
        <w:t xml:space="preserve">•</w:t>
        <w:tab/>
        <w:t xml:space="preserve">Session length and return interval — engagement health over time.</w:t>
      </w:r>
    </w:p>
    <w:p>
      <w:pPr/>
      <w:r>
        <w:rPr>
          <w:rFonts w:ascii="Times" w:hAnsi="Times" w:cs="Times"/>
          <w:sz w:val="24"/>
          <w:sz-cs w:val="24"/>
        </w:rPr>
        <w:t xml:space="preserve">What the signals answer</w:t>
      </w:r>
    </w:p>
    <w:p>
      <w:pPr>
        <w:ind w:left="720" w:first-line="-720"/>
        <w:spacing w:after="60"/>
      </w:pPr>
      <w:r>
        <w:rPr>
          <w:rFonts w:ascii="Times" w:hAnsi="Times" w:cs="Times"/>
          <w:sz w:val="22"/>
          <w:sz-cs w:val="22"/>
          <w:color w:val="111111"/>
        </w:rPr>
        <w:t xml:space="preserve"/>
        <w:tab/>
        <w:t xml:space="preserve">•</w:t>
        <w:tab/>
        <w:t xml:space="preserve">Operations: staff and stock the right station at the right hour.</w:t>
      </w:r>
    </w:p>
    <w:p>
      <w:pPr>
        <w:ind w:left="720" w:first-line="-720"/>
        <w:spacing w:after="60"/>
      </w:pPr>
      <w:r>
        <w:rPr>
          <w:rFonts w:ascii="Times" w:hAnsi="Times" w:cs="Times"/>
          <w:sz w:val="22"/>
          <w:sz-cs w:val="22"/>
          <w:color w:val="111111"/>
        </w:rPr>
        <w:t xml:space="preserve"/>
        <w:tab/>
        <w:t xml:space="preserve">•</w:t>
        <w:tab/>
        <w:t xml:space="preserve">Trends: which products and which content move people to act.</w:t>
      </w:r>
    </w:p>
    <w:p>
      <w:pPr>
        <w:ind w:left="720" w:first-line="-720"/>
        <w:spacing w:after="60"/>
      </w:pPr>
      <w:r>
        <w:rPr>
          <w:rFonts w:ascii="Times" w:hAnsi="Times" w:cs="Times"/>
          <w:sz w:val="22"/>
          <w:sz-cs w:val="22"/>
          <w:color w:val="111111"/>
        </w:rPr>
        <w:t xml:space="preserve"/>
        <w:tab/>
        <w:t xml:space="preserve">•</w:t>
        <w:tab/>
        <w:t xml:space="preserve">Expansion: which neighbourhoods show demand before a station exists.</w:t>
      </w:r>
    </w:p>
    <w:p>
      <w:pPr>
        <w:ind w:left="720" w:first-line="-720"/>
        <w:spacing w:after="60"/>
      </w:pPr>
      <w:r>
        <w:rPr>
          <w:rFonts w:ascii="Times" w:hAnsi="Times" w:cs="Times"/>
          <w:sz w:val="22"/>
          <w:sz-cs w:val="22"/>
          <w:color w:val="111111"/>
        </w:rPr>
        <w:t xml:space="preserve"/>
        <w:tab/>
        <w:t xml:space="preserve">•</w:t>
        <w:tab/>
        <w:t xml:space="preserve">Retention: a wash cadence that suddenly drops triggers a quiet win-back.</w:t>
      </w:r>
    </w:p>
    <w:p>
      <w:pPr>
        <w:spacing w:after="160"/>
      </w:pPr>
      <w:r>
        <w:rPr>
          <w:rFonts w:ascii="Times" w:hAnsi="Times" w:cs="Times"/>
          <w:sz w:val="22"/>
          <w:sz-cs w:val="22"/>
          <w:color w:val="111111"/>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5 · Provider health scorecard</w:t>
      </w:r>
    </w:p>
    <w:p>
      <w:pPr>
        <w:spacing w:after="120"/>
      </w:pPr>
      <w:r>
        <w:rPr>
          <w:rFonts w:ascii="Times" w:hAnsi="Times" w:cs="Times"/>
          <w:sz w:val="22"/>
          <w:sz-cs w:val="22"/>
          <w:color w:val="111111"/>
        </w:rPr>
        <w:t xml:space="preserve">Reliability is measurable, so it should run automatically rather than on gut feel. Each provider is scored over a rolling 30-day window across four signals, combined into a single 0–100 health score and a three-state flag. The system flags the change, not just the level — a cancellation rate that triples in three weeks is caught even while the absolute number still looks acceptable.</w:t>
      </w:r>
    </w:p>
    <w:p>
      <w:pPr/>
      <w:r>
        <w:rPr>
          <w:rFonts w:ascii="Times" w:hAnsi="Times" w:cs="Times"/>
          <w:sz w:val="24"/>
          <w:sz-cs w:val="24"/>
        </w:rPr>
        <w:t xml:space="preserve">The four signals and their weights</w:t>
      </w:r>
    </w:p>
    <w:p>
      <w:pPr/>
      <w:r>
        <w:rPr>
          <w:rFonts w:ascii="Times" w:hAnsi="Times" w:cs="Times"/>
          <w:sz w:val="19"/>
          <w:sz-cs w:val="19"/>
          <w:b/>
          <w:color w:val="FFFFFF"/>
        </w:rPr>
        <w:t xml:space="preserve">Signal</w:t>
      </w:r>
    </w:p>
    <w:p>
      <w:pPr/>
      <w:r>
        <w:rPr>
          <w:rFonts w:ascii="Times" w:hAnsi="Times" w:cs="Times"/>
          <w:sz w:val="19"/>
          <w:sz-cs w:val="19"/>
          <w:b/>
          <w:color w:val="FFFFFF"/>
        </w:rPr>
        <w:t xml:space="preserve">What it measures</w:t>
      </w:r>
    </w:p>
    <w:p>
      <w:pPr/>
      <w:r>
        <w:rPr>
          <w:rFonts w:ascii="Times" w:hAnsi="Times" w:cs="Times"/>
          <w:sz w:val="19"/>
          <w:sz-cs w:val="19"/>
          <w:b/>
          <w:color w:val="FFFFFF"/>
        </w:rPr>
        <w:t xml:space="preserve">Weight</w:t>
      </w:r>
    </w:p>
    <w:p>
      <w:pPr/>
      <w:r>
        <w:rPr>
          <w:rFonts w:ascii="Times" w:hAnsi="Times" w:cs="Times"/>
          <w:sz w:val="19"/>
          <w:sz-cs w:val="19"/>
          <w:b/>
          <w:color w:val="111111"/>
        </w:rPr>
        <w:t xml:space="preserve">Availability</w:t>
      </w:r>
    </w:p>
    <w:p>
      <w:pPr/>
      <w:r>
        <w:rPr>
          <w:rFonts w:ascii="Times" w:hAnsi="Times" w:cs="Times"/>
          <w:sz w:val="19"/>
          <w:sz-cs w:val="19"/>
          <w:b/>
          <w:color w:val="111111"/>
        </w:rPr>
        <w:t xml:space="preserve">Offered slots actually filled</w:t>
      </w:r>
    </w:p>
    <w:p>
      <w:pPr/>
      <w:r>
        <w:rPr>
          <w:rFonts w:ascii="Times" w:hAnsi="Times" w:cs="Times"/>
          <w:sz w:val="19"/>
          <w:sz-cs w:val="19"/>
          <w:b/>
          <w:color w:val="111111"/>
        </w:rPr>
        <w:t xml:space="preserve">30%</w:t>
      </w:r>
    </w:p>
    <w:p>
      <w:pPr/>
      <w:r>
        <w:rPr>
          <w:rFonts w:ascii="Times" w:hAnsi="Times" w:cs="Times"/>
          <w:sz w:val="19"/>
          <w:sz-cs w:val="19"/>
          <w:b/>
          <w:color w:val="111111"/>
        </w:rPr>
        <w:t xml:space="preserve">Reliability</w:t>
      </w:r>
    </w:p>
    <w:p>
      <w:pPr/>
      <w:r>
        <w:rPr>
          <w:rFonts w:ascii="Times" w:hAnsi="Times" w:cs="Times"/>
          <w:sz w:val="19"/>
          <w:sz-cs w:val="19"/>
          <w:b/>
          <w:color w:val="111111"/>
        </w:rPr>
        <w:t xml:space="preserve">1 − weighted provider-cancellations ÷ bookings</w:t>
      </w:r>
    </w:p>
    <w:p>
      <w:pPr/>
      <w:r>
        <w:rPr>
          <w:rFonts w:ascii="Times" w:hAnsi="Times" w:cs="Times"/>
          <w:sz w:val="19"/>
          <w:sz-cs w:val="19"/>
          <w:b/>
          <w:color w:val="111111"/>
        </w:rPr>
        <w:t xml:space="preserve">35%</w:t>
      </w:r>
    </w:p>
    <w:p>
      <w:pPr/>
      <w:r>
        <w:rPr>
          <w:rFonts w:ascii="Times" w:hAnsi="Times" w:cs="Times"/>
          <w:sz w:val="19"/>
          <w:sz-cs w:val="19"/>
          <w:b/>
          <w:color w:val="111111"/>
        </w:rPr>
        <w:t xml:space="preserve">Rating</w:t>
      </w:r>
    </w:p>
    <w:p>
      <w:pPr/>
      <w:r>
        <w:rPr>
          <w:rFonts w:ascii="Times" w:hAnsi="Times" w:cs="Times"/>
          <w:sz w:val="19"/>
          <w:sz-cs w:val="19"/>
          <w:b/>
          <w:color w:val="111111"/>
        </w:rPr>
        <w:t xml:space="preserve">Average stars over the window, normalised 0–1</w:t>
      </w:r>
    </w:p>
    <w:p>
      <w:pPr/>
      <w:r>
        <w:rPr>
          <w:rFonts w:ascii="Times" w:hAnsi="Times" w:cs="Times"/>
          <w:sz w:val="19"/>
          <w:sz-cs w:val="19"/>
          <w:b/>
          <w:color w:val="111111"/>
        </w:rPr>
        <w:t xml:space="preserve">25%</w:t>
      </w:r>
    </w:p>
    <w:p>
      <w:pPr/>
      <w:r>
        <w:rPr>
          <w:rFonts w:ascii="Times" w:hAnsi="Times" w:cs="Times"/>
          <w:sz w:val="19"/>
          <w:sz-cs w:val="19"/>
          <w:b/>
          <w:color w:val="111111"/>
        </w:rPr>
        <w:t xml:space="preserve">Responsiveness</w:t>
      </w:r>
    </w:p>
    <w:p>
      <w:pPr/>
      <w:r>
        <w:rPr>
          <w:rFonts w:ascii="Times" w:hAnsi="Times" w:cs="Times"/>
          <w:sz w:val="19"/>
          <w:sz-cs w:val="19"/>
          <w:b/>
          <w:color w:val="111111"/>
        </w:rPr>
        <w:t xml:space="preserve">Median time to accept a request, bucketed</w:t>
      </w:r>
    </w:p>
    <w:p>
      <w:pPr/>
      <w:r>
        <w:rPr>
          <w:rFonts w:ascii="Times" w:hAnsi="Times" w:cs="Times"/>
          <w:sz w:val="19"/>
          <w:sz-cs w:val="19"/>
          <w:b/>
          <w:color w:val="111111"/>
        </w:rPr>
        <w:t xml:space="preserve">10%</w:t>
      </w:r>
    </w:p>
    <w:p>
      <w:pPr>
        <w:spacing w:after="120"/>
      </w:pPr>
      <w:r>
        <w:rPr>
          <w:rFonts w:ascii="Times" w:hAnsi="Times" w:cs="Times"/>
          <w:sz w:val="19"/>
          <w:sz-cs w:val="19"/>
          <w:b/>
          <w:color w:val="111111"/>
        </w:rPr>
        <w:t xml:space="preserve"/>
      </w:r>
    </w:p>
    <w:p>
      <w:pPr/>
      <w:r>
        <w:rPr>
          <w:rFonts w:ascii="Times" w:hAnsi="Times" w:cs="Times"/>
          <w:sz w:val="24"/>
          <w:sz-cs w:val="24"/>
        </w:rPr>
        <w:t xml:space="preserve">Cancellation weighting (lead time matters)</w:t>
      </w:r>
    </w:p>
    <w:p>
      <w:pPr>
        <w:spacing w:after="120"/>
      </w:pPr>
      <w:r>
        <w:rPr>
          <w:rFonts w:ascii="Times" w:hAnsi="Times" w:cs="Times"/>
          <w:sz w:val="22"/>
          <w:sz-cs w:val="22"/>
          <w:color w:val="111111"/>
        </w:rPr>
        <w:t xml:space="preserve">Not every cancellation is equal. A drop the night before a weekend job is far more disruptive than two weeks’ notice, so cancellations are weighted by how little warning they gave:</w:t>
      </w:r>
    </w:p>
    <w:p>
      <w:pPr/>
      <w:r>
        <w:rPr>
          <w:rFonts w:ascii="Times" w:hAnsi="Times" w:cs="Times"/>
          <w:sz w:val="19"/>
          <w:sz-cs w:val="19"/>
          <w:b/>
          <w:color w:val="FFFFFF"/>
        </w:rPr>
        <w:t xml:space="preserve">Lead time before the job</w:t>
      </w:r>
    </w:p>
    <w:p>
      <w:pPr/>
      <w:r>
        <w:rPr>
          <w:rFonts w:ascii="Times" w:hAnsi="Times" w:cs="Times"/>
          <w:sz w:val="19"/>
          <w:sz-cs w:val="19"/>
          <w:b/>
          <w:color w:val="FFFFFF"/>
        </w:rPr>
        <w:t xml:space="preserve">Weight</w:t>
      </w:r>
    </w:p>
    <w:p>
      <w:pPr/>
      <w:r>
        <w:rPr>
          <w:rFonts w:ascii="Times" w:hAnsi="Times" w:cs="Times"/>
          <w:sz w:val="19"/>
          <w:sz-cs w:val="19"/>
          <w:b/>
          <w:color w:val="111111"/>
        </w:rPr>
        <w:t xml:space="preserve">Under 24 hours</w:t>
      </w:r>
    </w:p>
    <w:p>
      <w:pPr/>
      <w:r>
        <w:rPr>
          <w:rFonts w:ascii="Times" w:hAnsi="Times" w:cs="Times"/>
          <w:sz w:val="19"/>
          <w:sz-cs w:val="19"/>
          <w:b/>
          <w:color w:val="111111"/>
        </w:rPr>
        <w:t xml:space="preserve">× 3</w:t>
      </w:r>
    </w:p>
    <w:p>
      <w:pPr/>
      <w:r>
        <w:rPr>
          <w:rFonts w:ascii="Times" w:hAnsi="Times" w:cs="Times"/>
          <w:sz w:val="19"/>
          <w:sz-cs w:val="19"/>
          <w:b/>
          <w:color w:val="111111"/>
        </w:rPr>
        <w:t xml:space="preserve">24 to 72 hours</w:t>
      </w:r>
    </w:p>
    <w:p>
      <w:pPr/>
      <w:r>
        <w:rPr>
          <w:rFonts w:ascii="Times" w:hAnsi="Times" w:cs="Times"/>
          <w:sz w:val="19"/>
          <w:sz-cs w:val="19"/>
          <w:b/>
          <w:color w:val="111111"/>
        </w:rPr>
        <w:t xml:space="preserve">× 2</w:t>
      </w:r>
    </w:p>
    <w:p>
      <w:pPr/>
      <w:r>
        <w:rPr>
          <w:rFonts w:ascii="Times" w:hAnsi="Times" w:cs="Times"/>
          <w:sz w:val="19"/>
          <w:sz-cs w:val="19"/>
          <w:b/>
          <w:color w:val="111111"/>
        </w:rPr>
        <w:t xml:space="preserve">More than 72 hours</w:t>
      </w:r>
    </w:p>
    <w:p>
      <w:pPr/>
      <w:r>
        <w:rPr>
          <w:rFonts w:ascii="Times" w:hAnsi="Times" w:cs="Times"/>
          <w:sz w:val="19"/>
          <w:sz-cs w:val="19"/>
          <w:b/>
          <w:color w:val="111111"/>
        </w:rPr>
        <w:t xml:space="preserve">× 1</w:t>
      </w:r>
    </w:p>
    <w:p>
      <w:pPr>
        <w:spacing w:after="120"/>
      </w:pPr>
      <w:r>
        <w:rPr>
          <w:rFonts w:ascii="Times" w:hAnsi="Times" w:cs="Times"/>
          <w:sz w:val="19"/>
          <w:sz-cs w:val="19"/>
          <w:b/>
          <w:color w:val="111111"/>
        </w:rPr>
        <w:t xml:space="preserve"/>
      </w:r>
    </w:p>
    <w:p>
      <w:pPr/>
      <w:r>
        <w:rPr>
          <w:rFonts w:ascii="Times" w:hAnsi="Times" w:cs="Times"/>
          <w:sz w:val="24"/>
          <w:sz-cs w:val="24"/>
        </w:rPr>
        <w:t xml:space="preserve">Score, states and the override</w:t>
      </w:r>
    </w:p>
    <w:p>
      <w:pPr>
        <w:ind w:left="720" w:first-line="-720"/>
        <w:spacing w:after="60"/>
      </w:pPr>
      <w:r>
        <w:rPr>
          <w:rFonts w:ascii="Times" w:hAnsi="Times" w:cs="Times"/>
          <w:sz w:val="22"/>
          <w:sz-cs w:val="22"/>
          <w:color w:val="111111"/>
        </w:rPr>
        <w:t xml:space="preserve"/>
        <w:tab/>
        <w:t xml:space="preserve">•</w:t>
        <w:tab/>
        <w:t xml:space="preserve">health_score = 30·availability + 35·reliability + 25·rating + 10·responsiveness (0–100).</w:t>
      </w:r>
    </w:p>
    <w:p>
      <w:pPr>
        <w:ind w:left="720" w:first-line="-720"/>
        <w:spacing w:after="60"/>
      </w:pPr>
      <w:r>
        <w:rPr>
          <w:rFonts w:ascii="Times" w:hAnsi="Times" w:cs="Times"/>
          <w:sz w:val="22"/>
          <w:sz-cs w:val="22"/>
          <w:color w:val="111111"/>
        </w:rPr>
        <w:t xml:space="preserve"/>
        <w:tab/>
        <w:t xml:space="preserve">•</w:t>
        <w:tab/>
        <w:t xml:space="preserve">Good ≥ 80  ·  Watch 60–79  ·  At risk &lt; 60.</w:t>
      </w:r>
    </w:p>
    <w:p>
      <w:pPr>
        <w:ind w:left="720" w:first-line="-720"/>
        <w:spacing w:after="60"/>
      </w:pPr>
      <w:r>
        <w:rPr>
          <w:rFonts w:ascii="Times" w:hAnsi="Times" w:cs="Times"/>
          <w:sz w:val="22"/>
          <w:sz-cs w:val="22"/>
          <w:color w:val="111111"/>
        </w:rPr>
        <w:t xml:space="preserve"/>
        <w:tab/>
        <w:t xml:space="preserve">•</w:t>
        <w:tab/>
        <w:t xml:space="preserve">Override: if the cancellation rate rises above twice its prior 21-day baseline, the provider is forced to at least Watch regardless of score — this is what catches a good provider starting to slip.</w:t>
      </w:r>
    </w:p>
    <w:p>
      <w:pPr/>
      <w:r>
        <w:rPr>
          <w:rFonts w:ascii="Times" w:hAnsi="Times" w:cs="Times"/>
          <w:sz w:val="24"/>
          <w:sz-cs w:val="24"/>
        </w:rPr>
        <w:t xml:space="preserve">The escalation ladder (every step documented)</w:t>
      </w:r>
    </w:p>
    <w:p>
      <w:pPr>
        <w:spacing w:after="120"/>
      </w:pPr>
      <w:r>
        <w:rPr>
          <w:rFonts w:ascii="Times" w:hAnsi="Times" w:cs="Times"/>
          <w:sz w:val="22"/>
          <w:sz-cs w:val="22"/>
          <w:color w:val="111111"/>
        </w:rPr>
        <w:t xml:space="preserve">Each state change opens a case in analytics.provider_case with a trigger, the action taken, and a note — so the process is fair, evidence-based and auditable.</w:t>
      </w:r>
    </w:p>
    <w:p>
      <w:pPr/>
      <w:r>
        <w:rPr>
          <w:rFonts w:ascii="Times" w:hAnsi="Times" w:cs="Times"/>
          <w:sz w:val="19"/>
          <w:sz-cs w:val="19"/>
          <w:b/>
          <w:color w:val="FFFFFF"/>
        </w:rPr>
        <w:t xml:space="preserve">State</w:t>
      </w:r>
    </w:p>
    <w:p>
      <w:pPr/>
      <w:r>
        <w:rPr>
          <w:rFonts w:ascii="Times" w:hAnsi="Times" w:cs="Times"/>
          <w:sz w:val="19"/>
          <w:sz-cs w:val="19"/>
          <w:b/>
          <w:color w:val="FFFFFF"/>
        </w:rPr>
        <w:t xml:space="preserve">Action</w:t>
      </w:r>
    </w:p>
    <w:p>
      <w:pPr/>
      <w:r>
        <w:rPr>
          <w:rFonts w:ascii="Times" w:hAnsi="Times" w:cs="Times"/>
          <w:sz w:val="19"/>
          <w:sz-cs w:val="19"/>
          <w:b/>
          <w:color w:val="FFFFFF"/>
        </w:rPr>
        <w:t xml:space="preserve">Intent</w:t>
      </w:r>
    </w:p>
    <w:p>
      <w:pPr/>
      <w:r>
        <w:rPr>
          <w:rFonts w:ascii="Times" w:hAnsi="Times" w:cs="Times"/>
          <w:sz w:val="19"/>
          <w:sz-cs w:val="19"/>
          <w:b/>
          <w:color w:val="111111"/>
        </w:rPr>
        <w:t xml:space="preserve">Watch</w:t>
      </w:r>
    </w:p>
    <w:p>
      <w:pPr/>
      <w:r>
        <w:rPr>
          <w:rFonts w:ascii="Times" w:hAnsi="Times" w:cs="Times"/>
          <w:sz w:val="19"/>
          <w:sz-cs w:val="19"/>
          <w:b/>
          <w:color w:val="111111"/>
        </w:rPr>
        <w:t xml:space="preserve">Automated flag + soft coaching message</w:t>
      </w:r>
    </w:p>
    <w:p>
      <w:pPr/>
      <w:r>
        <w:rPr>
          <w:rFonts w:ascii="Times" w:hAnsi="Times" w:cs="Times"/>
          <w:sz w:val="19"/>
          <w:sz-cs w:val="19"/>
          <w:b/>
          <w:color w:val="111111"/>
        </w:rPr>
        <w:t xml:space="preserve">Early, friendly correction</w:t>
      </w:r>
    </w:p>
    <w:p>
      <w:pPr/>
      <w:r>
        <w:rPr>
          <w:rFonts w:ascii="Times" w:hAnsi="Times" w:cs="Times"/>
          <w:sz w:val="19"/>
          <w:sz-cs w:val="19"/>
          <w:b/>
          <w:color w:val="111111"/>
        </w:rPr>
        <w:t xml:space="preserve">At risk</w:t>
      </w:r>
    </w:p>
    <w:p>
      <w:pPr/>
      <w:r>
        <w:rPr>
          <w:rFonts w:ascii="Times" w:hAnsi="Times" w:cs="Times"/>
          <w:sz w:val="19"/>
          <w:sz-cs w:val="19"/>
          <w:b/>
          <w:color w:val="111111"/>
        </w:rPr>
        <w:t xml:space="preserve">Manual review + temporary slot cap</w:t>
      </w:r>
    </w:p>
    <w:p>
      <w:pPr/>
      <w:r>
        <w:rPr>
          <w:rFonts w:ascii="Times" w:hAnsi="Times" w:cs="Times"/>
          <w:sz w:val="19"/>
          <w:sz-cs w:val="19"/>
          <w:b/>
          <w:color w:val="111111"/>
        </w:rPr>
        <w:t xml:space="preserve">Protect owners, give a path back</w:t>
      </w:r>
    </w:p>
    <w:p>
      <w:pPr/>
      <w:r>
        <w:rPr>
          <w:rFonts w:ascii="Times" w:hAnsi="Times" w:cs="Times"/>
          <w:sz w:val="19"/>
          <w:sz-cs w:val="19"/>
          <w:b/>
          <w:color w:val="111111"/>
        </w:rPr>
        <w:t xml:space="preserve">Suspended</w:t>
      </w:r>
    </w:p>
    <w:p>
      <w:pPr/>
      <w:r>
        <w:rPr>
          <w:rFonts w:ascii="Times" w:hAnsi="Times" w:cs="Times"/>
          <w:sz w:val="19"/>
          <w:sz-cs w:val="19"/>
          <w:b/>
          <w:color w:val="111111"/>
        </w:rPr>
        <w:t xml:space="preserve">Removed from booking, with reason + appeal</w:t>
      </w:r>
    </w:p>
    <w:p>
      <w:pPr/>
      <w:r>
        <w:rPr>
          <w:rFonts w:ascii="Times" w:hAnsi="Times" w:cs="Times"/>
          <w:sz w:val="19"/>
          <w:sz-cs w:val="19"/>
          <w:b/>
          <w:color w:val="111111"/>
        </w:rPr>
        <w:t xml:space="preserve">Last resort, never silent</w:t>
      </w:r>
    </w:p>
    <w:p>
      <w:pPr>
        <w:spacing w:after="120"/>
      </w:pPr>
      <w:r>
        <w:rPr>
          <w:rFonts w:ascii="Times" w:hAnsi="Times" w:cs="Times"/>
          <w:sz w:val="19"/>
          <w:sz-cs w:val="19"/>
          <w:b/>
          <w:color w:val="111111"/>
        </w:rPr>
        <w:t xml:space="preserve"/>
      </w:r>
    </w:p>
    <w:p>
      <w:pPr>
        <w:spacing w:after="120"/>
      </w:pPr>
      <w:r>
        <w:rPr>
          <w:rFonts w:ascii="Times" w:hAnsi="Times" w:cs="Times"/>
          <w:sz w:val="22"/>
          <w:sz-cs w:val="22"/>
          <w:color w:val="111111"/>
        </w:rPr>
        <w:t xml:space="preserve">The same logic protects both sides: it flags a provider who flakes, and it protects a reliable provider from a single bad review distorting their standing, because rating is only one weighted input among four.</w:t>
      </w:r>
    </w:p>
    <w:p>
      <w:pPr>
        <w:spacing w:after="160"/>
      </w:pPr>
      <w:r>
        <w:rPr>
          <w:rFonts w:ascii="Times" w:hAnsi="Times" w:cs="Times"/>
          <w:sz w:val="22"/>
          <w:sz-cs w:val="22"/>
          <w:color w:val="111111"/>
        </w:rPr>
        <w:t xml:space="preserve"/>
      </w:r>
    </w:p>
    <w:p>
      <w:pPr/>
      <w:r>
        <w:rPr>
          <w:rFonts w:ascii="Times" w:hAnsi="Times" w:cs="Times"/>
          <w:sz w:val="24"/>
          <w:sz-cs w:val="24"/>
        </w:rPr>
        <w:t xml:space="preserve"/>
        <w:br w:type="page"/>
        <w:t xml:space="preserve"/>
      </w:r>
    </w:p>
    <w:p>
      <w:pPr/>
      <w:r>
        <w:rPr>
          <w:rFonts w:ascii="Times" w:hAnsi="Times" w:cs="Times"/>
          <w:sz w:val="24"/>
          <w:sz-cs w:val="24"/>
        </w:rPr>
        <w:t xml:space="preserve">6 · Privacy &amp; consent specification</w:t>
      </w:r>
    </w:p>
    <w:p>
      <w:pPr/>
      <w:r>
        <w:rPr>
          <w:rFonts w:ascii="Times" w:hAnsi="Times" w:cs="Times"/>
          <w:sz w:val="24"/>
          <w:sz-cs w:val="24"/>
        </w:rPr>
        <w:t xml:space="preserve">The value-exchange consent flow</w:t>
      </w:r>
    </w:p>
    <w:p>
      <w:pPr>
        <w:spacing w:after="120"/>
      </w:pPr>
      <w:r>
        <w:rPr>
          <w:rFonts w:ascii="Times" w:hAnsi="Times" w:cs="Times"/>
          <w:sz w:val="22"/>
          <w:sz-cs w:val="22"/>
          <w:color w:val="111111"/>
        </w:rPr>
        <w:t xml:space="preserve">Consent is requested at the moment its benefit appears, one purpose at a time, in plain language. “Create Mocha’s profile?” carries the profile purpose; “See your nearest stations?” carries location. Each grant is recorded in consent.consent_record with its policy version and is revocable from the same transparency panel that shows what is held.</w:t>
      </w:r>
    </w:p>
    <w:p>
      <w:pPr/>
      <w:r>
        <w:rPr>
          <w:rFonts w:ascii="Times" w:hAnsi="Times" w:cs="Times"/>
          <w:sz w:val="24"/>
          <w:sz-cs w:val="24"/>
        </w:rPr>
        <w:t xml:space="preserve">Purposes and lawful basis</w:t>
      </w:r>
    </w:p>
    <w:p>
      <w:pPr>
        <w:spacing w:after="120"/>
      </w:pPr>
      <w:r>
        <w:rPr>
          <w:rFonts w:ascii="Times" w:hAnsi="Times" w:cs="Times"/>
          <w:sz w:val="22"/>
          <w:sz-cs w:val="22"/>
          <w:color w:val="111111"/>
        </w:rPr>
        <w:t xml:space="preserve">Each purpose is recorded and used independently. The basis below is indicative and must be confirmed against the official regulator texts and counsel before launch.</w:t>
      </w:r>
    </w:p>
    <w:p>
      <w:pPr/>
      <w:r>
        <w:rPr>
          <w:rFonts w:ascii="Times" w:hAnsi="Times" w:cs="Times"/>
          <w:sz w:val="19"/>
          <w:sz-cs w:val="19"/>
          <w:b/>
          <w:color w:val="FFFFFF"/>
        </w:rPr>
        <w:t xml:space="preserve">Purpose</w:t>
      </w:r>
    </w:p>
    <w:p>
      <w:pPr/>
      <w:r>
        <w:rPr>
          <w:rFonts w:ascii="Times" w:hAnsi="Times" w:cs="Times"/>
          <w:sz w:val="19"/>
          <w:sz-cs w:val="19"/>
          <w:b/>
          <w:color w:val="FFFFFF"/>
        </w:rPr>
        <w:t xml:space="preserve">What it enables</w:t>
      </w:r>
    </w:p>
    <w:p>
      <w:pPr/>
      <w:r>
        <w:rPr>
          <w:rFonts w:ascii="Times" w:hAnsi="Times" w:cs="Times"/>
          <w:sz w:val="19"/>
          <w:sz-cs w:val="19"/>
          <w:b/>
          <w:color w:val="FFFFFF"/>
        </w:rPr>
        <w:t xml:space="preserve">Indicative basis</w:t>
      </w:r>
    </w:p>
    <w:p>
      <w:pPr/>
      <w:r>
        <w:rPr>
          <w:rFonts w:ascii="Times" w:hAnsi="Times" w:cs="Times"/>
          <w:sz w:val="19"/>
          <w:sz-cs w:val="19"/>
          <w:b/>
          <w:color w:val="111111"/>
        </w:rPr>
        <w:t xml:space="preserve">analytics</w:t>
      </w:r>
    </w:p>
    <w:p>
      <w:pPr/>
      <w:r>
        <w:rPr>
          <w:rFonts w:ascii="Times" w:hAnsi="Times" w:cs="Times"/>
          <w:sz w:val="19"/>
          <w:sz-cs w:val="19"/>
          <w:b/>
          <w:color w:val="111111"/>
        </w:rPr>
        <w:t xml:space="preserve">Aggregate trends and operations</w:t>
      </w:r>
    </w:p>
    <w:p>
      <w:pPr/>
      <w:r>
        <w:rPr>
          <w:rFonts w:ascii="Times" w:hAnsi="Times" w:cs="Times"/>
          <w:sz w:val="19"/>
          <w:sz-cs w:val="19"/>
          <w:b/>
          <w:color w:val="111111"/>
        </w:rPr>
        <w:t xml:space="preserve">Consent / legitimate interest</w:t>
      </w:r>
    </w:p>
    <w:p>
      <w:pPr/>
      <w:r>
        <w:rPr>
          <w:rFonts w:ascii="Times" w:hAnsi="Times" w:cs="Times"/>
          <w:sz w:val="19"/>
          <w:sz-cs w:val="19"/>
          <w:b/>
          <w:color w:val="111111"/>
        </w:rPr>
        <w:t xml:space="preserve">profile</w:t>
      </w:r>
    </w:p>
    <w:p>
      <w:pPr/>
      <w:r>
        <w:rPr>
          <w:rFonts w:ascii="Times" w:hAnsi="Times" w:cs="Times"/>
          <w:sz w:val="19"/>
          <w:sz-cs w:val="19"/>
          <w:b/>
          <w:color w:val="111111"/>
        </w:rPr>
        <w:t xml:space="preserve">The pet’s wash story and care notes</w:t>
      </w:r>
    </w:p>
    <w:p>
      <w:pPr/>
      <w:r>
        <w:rPr>
          <w:rFonts w:ascii="Times" w:hAnsi="Times" w:cs="Times"/>
          <w:sz w:val="19"/>
          <w:sz-cs w:val="19"/>
          <w:b/>
          <w:color w:val="111111"/>
        </w:rPr>
        <w:t xml:space="preserve">Contract / consent</w:t>
      </w:r>
    </w:p>
    <w:p>
      <w:pPr/>
      <w:r>
        <w:rPr>
          <w:rFonts w:ascii="Times" w:hAnsi="Times" w:cs="Times"/>
          <w:sz w:val="19"/>
          <w:sz-cs w:val="19"/>
          <w:b/>
          <w:color w:val="111111"/>
        </w:rPr>
        <w:t xml:space="preserve">personalisation</w:t>
      </w:r>
    </w:p>
    <w:p>
      <w:pPr/>
      <w:r>
        <w:rPr>
          <w:rFonts w:ascii="Times" w:hAnsi="Times" w:cs="Times"/>
          <w:sz w:val="19"/>
          <w:sz-cs w:val="19"/>
          <w:b/>
          <w:color w:val="111111"/>
        </w:rPr>
        <w:t xml:space="preserve">Tailored recommendations</w:t>
      </w:r>
    </w:p>
    <w:p>
      <w:pPr/>
      <w:r>
        <w:rPr>
          <w:rFonts w:ascii="Times" w:hAnsi="Times" w:cs="Times"/>
          <w:sz w:val="19"/>
          <w:sz-cs w:val="19"/>
          <w:b/>
          <w:color w:val="111111"/>
        </w:rPr>
        <w:t xml:space="preserve">Consent</w:t>
      </w:r>
    </w:p>
    <w:p>
      <w:pPr/>
      <w:r>
        <w:rPr>
          <w:rFonts w:ascii="Times" w:hAnsi="Times" w:cs="Times"/>
          <w:sz w:val="19"/>
          <w:sz-cs w:val="19"/>
          <w:b/>
          <w:color w:val="111111"/>
        </w:rPr>
        <w:t xml:space="preserve">marketing</w:t>
      </w:r>
    </w:p>
    <w:p>
      <w:pPr/>
      <w:r>
        <w:rPr>
          <w:rFonts w:ascii="Times" w:hAnsi="Times" w:cs="Times"/>
          <w:sz w:val="19"/>
          <w:sz-cs w:val="19"/>
          <w:b/>
          <w:color w:val="111111"/>
        </w:rPr>
        <w:t xml:space="preserve">Email and offers</w:t>
      </w:r>
    </w:p>
    <w:p>
      <w:pPr/>
      <w:r>
        <w:rPr>
          <w:rFonts w:ascii="Times" w:hAnsi="Times" w:cs="Times"/>
          <w:sz w:val="19"/>
          <w:sz-cs w:val="19"/>
          <w:b/>
          <w:color w:val="111111"/>
        </w:rPr>
        <w:t xml:space="preserve">Consent</w:t>
      </w:r>
    </w:p>
    <w:p>
      <w:pPr/>
      <w:r>
        <w:rPr>
          <w:rFonts w:ascii="Times" w:hAnsi="Times" w:cs="Times"/>
          <w:sz w:val="19"/>
          <w:sz-cs w:val="19"/>
          <w:b/>
          <w:color w:val="111111"/>
        </w:rPr>
        <w:t xml:space="preserve">provider_monitoring</w:t>
      </w:r>
    </w:p>
    <w:p>
      <w:pPr/>
      <w:r>
        <w:rPr>
          <w:rFonts w:ascii="Times" w:hAnsi="Times" w:cs="Times"/>
          <w:sz w:val="19"/>
          <w:sz-cs w:val="19"/>
          <w:b/>
          <w:color w:val="111111"/>
        </w:rPr>
        <w:t xml:space="preserve">Reliability scoring of providers</w:t>
      </w:r>
    </w:p>
    <w:p>
      <w:pPr/>
      <w:r>
        <w:rPr>
          <w:rFonts w:ascii="Times" w:hAnsi="Times" w:cs="Times"/>
          <w:sz w:val="19"/>
          <w:sz-cs w:val="19"/>
          <w:b/>
          <w:color w:val="111111"/>
        </w:rPr>
        <w:t xml:space="preserve">Legitimate interest</w:t>
      </w:r>
    </w:p>
    <w:p>
      <w:pPr>
        <w:spacing w:after="120"/>
      </w:pPr>
      <w:r>
        <w:rPr>
          <w:rFonts w:ascii="Times" w:hAnsi="Times" w:cs="Times"/>
          <w:sz w:val="19"/>
          <w:sz-cs w:val="19"/>
          <w:b/>
          <w:color w:val="111111"/>
        </w:rPr>
        <w:t xml:space="preserve"/>
      </w:r>
    </w:p>
    <w:p>
      <w:pPr/>
      <w:r>
        <w:rPr>
          <w:rFonts w:ascii="Times" w:hAnsi="Times" w:cs="Times"/>
          <w:sz w:val="24"/>
          <w:sz-cs w:val="24"/>
        </w:rPr>
        <w:t xml:space="preserve">Retention windows</w:t>
      </w:r>
    </w:p>
    <w:p>
      <w:pPr>
        <w:spacing w:after="120"/>
      </w:pPr>
      <w:r>
        <w:rPr>
          <w:rFonts w:ascii="Times" w:hAnsi="Times" w:cs="Times"/>
          <w:sz w:val="22"/>
          <w:sz-cs w:val="22"/>
          <w:color w:val="111111"/>
        </w:rPr>
        <w:t xml:space="preserve">Retention is declared as data in consent.retention_policy and enforced by a scheduled purge — raw event partitions are simply dropped once past their window. Indicative values, to be confirmed:</w:t>
      </w:r>
    </w:p>
    <w:p>
      <w:pPr/>
      <w:r>
        <w:rPr>
          <w:rFonts w:ascii="Times" w:hAnsi="Times" w:cs="Times"/>
          <w:sz w:val="19"/>
          <w:sz-cs w:val="19"/>
          <w:b/>
          <w:color w:val="FFFFFF"/>
        </w:rPr>
        <w:t xml:space="preserve">Data class</w:t>
      </w:r>
    </w:p>
    <w:p>
      <w:pPr/>
      <w:r>
        <w:rPr>
          <w:rFonts w:ascii="Times" w:hAnsi="Times" w:cs="Times"/>
          <w:sz w:val="19"/>
          <w:sz-cs w:val="19"/>
          <w:b/>
          <w:color w:val="FFFFFF"/>
        </w:rPr>
        <w:t xml:space="preserve">Window</w:t>
      </w:r>
    </w:p>
    <w:p>
      <w:pPr/>
      <w:r>
        <w:rPr>
          <w:rFonts w:ascii="Times" w:hAnsi="Times" w:cs="Times"/>
          <w:sz w:val="19"/>
          <w:sz-cs w:val="19"/>
          <w:b/>
          <w:color w:val="FFFFFF"/>
        </w:rPr>
        <w:t xml:space="preserve">Why</w:t>
      </w:r>
    </w:p>
    <w:p>
      <w:pPr/>
      <w:r>
        <w:rPr>
          <w:rFonts w:ascii="Times" w:hAnsi="Times" w:cs="Times"/>
          <w:sz w:val="19"/>
          <w:sz-cs w:val="19"/>
          <w:b/>
          <w:color w:val="111111"/>
        </w:rPr>
        <w:t xml:space="preserve">Raw behavioural events</w:t>
      </w:r>
    </w:p>
    <w:p>
      <w:pPr/>
      <w:r>
        <w:rPr>
          <w:rFonts w:ascii="Times" w:hAnsi="Times" w:cs="Times"/>
          <w:sz w:val="19"/>
          <w:sz-cs w:val="19"/>
          <w:b/>
          <w:color w:val="111111"/>
        </w:rPr>
        <w:t xml:space="preserve">~13 months</w:t>
      </w:r>
    </w:p>
    <w:p>
      <w:pPr/>
      <w:r>
        <w:rPr>
          <w:rFonts w:ascii="Times" w:hAnsi="Times" w:cs="Times"/>
          <w:sz w:val="19"/>
          <w:sz-cs w:val="19"/>
          <w:b/>
          <w:color w:val="111111"/>
        </w:rPr>
        <w:t xml:space="preserve">Trend comparison year-over-year, then drop</w:t>
      </w:r>
    </w:p>
    <w:p>
      <w:pPr/>
      <w:r>
        <w:rPr>
          <w:rFonts w:ascii="Times" w:hAnsi="Times" w:cs="Times"/>
          <w:sz w:val="19"/>
          <w:sz-cs w:val="19"/>
          <w:b/>
          <w:color w:val="111111"/>
        </w:rPr>
        <w:t xml:space="preserve">Wash session history</w:t>
      </w:r>
    </w:p>
    <w:p>
      <w:pPr/>
      <w:r>
        <w:rPr>
          <w:rFonts w:ascii="Times" w:hAnsi="Times" w:cs="Times"/>
          <w:sz w:val="19"/>
          <w:sz-cs w:val="19"/>
          <w:b/>
          <w:color w:val="111111"/>
        </w:rPr>
        <w:t xml:space="preserve">3 years</w:t>
      </w:r>
    </w:p>
    <w:p>
      <w:pPr/>
      <w:r>
        <w:rPr>
          <w:rFonts w:ascii="Times" w:hAnsi="Times" w:cs="Times"/>
          <w:sz w:val="19"/>
          <w:sz-cs w:val="19"/>
          <w:b/>
          <w:color w:val="111111"/>
        </w:rPr>
        <w:t xml:space="preserve">Powers the member’s wash story</w:t>
      </w:r>
    </w:p>
    <w:p>
      <w:pPr/>
      <w:r>
        <w:rPr>
          <w:rFonts w:ascii="Times" w:hAnsi="Times" w:cs="Times"/>
          <w:sz w:val="19"/>
          <w:sz-cs w:val="19"/>
          <w:b/>
          <w:color w:val="111111"/>
        </w:rPr>
        <w:t xml:space="preserve">Personal gift message</w:t>
      </w:r>
    </w:p>
    <w:p>
      <w:pPr/>
      <w:r>
        <w:rPr>
          <w:rFonts w:ascii="Times" w:hAnsi="Times" w:cs="Times"/>
          <w:sz w:val="19"/>
          <w:sz-cs w:val="19"/>
          <w:b/>
          <w:color w:val="111111"/>
        </w:rPr>
        <w:t xml:space="preserve">30 days</w:t>
      </w:r>
    </w:p>
    <w:p>
      <w:pPr/>
      <w:r>
        <w:rPr>
          <w:rFonts w:ascii="Times" w:hAnsi="Times" w:cs="Times"/>
          <w:sz w:val="19"/>
          <w:sz-cs w:val="19"/>
          <w:b/>
          <w:color w:val="111111"/>
        </w:rPr>
        <w:t xml:space="preserve">Purge shortly after delivery</w:t>
      </w:r>
    </w:p>
    <w:p>
      <w:pPr/>
      <w:r>
        <w:rPr>
          <w:rFonts w:ascii="Times" w:hAnsi="Times" w:cs="Times"/>
          <w:sz w:val="19"/>
          <w:sz-cs w:val="19"/>
          <w:b/>
          <w:color w:val="111111"/>
        </w:rPr>
        <w:t xml:space="preserve">Provider ratings</w:t>
      </w:r>
    </w:p>
    <w:p>
      <w:pPr/>
      <w:r>
        <w:rPr>
          <w:rFonts w:ascii="Times" w:hAnsi="Times" w:cs="Times"/>
          <w:sz w:val="19"/>
          <w:sz-cs w:val="19"/>
          <w:b/>
          <w:color w:val="111111"/>
        </w:rPr>
        <w:t xml:space="preserve">3 years</w:t>
      </w:r>
    </w:p>
    <w:p>
      <w:pPr/>
      <w:r>
        <w:rPr>
          <w:rFonts w:ascii="Times" w:hAnsi="Times" w:cs="Times"/>
          <w:sz w:val="19"/>
          <w:sz-cs w:val="19"/>
          <w:b/>
          <w:color w:val="111111"/>
        </w:rPr>
        <w:t xml:space="preserve">Fair scoring window</w:t>
      </w:r>
    </w:p>
    <w:p>
      <w:pPr/>
      <w:r>
        <w:rPr>
          <w:rFonts w:ascii="Times" w:hAnsi="Times" w:cs="Times"/>
          <w:sz w:val="19"/>
          <w:sz-cs w:val="19"/>
          <w:b/>
          <w:color w:val="111111"/>
        </w:rPr>
        <w:t xml:space="preserve">Marketing profile</w:t>
      </w:r>
    </w:p>
    <w:p>
      <w:pPr/>
      <w:r>
        <w:rPr>
          <w:rFonts w:ascii="Times" w:hAnsi="Times" w:cs="Times"/>
          <w:sz w:val="19"/>
          <w:sz-cs w:val="19"/>
          <w:b/>
          <w:color w:val="111111"/>
        </w:rPr>
        <w:t xml:space="preserve">2 years</w:t>
      </w:r>
    </w:p>
    <w:p>
      <w:pPr/>
      <w:r>
        <w:rPr>
          <w:rFonts w:ascii="Times" w:hAnsi="Times" w:cs="Times"/>
          <w:sz w:val="19"/>
          <w:sz-cs w:val="19"/>
          <w:b/>
          <w:color w:val="111111"/>
        </w:rPr>
        <w:t xml:space="preserve">Refreshed on re-consent</w:t>
      </w:r>
    </w:p>
    <w:p>
      <w:pPr>
        <w:spacing w:after="120"/>
      </w:pPr>
      <w:r>
        <w:rPr>
          <w:rFonts w:ascii="Times" w:hAnsi="Times" w:cs="Times"/>
          <w:sz w:val="19"/>
          <w:sz-cs w:val="19"/>
          <w:b/>
          <w:color w:val="111111"/>
        </w:rPr>
        <w:t xml:space="preserve"/>
      </w:r>
    </w:p>
    <w:p>
      <w:pPr/>
      <w:r>
        <w:rPr>
          <w:rFonts w:ascii="Times" w:hAnsi="Times" w:cs="Times"/>
          <w:sz w:val="24"/>
          <w:sz-cs w:val="24"/>
        </w:rPr>
        <w:t xml:space="preserve">Transparency panel &amp; data-subject rights</w:t>
      </w:r>
    </w:p>
    <w:p>
      <w:pPr>
        <w:ind w:left="720" w:first-line="-720"/>
        <w:spacing w:after="60"/>
      </w:pPr>
      <w:r>
        <w:rPr>
          <w:rFonts w:ascii="Times" w:hAnsi="Times" w:cs="Times"/>
          <w:sz w:val="22"/>
          <w:sz-cs w:val="22"/>
          <w:color w:val="111111"/>
        </w:rPr>
        <w:t xml:space="preserve"/>
        <w:tab/>
        <w:t xml:space="preserve">•</w:t>
        <w:tab/>
        <w:t xml:space="preserve">A member can view what is held, why, export it, or delete it — surfaced directly in their dashboard.</w:t>
      </w:r>
    </w:p>
    <w:p>
      <w:pPr>
        <w:ind w:left="720" w:first-line="-720"/>
        <w:spacing w:after="60"/>
      </w:pPr>
      <w:r>
        <w:rPr>
          <w:rFonts w:ascii="Times" w:hAnsi="Times" w:cs="Times"/>
          <w:sz w:val="22"/>
          <w:sz-cs w:val="22"/>
          <w:color w:val="111111"/>
        </w:rPr>
        <w:t xml:space="preserve"/>
        <w:tab/>
        <w:t xml:space="preserve">•</w:t>
        <w:tab/>
        <w:t xml:space="preserve">Requests are logged in consent.dsr_request (access, delete, rectify, export, restrict) with status and completion time.</w:t>
      </w:r>
    </w:p>
    <w:p>
      <w:pPr>
        <w:ind w:left="720" w:first-line="-720"/>
        <w:spacing w:after="60"/>
      </w:pPr>
      <w:r>
        <w:rPr>
          <w:rFonts w:ascii="Times" w:hAnsi="Times" w:cs="Times"/>
          <w:sz w:val="22"/>
          <w:sz-cs w:val="22"/>
          <w:color w:val="111111"/>
        </w:rPr>
        <w:t xml:space="preserve"/>
        <w:tab/>
        <w:t xml:space="preserve">•</w:t>
        <w:tab/>
        <w:t xml:space="preserve">A “restrict” or “delete” can be honoured at the bridge: severing identity.subject_map renders that member’s entire event history anonymous at once.</w:t>
      </w:r>
    </w:p>
    <w:p>
      <w:pPr>
        <w:spacing w:after="160"/>
      </w:pPr>
      <w:r>
        <w:rPr>
          <w:rFonts w:ascii="Times" w:hAnsi="Times" w:cs="Times"/>
          <w:sz w:val="22"/>
          <w:sz-cs w:val="22"/>
          <w:color w:val="111111"/>
        </w:rPr>
        <w:t xml:space="preserve"/>
      </w:r>
    </w:p>
    <w:p>
      <w:pPr/>
      <w:r>
        <w:rPr>
          <w:rFonts w:ascii="Times" w:hAnsi="Times" w:cs="Times"/>
          <w:sz w:val="24"/>
          <w:sz-cs w:val="24"/>
        </w:rPr>
        <w:t xml:space="preserve">7 · Member value — the wash story</w:t>
      </w:r>
    </w:p>
    <w:p>
      <w:pPr>
        <w:spacing w:after="120"/>
      </w:pPr>
      <w:r>
        <w:rPr>
          <w:rFonts w:ascii="Times" w:hAnsi="Times" w:cs="Times"/>
          <w:sz w:val="22"/>
          <w:sz-cs w:val="22"/>
          <w:color w:val="111111"/>
        </w:rPr>
        <w:t xml:space="preserve">This is the visible half of the exchange, and the reason consent is freely given. Built from analytics.member_wash_story, each member sees a quietly premium dashboard for their pet: total washes, washes this year, favourite station and bay, last wash, average duration, and a coat-specific care note. Once a year it becomes a tasteful “year in review”. None of it is sold; all of it is exportable and deletable. The data collection feels like a feature because it is one.</w:t>
      </w:r>
    </w:p>
    <w:p>
      <w:pPr>
        <w:spacing w:after="160"/>
      </w:pPr>
      <w:r>
        <w:rPr>
          <w:rFonts w:ascii="Times" w:hAnsi="Times" w:cs="Times"/>
          <w:sz w:val="22"/>
          <w:sz-cs w:val="22"/>
          <w:color w:val="111111"/>
        </w:rPr>
        <w:t xml:space="preserve"/>
      </w:r>
    </w:p>
    <w:p>
      <w:pPr/>
      <w:r>
        <w:rPr>
          <w:rFonts w:ascii="Times" w:hAnsi="Times" w:cs="Times"/>
          <w:sz w:val="24"/>
          <w:sz-cs w:val="24"/>
        </w:rPr>
        <w:t xml:space="preserve">8 · Suggested build sequence</w:t>
      </w:r>
    </w:p>
    <w:p>
      <w:pPr>
        <w:ind w:left="720" w:first-line="-720"/>
        <w:spacing w:after="60"/>
      </w:pPr>
      <w:r>
        <w:rPr>
          <w:rFonts w:ascii="Times" w:hAnsi="Times" w:cs="Times"/>
          <w:sz w:val="22"/>
          <w:sz-cs w:val="22"/>
          <w:color w:val="111111"/>
        </w:rPr>
        <w:t xml:space="preserve"/>
        <w:tab/>
        <w:t xml:space="preserve">•</w:t>
        <w:tab/>
        <w:t xml:space="preserve">Phase 1 — Foundations: identity vault, core operational tables, station tap-in, consent records. Capture cleanly before analysing.</w:t>
      </w:r>
    </w:p>
    <w:p>
      <w:pPr>
        <w:ind w:left="720" w:first-line="-720"/>
        <w:spacing w:after="60"/>
      </w:pPr>
      <w:r>
        <w:rPr>
          <w:rFonts w:ascii="Times" w:hAnsi="Times" w:cs="Times"/>
          <w:sz w:val="22"/>
          <w:sz-cs w:val="22"/>
          <w:color w:val="111111"/>
        </w:rPr>
        <w:t xml:space="preserve"/>
        <w:tab/>
        <w:t xml:space="preserve">•</w:t>
        <w:tab/>
        <w:t xml:space="preserve">Phase 2 — Behavioural stream: app/web event pipeline, pseudonymous subject mapping, retention purge job.</w:t>
      </w:r>
    </w:p>
    <w:p>
      <w:pPr>
        <w:ind w:left="720" w:first-line="-720"/>
        <w:spacing w:after="60"/>
      </w:pPr>
      <w:r>
        <w:rPr>
          <w:rFonts w:ascii="Times" w:hAnsi="Times" w:cs="Times"/>
          <w:sz w:val="22"/>
          <w:sz-cs w:val="22"/>
          <w:color w:val="111111"/>
        </w:rPr>
        <w:t xml:space="preserve"/>
        <w:tab/>
        <w:t xml:space="preserve">•</w:t>
        <w:tab/>
        <w:t xml:space="preserve">Phase 3 — Intelligence: analytics materialised views, station load and content attention, the member wash story.</w:t>
      </w:r>
    </w:p>
    <w:p>
      <w:pPr>
        <w:ind w:left="720" w:first-line="-720"/>
        <w:spacing w:after="60"/>
      </w:pPr>
      <w:r>
        <w:rPr>
          <w:rFonts w:ascii="Times" w:hAnsi="Times" w:cs="Times"/>
          <w:sz w:val="22"/>
          <w:sz-cs w:val="22"/>
          <w:color w:val="111111"/>
        </w:rPr>
        <w:t xml:space="preserve"/>
        <w:tab/>
        <w:t xml:space="preserve">•</w:t>
        <w:tab/>
        <w:t xml:space="preserve">Phase 4 — Provider monitoring: availability heartbeat, health model, case ladder and ops dashboard.</w:t>
      </w:r>
    </w:p>
    <w:p>
      <w:pPr>
        <w:ind w:left="720" w:first-line="-720"/>
        <w:spacing w:after="60"/>
      </w:pPr>
      <w:r>
        <w:rPr>
          <w:rFonts w:ascii="Times" w:hAnsi="Times" w:cs="Times"/>
          <w:sz w:val="22"/>
          <w:sz-cs w:val="22"/>
          <w:color w:val="111111"/>
        </w:rPr>
        <w:t xml:space="preserve"/>
        <w:tab/>
        <w:t xml:space="preserve">•</w:t>
        <w:tab/>
        <w:t xml:space="preserve">Phase 5 — Transparency: member data panel, export and delete, DSR workflow.</w:t>
      </w:r>
    </w:p>
    <w:p>
      <w:pPr>
        <w:spacing w:before="240"/>
      </w:pPr>
      <w:r>
        <w:rPr>
          <w:rFonts w:ascii="Times" w:hAnsi="Times" w:cs="Times"/>
          <w:sz w:val="22"/>
          <w:sz-cs w:val="22"/>
          <w:i/>
          <w:color w:val="6B675E"/>
        </w:rPr>
        <w:t xml:space="preserve">Every phase ships behind a flag with a rollback path. Production-safe, reversible, documented.</w:t>
      </w:r>
    </w:p>
    <w:p>
      <w:pPr>
        <w:spacing w:after="160"/>
      </w:pPr>
      <w:r>
        <w:rPr>
          <w:rFonts w:ascii="Times" w:hAnsi="Times" w:cs="Times"/>
          <w:sz w:val="22"/>
          <w:sz-cs w:val="22"/>
          <w:i/>
          <w:color w:val="6B675E"/>
        </w:rPr>
        <w:t xml:space="preserve"/>
      </w:r>
    </w:p>
    <w:p>
      <w:pPr/>
      <w:r>
        <w:rPr>
          <w:rFonts w:ascii="Times" w:hAnsi="Times" w:cs="Times"/>
          <w:sz w:val="24"/>
          <w:sz-cs w:val="24"/>
        </w:rPr>
        <w:t xml:space="preserve">Compliance note</w:t>
      </w:r>
    </w:p>
    <w:p>
      <w:pPr>
        <w:spacing w:after="120"/>
      </w:pPr>
      <w:r>
        <w:rPr>
          <w:rFonts w:ascii="Times" w:hAnsi="Times" w:cs="Times"/>
          <w:sz w:val="22"/>
          <w:sz-cs w:val="22"/>
          <w:color w:val="111111"/>
        </w:rPr>
        <w:t xml:space="preserve">This architecture is designed to support compliance with Israel’s Privacy Protection Law and, for EU users, the GDPR — through data minimisation, pseudonymisation, purpose limitation, consent, retention limits and data-subject rights. It is not legal advice. The lawful-basis and retention values here are indicative starting points; confirm the exact obligations against the official regulator texts and qualified counsel before production. No figures, savings or legal claims in this document should be treated as determinations of fact.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PetWash Prestige — Data &amp; Intelligence Architecture</dc:title>
  <dc:creator>PetWash Prestige</dc:creator>
</cp:coreProperties>
</file>

<file path=docProps/meta.xml><?xml version="1.0" encoding="utf-8"?>
<meta xmlns="http://schemas.apple.com/cocoa/2006/metadata">
  <generator>CocoaOOXMLWriter/2685.4</generator>
</meta>
</file>