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E5EF9" w14:textId="3703565B" w:rsidR="00843AD5" w:rsidRDefault="000F1B87" w:rsidP="000F1B87">
      <w:pPr>
        <w:spacing w:line="360" w:lineRule="auto"/>
        <w:jc w:val="center"/>
        <w:rPr>
          <w:rFonts w:ascii="Times New Roman" w:hAnsi="Times New Roman"/>
          <w:b/>
          <w:bCs/>
          <w:sz w:val="32"/>
          <w:szCs w:val="36"/>
          <w:lang w:val="en-US"/>
        </w:rPr>
      </w:pPr>
      <w:r>
        <w:rPr>
          <w:rFonts w:ascii="Times New Roman" w:hAnsi="Times New Roman"/>
          <w:b/>
          <w:bCs/>
          <w:sz w:val="32"/>
          <w:szCs w:val="36"/>
          <w:lang w:val="en-US"/>
        </w:rPr>
        <w:t>Literature Review</w:t>
      </w:r>
    </w:p>
    <w:p w14:paraId="013418F9" w14:textId="7B84CBE1" w:rsidR="000F1B87" w:rsidRDefault="000F1B87" w:rsidP="000F1B87">
      <w:pPr>
        <w:spacing w:line="360" w:lineRule="auto"/>
        <w:jc w:val="center"/>
        <w:rPr>
          <w:rFonts w:ascii="Times New Roman" w:hAnsi="Times New Roman"/>
          <w:i/>
          <w:iCs/>
          <w:sz w:val="22"/>
          <w:szCs w:val="24"/>
          <w:lang w:val="en-US"/>
        </w:rPr>
      </w:pPr>
      <w:r>
        <w:rPr>
          <w:rFonts w:ascii="Times New Roman" w:hAnsi="Times New Roman"/>
          <w:i/>
          <w:iCs/>
          <w:sz w:val="22"/>
          <w:szCs w:val="24"/>
          <w:lang w:val="en-US"/>
        </w:rPr>
        <w:t>Petar Borisov 12431273</w:t>
      </w:r>
    </w:p>
    <w:p w14:paraId="154B7352" w14:textId="7B97CCF0" w:rsidR="000F1B87" w:rsidRDefault="000F1B87" w:rsidP="000F1B87">
      <w:pPr>
        <w:spacing w:line="360" w:lineRule="auto"/>
        <w:jc w:val="center"/>
        <w:rPr>
          <w:rFonts w:ascii="Times New Roman" w:hAnsi="Times New Roman"/>
          <w:i/>
          <w:iCs/>
          <w:sz w:val="22"/>
          <w:szCs w:val="24"/>
          <w:lang w:val="en-US"/>
        </w:rPr>
      </w:pPr>
      <w:r>
        <w:rPr>
          <w:rFonts w:ascii="Times New Roman" w:hAnsi="Times New Roman"/>
          <w:i/>
          <w:iCs/>
          <w:sz w:val="22"/>
          <w:szCs w:val="24"/>
          <w:lang w:val="en-US"/>
        </w:rPr>
        <w:t>Supervisor Gertraud Malsiner-Wall</w:t>
      </w:r>
      <w:r w:rsidR="00AE51AF">
        <w:rPr>
          <w:rFonts w:ascii="Times New Roman" w:hAnsi="Times New Roman"/>
          <w:i/>
          <w:iCs/>
          <w:sz w:val="22"/>
          <w:szCs w:val="24"/>
          <w:lang w:val="en-US"/>
        </w:rPr>
        <w:t>i</w:t>
      </w:r>
    </w:p>
    <w:p w14:paraId="0FD0BB49" w14:textId="77777777" w:rsidR="00AE51AF" w:rsidRDefault="00AE51AF" w:rsidP="000F1B87">
      <w:pPr>
        <w:spacing w:line="360" w:lineRule="auto"/>
        <w:jc w:val="center"/>
        <w:rPr>
          <w:rFonts w:ascii="Times New Roman" w:hAnsi="Times New Roman"/>
          <w:i/>
          <w:iCs/>
          <w:sz w:val="22"/>
          <w:szCs w:val="24"/>
          <w:lang w:val="en-US"/>
        </w:rPr>
      </w:pPr>
    </w:p>
    <w:p w14:paraId="00CD1CB7" w14:textId="77777777" w:rsidR="00AE51AF" w:rsidRDefault="00AE51AF" w:rsidP="00AE51AF">
      <w:pPr>
        <w:spacing w:line="360" w:lineRule="auto"/>
        <w:rPr>
          <w:rFonts w:ascii="Times New Roman" w:hAnsi="Times New Roman"/>
          <w:sz w:val="22"/>
          <w:szCs w:val="24"/>
          <w:lang w:val="en-US"/>
        </w:rPr>
      </w:pPr>
    </w:p>
    <w:p w14:paraId="03642BBF" w14:textId="4E7C8016" w:rsidR="002F1461" w:rsidRDefault="002F1461" w:rsidP="00AE51AF">
      <w:pPr>
        <w:spacing w:line="360" w:lineRule="auto"/>
        <w:rPr>
          <w:rFonts w:ascii="Times New Roman" w:hAnsi="Times New Roman"/>
          <w:sz w:val="22"/>
          <w:szCs w:val="24"/>
          <w:lang w:val="en-US"/>
        </w:rPr>
      </w:pPr>
      <w:r>
        <w:rPr>
          <w:rFonts w:ascii="Times New Roman" w:hAnsi="Times New Roman"/>
          <w:sz w:val="22"/>
          <w:szCs w:val="24"/>
          <w:lang w:val="en-US"/>
        </w:rPr>
        <w:tab/>
      </w:r>
      <w:r w:rsidR="00FA1801">
        <w:rPr>
          <w:rFonts w:ascii="Times New Roman" w:hAnsi="Times New Roman"/>
          <w:sz w:val="22"/>
          <w:szCs w:val="24"/>
          <w:lang w:val="en-US"/>
        </w:rPr>
        <w:t xml:space="preserve">When it comes to </w:t>
      </w:r>
      <w:r w:rsidR="00171222">
        <w:rPr>
          <w:rFonts w:ascii="Times New Roman" w:hAnsi="Times New Roman"/>
          <w:sz w:val="22"/>
          <w:szCs w:val="24"/>
          <w:lang w:val="en-US"/>
        </w:rPr>
        <w:t>stocks</w:t>
      </w:r>
      <w:r w:rsidR="00FA1801">
        <w:rPr>
          <w:rFonts w:ascii="Times New Roman" w:hAnsi="Times New Roman"/>
          <w:sz w:val="22"/>
          <w:szCs w:val="24"/>
          <w:lang w:val="en-US"/>
        </w:rPr>
        <w:t>, no other event</w:t>
      </w:r>
      <w:r w:rsidR="0002413E">
        <w:rPr>
          <w:rFonts w:ascii="Times New Roman" w:hAnsi="Times New Roman"/>
          <w:sz w:val="22"/>
          <w:szCs w:val="24"/>
          <w:lang w:val="en-US"/>
        </w:rPr>
        <w:t xml:space="preserve"> </w:t>
      </w:r>
      <w:r w:rsidR="00B92569">
        <w:rPr>
          <w:rFonts w:ascii="Times New Roman" w:hAnsi="Times New Roman"/>
          <w:sz w:val="22"/>
          <w:szCs w:val="24"/>
          <w:lang w:val="en-US"/>
        </w:rPr>
        <w:t>comes close to the amount of</w:t>
      </w:r>
      <w:r w:rsidR="0002413E">
        <w:rPr>
          <w:rFonts w:ascii="Times New Roman" w:hAnsi="Times New Roman"/>
          <w:sz w:val="22"/>
          <w:szCs w:val="24"/>
          <w:lang w:val="en-US"/>
        </w:rPr>
        <w:t xml:space="preserve"> </w:t>
      </w:r>
      <w:r w:rsidR="00E13EE5">
        <w:rPr>
          <w:rFonts w:ascii="Times New Roman" w:hAnsi="Times New Roman"/>
          <w:sz w:val="22"/>
          <w:szCs w:val="24"/>
          <w:lang w:val="en-US"/>
        </w:rPr>
        <w:t xml:space="preserve">firm-specific </w:t>
      </w:r>
      <w:r w:rsidR="0002413E">
        <w:rPr>
          <w:rFonts w:ascii="Times New Roman" w:hAnsi="Times New Roman"/>
          <w:sz w:val="22"/>
          <w:szCs w:val="24"/>
          <w:lang w:val="en-US"/>
        </w:rPr>
        <w:t>information and uncertainty tha</w:t>
      </w:r>
      <w:r w:rsidR="00F73207">
        <w:rPr>
          <w:rFonts w:ascii="Times New Roman" w:hAnsi="Times New Roman"/>
          <w:sz w:val="22"/>
          <w:szCs w:val="24"/>
          <w:lang w:val="en-US"/>
        </w:rPr>
        <w:t>t</w:t>
      </w:r>
      <w:r w:rsidR="00FD061B">
        <w:rPr>
          <w:rFonts w:ascii="Times New Roman" w:hAnsi="Times New Roman"/>
          <w:sz w:val="22"/>
          <w:szCs w:val="24"/>
          <w:lang w:val="en-US"/>
        </w:rPr>
        <w:t xml:space="preserve"> the Quarterly Earnings Announcement</w:t>
      </w:r>
      <w:r w:rsidR="00F73207">
        <w:rPr>
          <w:rFonts w:ascii="Times New Roman" w:hAnsi="Times New Roman"/>
          <w:sz w:val="22"/>
          <w:szCs w:val="24"/>
          <w:lang w:val="en-US"/>
        </w:rPr>
        <w:t xml:space="preserve"> generates</w:t>
      </w:r>
      <w:r w:rsidR="00FD061B">
        <w:rPr>
          <w:rFonts w:ascii="Times New Roman" w:hAnsi="Times New Roman"/>
          <w:sz w:val="22"/>
          <w:szCs w:val="24"/>
          <w:lang w:val="en-US"/>
        </w:rPr>
        <w:t xml:space="preserve">. </w:t>
      </w:r>
      <w:r w:rsidR="007E0B68">
        <w:rPr>
          <w:rFonts w:ascii="Times New Roman" w:hAnsi="Times New Roman"/>
          <w:sz w:val="22"/>
          <w:szCs w:val="24"/>
          <w:lang w:val="en-US"/>
        </w:rPr>
        <w:t xml:space="preserve">Academic research on </w:t>
      </w:r>
      <w:r w:rsidR="009C7A61">
        <w:rPr>
          <w:rFonts w:ascii="Times New Roman" w:hAnsi="Times New Roman"/>
          <w:sz w:val="22"/>
          <w:szCs w:val="24"/>
          <w:lang w:val="en-US"/>
        </w:rPr>
        <w:t xml:space="preserve">returns surrounding </w:t>
      </w:r>
      <w:r w:rsidR="007E0B68">
        <w:rPr>
          <w:rFonts w:ascii="Times New Roman" w:hAnsi="Times New Roman"/>
          <w:sz w:val="22"/>
          <w:szCs w:val="24"/>
          <w:lang w:val="en-US"/>
        </w:rPr>
        <w:t>Earnings Events is br</w:t>
      </w:r>
      <w:r w:rsidR="00A21BE9">
        <w:rPr>
          <w:rFonts w:ascii="Times New Roman" w:hAnsi="Times New Roman"/>
          <w:sz w:val="22"/>
          <w:szCs w:val="24"/>
          <w:lang w:val="en-US"/>
        </w:rPr>
        <w:t>oad</w:t>
      </w:r>
      <w:r w:rsidR="005B641F">
        <w:rPr>
          <w:rFonts w:ascii="Times New Roman" w:hAnsi="Times New Roman"/>
          <w:sz w:val="22"/>
          <w:szCs w:val="24"/>
          <w:lang w:val="en-US"/>
        </w:rPr>
        <w:t xml:space="preserve"> and well-documented. Larmon &amp; F</w:t>
      </w:r>
      <w:r w:rsidR="008D510F">
        <w:rPr>
          <w:rFonts w:ascii="Times New Roman" w:hAnsi="Times New Roman"/>
          <w:sz w:val="22"/>
          <w:szCs w:val="24"/>
          <w:lang w:val="en-US"/>
        </w:rPr>
        <w:t xml:space="preserve">razzini (2007) </w:t>
      </w:r>
      <w:r w:rsidR="00BD221E">
        <w:rPr>
          <w:rFonts w:ascii="Times New Roman" w:hAnsi="Times New Roman"/>
          <w:sz w:val="22"/>
          <w:szCs w:val="24"/>
          <w:lang w:val="en-US"/>
        </w:rPr>
        <w:t xml:space="preserve">for example, </w:t>
      </w:r>
      <w:r w:rsidR="008D510F">
        <w:rPr>
          <w:rFonts w:ascii="Times New Roman" w:hAnsi="Times New Roman"/>
          <w:sz w:val="22"/>
          <w:szCs w:val="24"/>
          <w:lang w:val="en-US"/>
        </w:rPr>
        <w:t>document a sizable earnings announcement premium</w:t>
      </w:r>
      <w:r w:rsidR="00440AB8">
        <w:rPr>
          <w:rFonts w:ascii="Times New Roman" w:hAnsi="Times New Roman"/>
          <w:sz w:val="22"/>
          <w:szCs w:val="24"/>
          <w:lang w:val="en-US"/>
        </w:rPr>
        <w:t>, where around 60% of</w:t>
      </w:r>
      <w:r w:rsidR="009C7A61">
        <w:rPr>
          <w:rFonts w:ascii="Times New Roman" w:hAnsi="Times New Roman"/>
          <w:sz w:val="22"/>
          <w:szCs w:val="24"/>
          <w:lang w:val="en-US"/>
        </w:rPr>
        <w:t xml:space="preserve"> </w:t>
      </w:r>
      <w:r w:rsidR="00BD551A">
        <w:rPr>
          <w:rFonts w:ascii="Times New Roman" w:hAnsi="Times New Roman"/>
          <w:sz w:val="22"/>
          <w:szCs w:val="24"/>
          <w:lang w:val="en-US"/>
        </w:rPr>
        <w:t xml:space="preserve">a typical stock’s annual return can be </w:t>
      </w:r>
      <w:r w:rsidR="004D637A">
        <w:rPr>
          <w:rFonts w:ascii="Times New Roman" w:hAnsi="Times New Roman"/>
          <w:sz w:val="22"/>
          <w:szCs w:val="24"/>
          <w:lang w:val="en-US"/>
        </w:rPr>
        <w:t>captured</w:t>
      </w:r>
      <w:r w:rsidR="00BD551A">
        <w:rPr>
          <w:rFonts w:ascii="Times New Roman" w:hAnsi="Times New Roman"/>
          <w:sz w:val="22"/>
          <w:szCs w:val="24"/>
          <w:lang w:val="en-US"/>
        </w:rPr>
        <w:t xml:space="preserve"> by trading</w:t>
      </w:r>
      <w:r w:rsidR="00164290">
        <w:rPr>
          <w:rFonts w:ascii="Times New Roman" w:hAnsi="Times New Roman"/>
          <w:sz w:val="22"/>
          <w:szCs w:val="24"/>
          <w:lang w:val="en-US"/>
        </w:rPr>
        <w:t xml:space="preserve"> </w:t>
      </w:r>
      <w:r w:rsidR="0094233F">
        <w:rPr>
          <w:rFonts w:ascii="Times New Roman" w:hAnsi="Times New Roman"/>
          <w:sz w:val="22"/>
          <w:szCs w:val="24"/>
          <w:lang w:val="en-US"/>
        </w:rPr>
        <w:t>the</w:t>
      </w:r>
      <w:r w:rsidR="00574461">
        <w:rPr>
          <w:rFonts w:ascii="Times New Roman" w:hAnsi="Times New Roman"/>
          <w:sz w:val="22"/>
          <w:szCs w:val="24"/>
          <w:lang w:val="en-US"/>
        </w:rPr>
        <w:t xml:space="preserve"> t = -3 to t= 3 </w:t>
      </w:r>
      <w:r w:rsidR="0094233F">
        <w:rPr>
          <w:rFonts w:ascii="Times New Roman" w:hAnsi="Times New Roman"/>
          <w:sz w:val="22"/>
          <w:szCs w:val="24"/>
          <w:lang w:val="en-US"/>
        </w:rPr>
        <w:t xml:space="preserve">event window </w:t>
      </w:r>
      <w:r w:rsidR="00574461">
        <w:rPr>
          <w:rFonts w:ascii="Times New Roman" w:hAnsi="Times New Roman"/>
          <w:sz w:val="22"/>
          <w:szCs w:val="24"/>
          <w:lang w:val="en-US"/>
        </w:rPr>
        <w:t>(t = 0 is the Earnings Announcement Day)</w:t>
      </w:r>
      <w:r w:rsidR="00F449A4">
        <w:rPr>
          <w:rFonts w:ascii="Times New Roman" w:hAnsi="Times New Roman"/>
          <w:sz w:val="22"/>
          <w:szCs w:val="24"/>
          <w:lang w:val="en-US"/>
        </w:rPr>
        <w:t xml:space="preserve">. Additionally, </w:t>
      </w:r>
      <w:r w:rsidR="005A79B3">
        <w:rPr>
          <w:rFonts w:ascii="Times New Roman" w:hAnsi="Times New Roman"/>
          <w:sz w:val="22"/>
          <w:szCs w:val="24"/>
          <w:lang w:val="en-US"/>
        </w:rPr>
        <w:t>Savor &amp; Wilson (2016)</w:t>
      </w:r>
      <w:r w:rsidR="003124C4">
        <w:rPr>
          <w:rFonts w:ascii="Times New Roman" w:hAnsi="Times New Roman"/>
          <w:sz w:val="22"/>
          <w:szCs w:val="24"/>
          <w:lang w:val="en-US"/>
        </w:rPr>
        <w:t xml:space="preserve"> show that the </w:t>
      </w:r>
      <w:r w:rsidR="0091696F">
        <w:rPr>
          <w:rFonts w:ascii="Times New Roman" w:hAnsi="Times New Roman"/>
          <w:sz w:val="22"/>
          <w:szCs w:val="24"/>
          <w:lang w:val="en-US"/>
        </w:rPr>
        <w:t xml:space="preserve">US </w:t>
      </w:r>
      <w:r w:rsidR="003124C4">
        <w:rPr>
          <w:rFonts w:ascii="Times New Roman" w:hAnsi="Times New Roman"/>
          <w:sz w:val="22"/>
          <w:szCs w:val="24"/>
          <w:lang w:val="en-US"/>
        </w:rPr>
        <w:t xml:space="preserve">equity risk premium all but disappears </w:t>
      </w:r>
      <w:r w:rsidR="00CA0B80">
        <w:rPr>
          <w:rFonts w:ascii="Times New Roman" w:hAnsi="Times New Roman"/>
          <w:sz w:val="22"/>
          <w:szCs w:val="24"/>
          <w:lang w:val="en-US"/>
        </w:rPr>
        <w:t xml:space="preserve">if returns around </w:t>
      </w:r>
      <w:r w:rsidR="001853D4">
        <w:rPr>
          <w:rFonts w:ascii="Times New Roman" w:hAnsi="Times New Roman"/>
          <w:sz w:val="22"/>
          <w:szCs w:val="24"/>
          <w:lang w:val="en-US"/>
        </w:rPr>
        <w:t>EA windows are excluded</w:t>
      </w:r>
      <w:r w:rsidR="0091696F">
        <w:rPr>
          <w:rFonts w:ascii="Times New Roman" w:hAnsi="Times New Roman"/>
          <w:sz w:val="22"/>
          <w:szCs w:val="24"/>
          <w:lang w:val="en-US"/>
        </w:rPr>
        <w:t xml:space="preserve">. </w:t>
      </w:r>
      <w:r w:rsidR="005C10EE">
        <w:rPr>
          <w:rFonts w:ascii="Times New Roman" w:hAnsi="Times New Roman"/>
          <w:sz w:val="22"/>
          <w:szCs w:val="24"/>
          <w:lang w:val="en-US"/>
        </w:rPr>
        <w:t xml:space="preserve">Similarly, Barber et al (2012) </w:t>
      </w:r>
      <w:r w:rsidR="00F006E4">
        <w:rPr>
          <w:rFonts w:ascii="Times New Roman" w:hAnsi="Times New Roman"/>
          <w:sz w:val="22"/>
          <w:szCs w:val="24"/>
          <w:lang w:val="en-US"/>
        </w:rPr>
        <w:t>corroborate those findings</w:t>
      </w:r>
      <w:r w:rsidR="005C10EE">
        <w:rPr>
          <w:rFonts w:ascii="Times New Roman" w:hAnsi="Times New Roman"/>
          <w:sz w:val="22"/>
          <w:szCs w:val="24"/>
          <w:lang w:val="en-US"/>
        </w:rPr>
        <w:t xml:space="preserve"> </w:t>
      </w:r>
      <w:r w:rsidR="0081603A">
        <w:rPr>
          <w:rFonts w:ascii="Times New Roman" w:hAnsi="Times New Roman"/>
          <w:sz w:val="22"/>
          <w:szCs w:val="24"/>
          <w:lang w:val="en-US"/>
        </w:rPr>
        <w:t xml:space="preserve">by verifying a similar phenomenon in </w:t>
      </w:r>
      <w:r w:rsidR="001A3704">
        <w:rPr>
          <w:rFonts w:ascii="Times New Roman" w:hAnsi="Times New Roman"/>
          <w:sz w:val="22"/>
          <w:szCs w:val="24"/>
          <w:lang w:val="en-US"/>
        </w:rPr>
        <w:t>a</w:t>
      </w:r>
      <w:r w:rsidR="0081603A">
        <w:rPr>
          <w:rFonts w:ascii="Times New Roman" w:hAnsi="Times New Roman"/>
          <w:sz w:val="22"/>
          <w:szCs w:val="24"/>
          <w:lang w:val="en-US"/>
        </w:rPr>
        <w:t xml:space="preserve"> cross section of </w:t>
      </w:r>
      <w:r w:rsidR="00C915F1">
        <w:rPr>
          <w:rFonts w:ascii="Times New Roman" w:hAnsi="Times New Roman"/>
          <w:sz w:val="22"/>
          <w:szCs w:val="24"/>
          <w:lang w:val="en-US"/>
        </w:rPr>
        <w:t>200 000</w:t>
      </w:r>
      <w:r w:rsidR="004A279F">
        <w:rPr>
          <w:rFonts w:ascii="Times New Roman" w:hAnsi="Times New Roman"/>
          <w:sz w:val="22"/>
          <w:szCs w:val="24"/>
          <w:lang w:val="en-US"/>
        </w:rPr>
        <w:t xml:space="preserve"> </w:t>
      </w:r>
      <w:r w:rsidR="001B6A80">
        <w:rPr>
          <w:rFonts w:ascii="Times New Roman" w:hAnsi="Times New Roman"/>
          <w:sz w:val="22"/>
          <w:szCs w:val="24"/>
          <w:lang w:val="en-US"/>
        </w:rPr>
        <w:t>announcements</w:t>
      </w:r>
      <w:r w:rsidR="00C915F1">
        <w:rPr>
          <w:rFonts w:ascii="Times New Roman" w:hAnsi="Times New Roman"/>
          <w:sz w:val="22"/>
          <w:szCs w:val="24"/>
          <w:lang w:val="en-US"/>
        </w:rPr>
        <w:t xml:space="preserve"> in </w:t>
      </w:r>
      <w:r w:rsidR="001A3704">
        <w:rPr>
          <w:rFonts w:ascii="Times New Roman" w:hAnsi="Times New Roman"/>
          <w:sz w:val="22"/>
          <w:szCs w:val="24"/>
          <w:lang w:val="en-US"/>
        </w:rPr>
        <w:t xml:space="preserve">20 </w:t>
      </w:r>
      <w:r w:rsidR="0081603A">
        <w:rPr>
          <w:rFonts w:ascii="Times New Roman" w:hAnsi="Times New Roman"/>
          <w:sz w:val="22"/>
          <w:szCs w:val="24"/>
          <w:lang w:val="en-US"/>
        </w:rPr>
        <w:t xml:space="preserve">different </w:t>
      </w:r>
      <w:r w:rsidR="001E280C">
        <w:rPr>
          <w:rFonts w:ascii="Times New Roman" w:hAnsi="Times New Roman"/>
          <w:sz w:val="22"/>
          <w:szCs w:val="24"/>
          <w:lang w:val="en-US"/>
        </w:rPr>
        <w:t>countr</w:t>
      </w:r>
      <w:r w:rsidR="001A3704">
        <w:rPr>
          <w:rFonts w:ascii="Times New Roman" w:hAnsi="Times New Roman"/>
          <w:sz w:val="22"/>
          <w:szCs w:val="24"/>
          <w:lang w:val="en-US"/>
        </w:rPr>
        <w:t xml:space="preserve">ies all over the globe. </w:t>
      </w:r>
      <w:r w:rsidR="009558FF">
        <w:rPr>
          <w:rFonts w:ascii="Times New Roman" w:hAnsi="Times New Roman"/>
          <w:sz w:val="22"/>
          <w:szCs w:val="24"/>
          <w:lang w:val="en-US"/>
        </w:rPr>
        <w:t xml:space="preserve">Therefore, Earnings Announcements (EAs) </w:t>
      </w:r>
      <w:r w:rsidR="007256AC">
        <w:rPr>
          <w:rFonts w:ascii="Times New Roman" w:hAnsi="Times New Roman"/>
          <w:sz w:val="22"/>
          <w:szCs w:val="24"/>
          <w:lang w:val="en-US"/>
        </w:rPr>
        <w:t>are an economically important event that also has real financial consequences for investors</w:t>
      </w:r>
      <w:r w:rsidR="00C65E59">
        <w:rPr>
          <w:rFonts w:ascii="Times New Roman" w:hAnsi="Times New Roman"/>
          <w:sz w:val="22"/>
          <w:szCs w:val="24"/>
          <w:lang w:val="en-US"/>
        </w:rPr>
        <w:t>.</w:t>
      </w:r>
    </w:p>
    <w:p w14:paraId="6AFC8EB4" w14:textId="2563B77C" w:rsidR="00CA4082" w:rsidRDefault="00CA4082" w:rsidP="00AE51AF">
      <w:pPr>
        <w:spacing w:line="360" w:lineRule="auto"/>
        <w:rPr>
          <w:rFonts w:ascii="Times New Roman" w:hAnsi="Times New Roman"/>
          <w:sz w:val="22"/>
          <w:szCs w:val="24"/>
          <w:lang w:val="en-US"/>
        </w:rPr>
      </w:pPr>
      <w:r>
        <w:rPr>
          <w:rFonts w:ascii="Times New Roman" w:hAnsi="Times New Roman"/>
          <w:sz w:val="22"/>
          <w:szCs w:val="24"/>
          <w:lang w:val="en-US"/>
        </w:rPr>
        <w:tab/>
        <w:t>However, this thesis is not about verifying the economic significance of EAs but rather trading them</w:t>
      </w:r>
      <w:r w:rsidR="00892F69">
        <w:rPr>
          <w:rFonts w:ascii="Times New Roman" w:hAnsi="Times New Roman"/>
          <w:sz w:val="22"/>
          <w:szCs w:val="24"/>
          <w:lang w:val="en-US"/>
        </w:rPr>
        <w:t xml:space="preserve"> and forecasting their magnitude</w:t>
      </w:r>
      <w:r>
        <w:rPr>
          <w:rFonts w:ascii="Times New Roman" w:hAnsi="Times New Roman"/>
          <w:sz w:val="22"/>
          <w:szCs w:val="24"/>
          <w:lang w:val="en-US"/>
        </w:rPr>
        <w:t xml:space="preserve">. Hence, the rest of the literature review will focus on </w:t>
      </w:r>
      <w:r w:rsidR="00925DFA">
        <w:rPr>
          <w:rFonts w:ascii="Times New Roman" w:hAnsi="Times New Roman"/>
          <w:sz w:val="22"/>
          <w:szCs w:val="24"/>
          <w:lang w:val="en-US"/>
        </w:rPr>
        <w:t xml:space="preserve">a rather </w:t>
      </w:r>
      <w:r w:rsidR="002B72A4">
        <w:rPr>
          <w:rFonts w:ascii="Times New Roman" w:hAnsi="Times New Roman"/>
          <w:sz w:val="22"/>
          <w:szCs w:val="24"/>
          <w:lang w:val="en-US"/>
        </w:rPr>
        <w:t>niche</w:t>
      </w:r>
      <w:r w:rsidR="00925DFA">
        <w:rPr>
          <w:rFonts w:ascii="Times New Roman" w:hAnsi="Times New Roman"/>
          <w:sz w:val="22"/>
          <w:szCs w:val="24"/>
          <w:lang w:val="en-US"/>
        </w:rPr>
        <w:t xml:space="preserve"> topic – Options and how Option market dynamics relate to Earnings Announcements (EAs)</w:t>
      </w:r>
      <w:r w:rsidR="00805A13">
        <w:rPr>
          <w:rFonts w:ascii="Times New Roman" w:hAnsi="Times New Roman"/>
          <w:sz w:val="22"/>
          <w:szCs w:val="24"/>
          <w:lang w:val="en-US"/>
        </w:rPr>
        <w:t>.</w:t>
      </w:r>
      <w:r w:rsidR="00D96530">
        <w:rPr>
          <w:rFonts w:ascii="Times New Roman" w:hAnsi="Times New Roman"/>
          <w:sz w:val="22"/>
          <w:szCs w:val="24"/>
          <w:lang w:val="en-US"/>
        </w:rPr>
        <w:t xml:space="preserve"> </w:t>
      </w:r>
    </w:p>
    <w:p w14:paraId="64E58BE2" w14:textId="618F9801" w:rsidR="003D580A" w:rsidRDefault="003D580A" w:rsidP="00AE51AF">
      <w:pPr>
        <w:spacing w:line="360" w:lineRule="auto"/>
        <w:rPr>
          <w:rFonts w:ascii="Times New Roman" w:hAnsi="Times New Roman"/>
          <w:sz w:val="22"/>
          <w:szCs w:val="24"/>
          <w:lang w:val="en-US"/>
        </w:rPr>
      </w:pPr>
      <w:r>
        <w:rPr>
          <w:rFonts w:ascii="Times New Roman" w:hAnsi="Times New Roman"/>
          <w:sz w:val="22"/>
          <w:szCs w:val="24"/>
          <w:lang w:val="en-US"/>
        </w:rPr>
        <w:tab/>
        <w:t>Option markets</w:t>
      </w:r>
      <w:r w:rsidR="005D13FE">
        <w:rPr>
          <w:rFonts w:ascii="Times New Roman" w:hAnsi="Times New Roman"/>
          <w:sz w:val="22"/>
          <w:szCs w:val="24"/>
          <w:lang w:val="en-US"/>
        </w:rPr>
        <w:t>, and particularly</w:t>
      </w:r>
      <w:r>
        <w:rPr>
          <w:rFonts w:ascii="Times New Roman" w:hAnsi="Times New Roman"/>
          <w:sz w:val="22"/>
          <w:szCs w:val="24"/>
          <w:lang w:val="en-US"/>
        </w:rPr>
        <w:t xml:space="preserve"> the At the Money (ATM) Implied Volatility (IV) Curve can be used to ex-ante obtain an estimate of the</w:t>
      </w:r>
      <w:r w:rsidR="004E2191">
        <w:rPr>
          <w:rFonts w:ascii="Times New Roman" w:hAnsi="Times New Roman"/>
          <w:sz w:val="22"/>
          <w:szCs w:val="24"/>
          <w:lang w:val="en-US"/>
        </w:rPr>
        <w:t xml:space="preserve"> expected magnitude of a scheduled event </w:t>
      </w:r>
      <w:r w:rsidR="00E43C85">
        <w:rPr>
          <w:rFonts w:ascii="Times New Roman" w:hAnsi="Times New Roman"/>
          <w:sz w:val="22"/>
          <w:szCs w:val="24"/>
          <w:lang w:val="en-US"/>
        </w:rPr>
        <w:t>such as</w:t>
      </w:r>
      <w:r w:rsidR="005D13FE">
        <w:rPr>
          <w:rFonts w:ascii="Times New Roman" w:hAnsi="Times New Roman"/>
          <w:sz w:val="22"/>
          <w:szCs w:val="24"/>
          <w:lang w:val="en-US"/>
        </w:rPr>
        <w:t xml:space="preserve"> an</w:t>
      </w:r>
      <w:r w:rsidR="00E43C85">
        <w:rPr>
          <w:rFonts w:ascii="Times New Roman" w:hAnsi="Times New Roman"/>
          <w:sz w:val="22"/>
          <w:szCs w:val="24"/>
          <w:lang w:val="en-US"/>
        </w:rPr>
        <w:t xml:space="preserve"> EA </w:t>
      </w:r>
      <w:r w:rsidR="00780EB5">
        <w:rPr>
          <w:rFonts w:ascii="Times New Roman" w:hAnsi="Times New Roman"/>
          <w:sz w:val="22"/>
          <w:szCs w:val="24"/>
          <w:lang w:val="en-US"/>
        </w:rPr>
        <w:t xml:space="preserve">or economic release </w:t>
      </w:r>
      <w:r w:rsidR="00E43C85">
        <w:rPr>
          <w:rFonts w:ascii="Times New Roman" w:hAnsi="Times New Roman"/>
          <w:sz w:val="22"/>
          <w:szCs w:val="24"/>
          <w:lang w:val="en-US"/>
        </w:rPr>
        <w:t>(Govindaraj</w:t>
      </w:r>
      <w:r w:rsidR="00C21169">
        <w:rPr>
          <w:rFonts w:ascii="Times New Roman" w:hAnsi="Times New Roman"/>
          <w:sz w:val="22"/>
          <w:szCs w:val="24"/>
          <w:lang w:val="en-US"/>
        </w:rPr>
        <w:t xml:space="preserve"> et al, 2014).</w:t>
      </w:r>
      <w:r w:rsidR="00E43C85">
        <w:rPr>
          <w:rFonts w:ascii="Times New Roman" w:hAnsi="Times New Roman"/>
          <w:sz w:val="22"/>
          <w:szCs w:val="24"/>
          <w:lang w:val="en-US"/>
        </w:rPr>
        <w:t xml:space="preserve"> A good example comes </w:t>
      </w:r>
      <w:r w:rsidR="00321854">
        <w:rPr>
          <w:rFonts w:ascii="Times New Roman" w:hAnsi="Times New Roman"/>
          <w:sz w:val="22"/>
          <w:szCs w:val="24"/>
          <w:lang w:val="en-US"/>
        </w:rPr>
        <w:t>from Durbinsky et al (201</w:t>
      </w:r>
      <w:r w:rsidR="00277B2C">
        <w:rPr>
          <w:rFonts w:ascii="Times New Roman" w:hAnsi="Times New Roman"/>
          <w:sz w:val="22"/>
          <w:szCs w:val="24"/>
          <w:lang w:val="en-US"/>
        </w:rPr>
        <w:t>8</w:t>
      </w:r>
      <w:r w:rsidR="00321854">
        <w:rPr>
          <w:rFonts w:ascii="Times New Roman" w:hAnsi="Times New Roman"/>
          <w:sz w:val="22"/>
          <w:szCs w:val="24"/>
          <w:lang w:val="en-US"/>
        </w:rPr>
        <w:t>)</w:t>
      </w:r>
      <w:r w:rsidR="006705AB">
        <w:rPr>
          <w:rFonts w:ascii="Times New Roman" w:hAnsi="Times New Roman"/>
          <w:sz w:val="22"/>
          <w:szCs w:val="24"/>
          <w:lang w:val="en-US"/>
        </w:rPr>
        <w:t>, who document that on the eve of the Brexit Vote</w:t>
      </w:r>
      <w:r w:rsidR="00DC4014">
        <w:rPr>
          <w:rFonts w:ascii="Times New Roman" w:hAnsi="Times New Roman"/>
          <w:sz w:val="22"/>
          <w:szCs w:val="24"/>
          <w:lang w:val="en-US"/>
        </w:rPr>
        <w:t xml:space="preserve"> </w:t>
      </w:r>
      <w:r w:rsidR="005B0147">
        <w:rPr>
          <w:rFonts w:ascii="Times New Roman" w:hAnsi="Times New Roman"/>
          <w:sz w:val="22"/>
          <w:szCs w:val="24"/>
          <w:lang w:val="en-US"/>
        </w:rPr>
        <w:t>on 23.06.2016 1-month and 2-month IV on GBPUSD was 28.21% and 21.51% respectively</w:t>
      </w:r>
      <w:r w:rsidR="00D51E0A">
        <w:rPr>
          <w:rFonts w:ascii="Times New Roman" w:hAnsi="Times New Roman"/>
          <w:sz w:val="22"/>
          <w:szCs w:val="24"/>
          <w:lang w:val="en-US"/>
        </w:rPr>
        <w:t>. Th</w:t>
      </w:r>
      <w:r w:rsidR="008211D2">
        <w:rPr>
          <w:rFonts w:ascii="Times New Roman" w:hAnsi="Times New Roman"/>
          <w:sz w:val="22"/>
          <w:szCs w:val="24"/>
          <w:lang w:val="en-US"/>
        </w:rPr>
        <w:t>i</w:t>
      </w:r>
      <w:r w:rsidR="00D51E0A">
        <w:rPr>
          <w:rFonts w:ascii="Times New Roman" w:hAnsi="Times New Roman"/>
          <w:sz w:val="22"/>
          <w:szCs w:val="24"/>
          <w:lang w:val="en-US"/>
        </w:rPr>
        <w:t xml:space="preserve">s term structure </w:t>
      </w:r>
      <w:r w:rsidR="00A45F81">
        <w:rPr>
          <w:rFonts w:ascii="Times New Roman" w:hAnsi="Times New Roman"/>
          <w:sz w:val="22"/>
          <w:szCs w:val="24"/>
          <w:lang w:val="en-US"/>
        </w:rPr>
        <w:t>implied</w:t>
      </w:r>
      <w:r w:rsidR="00D51E0A">
        <w:rPr>
          <w:rFonts w:ascii="Times New Roman" w:hAnsi="Times New Roman"/>
          <w:sz w:val="22"/>
          <w:szCs w:val="24"/>
          <w:lang w:val="en-US"/>
        </w:rPr>
        <w:t xml:space="preserve"> an estimate of the </w:t>
      </w:r>
      <w:r w:rsidR="00817F69">
        <w:rPr>
          <w:rFonts w:ascii="Times New Roman" w:hAnsi="Times New Roman"/>
          <w:sz w:val="22"/>
          <w:szCs w:val="24"/>
          <w:lang w:val="en-US"/>
        </w:rPr>
        <w:t xml:space="preserve">magnitude of the </w:t>
      </w:r>
      <w:r w:rsidR="00D51E0A">
        <w:rPr>
          <w:rFonts w:ascii="Times New Roman" w:hAnsi="Times New Roman"/>
          <w:sz w:val="22"/>
          <w:szCs w:val="24"/>
          <w:lang w:val="en-US"/>
        </w:rPr>
        <w:t>scheduled event (Brexit Vote)</w:t>
      </w:r>
      <w:r w:rsidR="007C4EAB">
        <w:rPr>
          <w:rFonts w:ascii="Times New Roman" w:hAnsi="Times New Roman"/>
          <w:sz w:val="22"/>
          <w:szCs w:val="24"/>
          <w:lang w:val="en-US"/>
        </w:rPr>
        <w:t xml:space="preserve"> of 7.45%</w:t>
      </w:r>
      <w:r w:rsidR="00D04EE3">
        <w:rPr>
          <w:rFonts w:ascii="Times New Roman" w:hAnsi="Times New Roman"/>
          <w:sz w:val="22"/>
          <w:szCs w:val="24"/>
          <w:lang w:val="en-US"/>
        </w:rPr>
        <w:t xml:space="preserve">, the day after the pound dropped by 7.6% </w:t>
      </w:r>
      <w:r w:rsidR="00E63578">
        <w:rPr>
          <w:rFonts w:ascii="Times New Roman" w:hAnsi="Times New Roman"/>
          <w:sz w:val="22"/>
          <w:szCs w:val="24"/>
          <w:lang w:val="en-US"/>
        </w:rPr>
        <w:t xml:space="preserve">- a near perfect ex-ante prediction of </w:t>
      </w:r>
      <w:r w:rsidR="003954C5">
        <w:rPr>
          <w:rFonts w:ascii="Times New Roman" w:hAnsi="Times New Roman"/>
          <w:sz w:val="22"/>
          <w:szCs w:val="24"/>
          <w:lang w:val="en-US"/>
        </w:rPr>
        <w:t xml:space="preserve">the realized move. </w:t>
      </w:r>
      <w:r w:rsidR="008B30F0">
        <w:rPr>
          <w:rFonts w:ascii="Times New Roman" w:hAnsi="Times New Roman"/>
          <w:sz w:val="22"/>
          <w:szCs w:val="24"/>
          <w:lang w:val="en-US"/>
        </w:rPr>
        <w:t xml:space="preserve">Similarly, </w:t>
      </w:r>
      <w:r w:rsidR="006C3A15">
        <w:rPr>
          <w:rFonts w:ascii="Times New Roman" w:hAnsi="Times New Roman"/>
          <w:sz w:val="22"/>
          <w:szCs w:val="24"/>
          <w:lang w:val="en-US"/>
        </w:rPr>
        <w:t xml:space="preserve">Kelly et al (2016) </w:t>
      </w:r>
      <w:r w:rsidR="007A52DA">
        <w:rPr>
          <w:rFonts w:ascii="Times New Roman" w:hAnsi="Times New Roman"/>
          <w:sz w:val="22"/>
          <w:szCs w:val="24"/>
          <w:lang w:val="en-US"/>
        </w:rPr>
        <w:t>found similar results for</w:t>
      </w:r>
      <w:r w:rsidR="00DF0B6C">
        <w:rPr>
          <w:rFonts w:ascii="Times New Roman" w:hAnsi="Times New Roman"/>
          <w:sz w:val="22"/>
          <w:szCs w:val="24"/>
          <w:lang w:val="en-US"/>
        </w:rPr>
        <w:t xml:space="preserve"> the pricing of predictable national elections</w:t>
      </w:r>
      <w:r w:rsidR="000547E7">
        <w:rPr>
          <w:rFonts w:ascii="Times New Roman" w:hAnsi="Times New Roman"/>
          <w:sz w:val="22"/>
          <w:szCs w:val="24"/>
          <w:lang w:val="en-US"/>
        </w:rPr>
        <w:t xml:space="preserve"> and global summits.</w:t>
      </w:r>
    </w:p>
    <w:p w14:paraId="6F7ED2C7" w14:textId="4B4E2832" w:rsidR="00362E27" w:rsidRDefault="001C7CFB" w:rsidP="00AE51AF">
      <w:pPr>
        <w:spacing w:line="360" w:lineRule="auto"/>
        <w:rPr>
          <w:rFonts w:ascii="Times New Roman" w:hAnsi="Times New Roman"/>
          <w:sz w:val="22"/>
          <w:szCs w:val="24"/>
          <w:lang w:val="en-US"/>
        </w:rPr>
      </w:pPr>
      <w:r>
        <w:rPr>
          <w:rFonts w:ascii="Times New Roman" w:hAnsi="Times New Roman"/>
          <w:sz w:val="22"/>
          <w:szCs w:val="24"/>
          <w:lang w:val="en-US"/>
        </w:rPr>
        <w:tab/>
        <w:t xml:space="preserve">Therefore, the real question becomes whether </w:t>
      </w:r>
      <w:r w:rsidR="00BE175F">
        <w:rPr>
          <w:rFonts w:ascii="Times New Roman" w:hAnsi="Times New Roman"/>
          <w:sz w:val="22"/>
          <w:szCs w:val="24"/>
          <w:lang w:val="en-US"/>
        </w:rPr>
        <w:t xml:space="preserve">the IV curve is an accurate predictor of </w:t>
      </w:r>
      <w:r w:rsidR="00E8459C">
        <w:rPr>
          <w:rFonts w:ascii="Times New Roman" w:hAnsi="Times New Roman"/>
          <w:sz w:val="22"/>
          <w:szCs w:val="24"/>
          <w:lang w:val="en-US"/>
        </w:rPr>
        <w:t>EA realized moves as well.</w:t>
      </w:r>
      <w:r w:rsidR="00F16FA5">
        <w:rPr>
          <w:rFonts w:ascii="Times New Roman" w:hAnsi="Times New Roman"/>
          <w:sz w:val="22"/>
          <w:szCs w:val="24"/>
          <w:lang w:val="en-US"/>
        </w:rPr>
        <w:t xml:space="preserve"> As early as 1979, Patel &amp; Wolfson documented that IV </w:t>
      </w:r>
      <w:r w:rsidR="0033476E">
        <w:rPr>
          <w:rFonts w:ascii="Times New Roman" w:hAnsi="Times New Roman"/>
          <w:sz w:val="22"/>
          <w:szCs w:val="24"/>
          <w:lang w:val="en-US"/>
        </w:rPr>
        <w:t>of Option expirations close to Earnings Announcements rise predictably by a factor of T</w:t>
      </w:r>
      <w:r w:rsidR="0033476E">
        <w:rPr>
          <w:rFonts w:ascii="Times New Roman" w:hAnsi="Times New Roman"/>
          <w:sz w:val="22"/>
          <w:szCs w:val="24"/>
          <w:vertAlign w:val="superscript"/>
          <w:lang w:val="en-US"/>
        </w:rPr>
        <w:t>-1</w:t>
      </w:r>
      <w:r w:rsidR="0004325F">
        <w:rPr>
          <w:rFonts w:ascii="Times New Roman" w:hAnsi="Times New Roman"/>
          <w:sz w:val="22"/>
          <w:szCs w:val="24"/>
          <w:lang w:val="en-US"/>
        </w:rPr>
        <w:t>, which results in the patter</w:t>
      </w:r>
      <w:r w:rsidR="00B063A2">
        <w:rPr>
          <w:rFonts w:ascii="Times New Roman" w:hAnsi="Times New Roman"/>
          <w:sz w:val="22"/>
          <w:szCs w:val="24"/>
          <w:lang w:val="en-US"/>
        </w:rPr>
        <w:t>n</w:t>
      </w:r>
      <w:r w:rsidR="0004325F">
        <w:rPr>
          <w:rFonts w:ascii="Times New Roman" w:hAnsi="Times New Roman"/>
          <w:sz w:val="22"/>
          <w:szCs w:val="24"/>
          <w:lang w:val="en-US"/>
        </w:rPr>
        <w:t xml:space="preserve"> where the ATM IV curve is downward slopping </w:t>
      </w:r>
      <w:r w:rsidR="00906852">
        <w:rPr>
          <w:rFonts w:ascii="Times New Roman" w:hAnsi="Times New Roman"/>
          <w:sz w:val="22"/>
          <w:szCs w:val="24"/>
          <w:lang w:val="en-US"/>
        </w:rPr>
        <w:t xml:space="preserve">immediately before EA, allowing for an estimation of the 1-Day Expected Event Move </w:t>
      </w:r>
      <w:r w:rsidR="006B7DB7">
        <w:rPr>
          <w:rFonts w:ascii="Times New Roman" w:hAnsi="Times New Roman"/>
          <w:sz w:val="22"/>
          <w:szCs w:val="24"/>
          <w:lang w:val="en-US"/>
        </w:rPr>
        <w:t xml:space="preserve">using the </w:t>
      </w:r>
      <w:r w:rsidR="00DC441A">
        <w:rPr>
          <w:rFonts w:ascii="Times New Roman" w:hAnsi="Times New Roman"/>
          <w:sz w:val="22"/>
          <w:szCs w:val="24"/>
          <w:lang w:val="en-US"/>
        </w:rPr>
        <w:t xml:space="preserve">additive property of variances and linear interpolation, where the assumption is that only the event day variance is significantly </w:t>
      </w:r>
      <w:r w:rsidR="00B867E2">
        <w:rPr>
          <w:rFonts w:ascii="Times New Roman" w:hAnsi="Times New Roman"/>
          <w:sz w:val="22"/>
          <w:szCs w:val="24"/>
          <w:lang w:val="en-US"/>
        </w:rPr>
        <w:t>higher</w:t>
      </w:r>
      <w:r w:rsidR="004251F6">
        <w:rPr>
          <w:rFonts w:ascii="Times New Roman" w:hAnsi="Times New Roman"/>
          <w:sz w:val="22"/>
          <w:szCs w:val="24"/>
          <w:lang w:val="en-US"/>
        </w:rPr>
        <w:t xml:space="preserve">, while all the other daily variances are constant. </w:t>
      </w:r>
      <w:r w:rsidR="00075DF3">
        <w:rPr>
          <w:rFonts w:ascii="Times New Roman" w:hAnsi="Times New Roman"/>
          <w:sz w:val="22"/>
          <w:szCs w:val="24"/>
          <w:lang w:val="en-US"/>
        </w:rPr>
        <w:t xml:space="preserve">Building on their work in 1981, </w:t>
      </w:r>
      <w:r w:rsidR="00B35D24">
        <w:rPr>
          <w:rFonts w:ascii="Times New Roman" w:hAnsi="Times New Roman"/>
          <w:sz w:val="22"/>
          <w:szCs w:val="24"/>
          <w:lang w:val="en-US"/>
        </w:rPr>
        <w:t>P</w:t>
      </w:r>
      <w:r w:rsidR="00075DF3">
        <w:rPr>
          <w:rFonts w:ascii="Times New Roman" w:hAnsi="Times New Roman"/>
          <w:sz w:val="22"/>
          <w:szCs w:val="24"/>
          <w:lang w:val="en-US"/>
        </w:rPr>
        <w:t>atel &amp; Wolfson</w:t>
      </w:r>
      <w:r w:rsidR="00963E7B">
        <w:rPr>
          <w:rFonts w:ascii="Times New Roman" w:hAnsi="Times New Roman"/>
          <w:sz w:val="22"/>
          <w:szCs w:val="24"/>
          <w:lang w:val="en-US"/>
        </w:rPr>
        <w:t xml:space="preserve"> </w:t>
      </w:r>
      <w:r w:rsidR="0097404E">
        <w:rPr>
          <w:rFonts w:ascii="Times New Roman" w:hAnsi="Times New Roman"/>
          <w:sz w:val="22"/>
          <w:szCs w:val="24"/>
          <w:lang w:val="en-US"/>
        </w:rPr>
        <w:t>were also the first to not</w:t>
      </w:r>
      <w:r w:rsidR="002D6105">
        <w:rPr>
          <w:rFonts w:ascii="Times New Roman" w:hAnsi="Times New Roman"/>
          <w:sz w:val="22"/>
          <w:szCs w:val="24"/>
          <w:lang w:val="en-US"/>
        </w:rPr>
        <w:t>e</w:t>
      </w:r>
      <w:r w:rsidR="0097404E">
        <w:rPr>
          <w:rFonts w:ascii="Times New Roman" w:hAnsi="Times New Roman"/>
          <w:sz w:val="22"/>
          <w:szCs w:val="24"/>
          <w:lang w:val="en-US"/>
        </w:rPr>
        <w:t xml:space="preserve"> the</w:t>
      </w:r>
      <w:r w:rsidR="00200BE2">
        <w:rPr>
          <w:rFonts w:ascii="Times New Roman" w:hAnsi="Times New Roman"/>
          <w:sz w:val="22"/>
          <w:szCs w:val="24"/>
          <w:lang w:val="en-US"/>
        </w:rPr>
        <w:t xml:space="preserve"> </w:t>
      </w:r>
      <w:r w:rsidR="00586A4A">
        <w:rPr>
          <w:rFonts w:ascii="Times New Roman" w:hAnsi="Times New Roman"/>
          <w:sz w:val="22"/>
          <w:szCs w:val="24"/>
          <w:lang w:val="en-US"/>
        </w:rPr>
        <w:t xml:space="preserve"> that the </w:t>
      </w:r>
      <w:r w:rsidR="00200BE2">
        <w:rPr>
          <w:rFonts w:ascii="Times New Roman" w:hAnsi="Times New Roman"/>
          <w:sz w:val="22"/>
          <w:szCs w:val="24"/>
          <w:lang w:val="en-US"/>
        </w:rPr>
        <w:t xml:space="preserve">IV crush, which is the predictable and very statistically significant </w:t>
      </w:r>
      <w:r w:rsidR="00B22867">
        <w:rPr>
          <w:rFonts w:ascii="Times New Roman" w:hAnsi="Times New Roman"/>
          <w:sz w:val="22"/>
          <w:szCs w:val="24"/>
          <w:lang w:val="en-US"/>
        </w:rPr>
        <w:t xml:space="preserve">drop in Implied Volatility </w:t>
      </w:r>
      <w:r w:rsidR="003F7303">
        <w:rPr>
          <w:rFonts w:ascii="Times New Roman" w:hAnsi="Times New Roman"/>
          <w:sz w:val="22"/>
          <w:szCs w:val="24"/>
          <w:lang w:val="en-US"/>
        </w:rPr>
        <w:t>after Earnings Announcement</w:t>
      </w:r>
      <w:r w:rsidR="00B57421">
        <w:rPr>
          <w:rFonts w:ascii="Times New Roman" w:hAnsi="Times New Roman"/>
          <w:sz w:val="22"/>
          <w:szCs w:val="24"/>
          <w:lang w:val="en-US"/>
        </w:rPr>
        <w:t xml:space="preserve">s </w:t>
      </w:r>
      <w:r w:rsidR="008F489B">
        <w:rPr>
          <w:rFonts w:ascii="Times New Roman" w:hAnsi="Times New Roman"/>
          <w:sz w:val="22"/>
          <w:szCs w:val="24"/>
          <w:lang w:val="en-US"/>
        </w:rPr>
        <w:t>exists</w:t>
      </w:r>
      <w:r w:rsidR="001B70BB">
        <w:rPr>
          <w:rFonts w:ascii="Times New Roman" w:hAnsi="Times New Roman"/>
          <w:sz w:val="22"/>
          <w:szCs w:val="24"/>
          <w:lang w:val="en-US"/>
        </w:rPr>
        <w:t>. This property of Option IV</w:t>
      </w:r>
      <w:r w:rsidR="00BB63BB">
        <w:rPr>
          <w:rFonts w:ascii="Times New Roman" w:hAnsi="Times New Roman"/>
          <w:sz w:val="22"/>
          <w:szCs w:val="24"/>
          <w:lang w:val="en-US"/>
        </w:rPr>
        <w:t xml:space="preserve"> makes selling ATM Straddles (Short-Call and Short-Put of the same strike)</w:t>
      </w:r>
      <w:r w:rsidR="0052644D">
        <w:rPr>
          <w:rFonts w:ascii="Times New Roman" w:hAnsi="Times New Roman"/>
          <w:sz w:val="22"/>
          <w:szCs w:val="24"/>
          <w:lang w:val="en-US"/>
        </w:rPr>
        <w:t xml:space="preserve"> into EAs</w:t>
      </w:r>
      <w:r w:rsidR="00BB63BB">
        <w:rPr>
          <w:rFonts w:ascii="Times New Roman" w:hAnsi="Times New Roman"/>
          <w:sz w:val="22"/>
          <w:szCs w:val="24"/>
          <w:lang w:val="en-US"/>
        </w:rPr>
        <w:t xml:space="preserve"> particularly </w:t>
      </w:r>
      <w:r w:rsidR="004D0CA1">
        <w:rPr>
          <w:rFonts w:ascii="Times New Roman" w:hAnsi="Times New Roman"/>
          <w:sz w:val="22"/>
          <w:szCs w:val="24"/>
          <w:lang w:val="en-US"/>
        </w:rPr>
        <w:t>appealing</w:t>
      </w:r>
      <w:r w:rsidR="00D80574">
        <w:rPr>
          <w:rFonts w:ascii="Times New Roman" w:hAnsi="Times New Roman"/>
          <w:sz w:val="22"/>
          <w:szCs w:val="24"/>
          <w:lang w:val="en-US"/>
        </w:rPr>
        <w:t xml:space="preserve"> for traders</w:t>
      </w:r>
      <w:r w:rsidR="00753938">
        <w:rPr>
          <w:rFonts w:ascii="Times New Roman" w:hAnsi="Times New Roman"/>
          <w:sz w:val="22"/>
          <w:szCs w:val="24"/>
          <w:lang w:val="en-US"/>
        </w:rPr>
        <w:t>.</w:t>
      </w:r>
    </w:p>
    <w:p w14:paraId="2247DD0D" w14:textId="0014626E" w:rsidR="001C7CFB" w:rsidRDefault="00362E27" w:rsidP="00AE51AF">
      <w:pPr>
        <w:spacing w:line="360" w:lineRule="auto"/>
        <w:rPr>
          <w:rFonts w:ascii="Times New Roman" w:hAnsi="Times New Roman"/>
          <w:sz w:val="22"/>
          <w:szCs w:val="24"/>
          <w:lang w:val="en-US"/>
        </w:rPr>
      </w:pPr>
      <w:r>
        <w:rPr>
          <w:rFonts w:ascii="Times New Roman" w:hAnsi="Times New Roman"/>
          <w:sz w:val="22"/>
          <w:szCs w:val="24"/>
          <w:lang w:val="en-US"/>
        </w:rPr>
        <w:lastRenderedPageBreak/>
        <w:tab/>
        <w:t xml:space="preserve">When discussing </w:t>
      </w:r>
      <w:r w:rsidR="001A3916">
        <w:rPr>
          <w:rFonts w:ascii="Times New Roman" w:hAnsi="Times New Roman"/>
          <w:sz w:val="22"/>
          <w:szCs w:val="24"/>
          <w:lang w:val="en-US"/>
        </w:rPr>
        <w:t xml:space="preserve">Options, one should </w:t>
      </w:r>
      <w:r w:rsidR="00AB4CD4">
        <w:rPr>
          <w:rFonts w:ascii="Times New Roman" w:hAnsi="Times New Roman"/>
          <w:sz w:val="22"/>
          <w:szCs w:val="24"/>
          <w:lang w:val="en-US"/>
        </w:rPr>
        <w:t xml:space="preserve">not forget </w:t>
      </w:r>
      <w:r w:rsidR="00DD2F53">
        <w:rPr>
          <w:rFonts w:ascii="Times New Roman" w:hAnsi="Times New Roman"/>
          <w:sz w:val="22"/>
          <w:szCs w:val="24"/>
          <w:lang w:val="en-US"/>
        </w:rPr>
        <w:t xml:space="preserve">to </w:t>
      </w:r>
      <w:r w:rsidR="00155331">
        <w:rPr>
          <w:rFonts w:ascii="Times New Roman" w:hAnsi="Times New Roman"/>
          <w:sz w:val="22"/>
          <w:szCs w:val="24"/>
          <w:lang w:val="en-US"/>
        </w:rPr>
        <w:t>mention the fact that Options tend to be on average overpriced</w:t>
      </w:r>
      <w:r w:rsidR="00B12B6E">
        <w:rPr>
          <w:rFonts w:ascii="Times New Roman" w:hAnsi="Times New Roman"/>
          <w:sz w:val="22"/>
          <w:szCs w:val="24"/>
          <w:lang w:val="en-US"/>
        </w:rPr>
        <w:t xml:space="preserve">, hence shorting options earns a </w:t>
      </w:r>
      <w:r w:rsidR="00A8275E">
        <w:rPr>
          <w:rFonts w:ascii="Times New Roman" w:hAnsi="Times New Roman"/>
          <w:sz w:val="22"/>
          <w:szCs w:val="24"/>
          <w:lang w:val="en-US"/>
        </w:rPr>
        <w:t xml:space="preserve">risk premium. </w:t>
      </w:r>
      <w:r w:rsidR="00753938">
        <w:rPr>
          <w:rFonts w:ascii="Times New Roman" w:hAnsi="Times New Roman"/>
          <w:sz w:val="22"/>
          <w:szCs w:val="24"/>
          <w:lang w:val="en-US"/>
        </w:rPr>
        <w:t xml:space="preserve"> </w:t>
      </w:r>
      <w:r w:rsidR="002562CC">
        <w:rPr>
          <w:rFonts w:ascii="Times New Roman" w:hAnsi="Times New Roman"/>
          <w:sz w:val="22"/>
          <w:szCs w:val="24"/>
          <w:lang w:val="en-US"/>
        </w:rPr>
        <w:t xml:space="preserve">Goyal &amp; Saretto (2009) </w:t>
      </w:r>
      <w:r w:rsidR="00554BCB">
        <w:rPr>
          <w:rFonts w:ascii="Times New Roman" w:hAnsi="Times New Roman"/>
          <w:sz w:val="22"/>
          <w:szCs w:val="24"/>
          <w:lang w:val="en-US"/>
        </w:rPr>
        <w:t>provide information about</w:t>
      </w:r>
      <w:r w:rsidR="002562CC">
        <w:rPr>
          <w:rFonts w:ascii="Times New Roman" w:hAnsi="Times New Roman"/>
          <w:sz w:val="22"/>
          <w:szCs w:val="24"/>
          <w:lang w:val="en-US"/>
        </w:rPr>
        <w:t xml:space="preserve"> </w:t>
      </w:r>
      <w:r w:rsidR="00EC26DE">
        <w:rPr>
          <w:rFonts w:ascii="Times New Roman" w:hAnsi="Times New Roman"/>
          <w:sz w:val="22"/>
          <w:szCs w:val="24"/>
          <w:lang w:val="en-US"/>
        </w:rPr>
        <w:t xml:space="preserve">it </w:t>
      </w:r>
      <w:r w:rsidR="00470C7E">
        <w:rPr>
          <w:rFonts w:ascii="Times New Roman" w:hAnsi="Times New Roman"/>
          <w:sz w:val="22"/>
          <w:szCs w:val="24"/>
          <w:lang w:val="en-US"/>
        </w:rPr>
        <w:t>via</w:t>
      </w:r>
      <w:r w:rsidR="009D28E7">
        <w:rPr>
          <w:rFonts w:ascii="Times New Roman" w:hAnsi="Times New Roman"/>
          <w:sz w:val="22"/>
          <w:szCs w:val="24"/>
          <w:lang w:val="en-US"/>
        </w:rPr>
        <w:t xml:space="preserve"> a cross-sectional study</w:t>
      </w:r>
      <w:r w:rsidR="00FC5557">
        <w:rPr>
          <w:rFonts w:ascii="Times New Roman" w:hAnsi="Times New Roman"/>
          <w:sz w:val="22"/>
          <w:szCs w:val="24"/>
          <w:lang w:val="en-US"/>
        </w:rPr>
        <w:t>,</w:t>
      </w:r>
      <w:r w:rsidR="00374C4C">
        <w:rPr>
          <w:rFonts w:ascii="Times New Roman" w:hAnsi="Times New Roman"/>
          <w:sz w:val="22"/>
          <w:szCs w:val="24"/>
          <w:lang w:val="en-US"/>
        </w:rPr>
        <w:t xml:space="preserve"> where they find that</w:t>
      </w:r>
      <w:r w:rsidR="009D28E7">
        <w:rPr>
          <w:rFonts w:ascii="Times New Roman" w:hAnsi="Times New Roman"/>
          <w:sz w:val="22"/>
          <w:szCs w:val="24"/>
          <w:lang w:val="en-US"/>
        </w:rPr>
        <w:t xml:space="preserve"> option returns</w:t>
      </w:r>
      <w:r w:rsidR="00FC5557">
        <w:rPr>
          <w:rFonts w:ascii="Times New Roman" w:hAnsi="Times New Roman"/>
          <w:sz w:val="22"/>
          <w:szCs w:val="24"/>
          <w:lang w:val="en-US"/>
        </w:rPr>
        <w:t xml:space="preserve"> reflect a premium for variance risk</w:t>
      </w:r>
      <w:r w:rsidR="004A6732">
        <w:rPr>
          <w:rFonts w:ascii="Times New Roman" w:hAnsi="Times New Roman"/>
          <w:sz w:val="22"/>
          <w:szCs w:val="24"/>
          <w:lang w:val="en-US"/>
        </w:rPr>
        <w:t>, calculated as the difference between historical realized volatility and lagged Implied Volatility</w:t>
      </w:r>
      <w:r w:rsidR="006A2C6E">
        <w:rPr>
          <w:rFonts w:ascii="Times New Roman" w:hAnsi="Times New Roman"/>
          <w:sz w:val="22"/>
          <w:szCs w:val="24"/>
          <w:lang w:val="en-US"/>
        </w:rPr>
        <w:t xml:space="preserve"> – essentially pointing out that empirically there exists a Variance Ris</w:t>
      </w:r>
      <w:r w:rsidR="00804E20">
        <w:rPr>
          <w:rFonts w:ascii="Times New Roman" w:hAnsi="Times New Roman"/>
          <w:sz w:val="22"/>
          <w:szCs w:val="24"/>
          <w:lang w:val="en-US"/>
        </w:rPr>
        <w:t>k Premium (VRP)</w:t>
      </w:r>
      <w:r w:rsidR="00E90CB3">
        <w:rPr>
          <w:rFonts w:ascii="Times New Roman" w:hAnsi="Times New Roman"/>
          <w:sz w:val="22"/>
          <w:szCs w:val="24"/>
          <w:lang w:val="en-US"/>
        </w:rPr>
        <w:t xml:space="preserve">, which </w:t>
      </w:r>
      <w:r w:rsidR="0041681A">
        <w:rPr>
          <w:rFonts w:ascii="Times New Roman" w:hAnsi="Times New Roman"/>
          <w:sz w:val="22"/>
          <w:szCs w:val="24"/>
          <w:lang w:val="en-US"/>
        </w:rPr>
        <w:t xml:space="preserve">is required by market participants due to the non-linear payoff structure (limited profit, </w:t>
      </w:r>
      <w:r w:rsidR="00066CBF">
        <w:rPr>
          <w:rFonts w:ascii="Times New Roman" w:hAnsi="Times New Roman"/>
          <w:sz w:val="22"/>
          <w:szCs w:val="24"/>
          <w:lang w:val="en-US"/>
        </w:rPr>
        <w:t>unlimited</w:t>
      </w:r>
      <w:r w:rsidR="0041681A">
        <w:rPr>
          <w:rFonts w:ascii="Times New Roman" w:hAnsi="Times New Roman"/>
          <w:sz w:val="22"/>
          <w:szCs w:val="24"/>
          <w:lang w:val="en-US"/>
        </w:rPr>
        <w:t xml:space="preserve"> loss) for shorting options</w:t>
      </w:r>
      <w:r w:rsidR="00804E20">
        <w:rPr>
          <w:rFonts w:ascii="Times New Roman" w:hAnsi="Times New Roman"/>
          <w:sz w:val="22"/>
          <w:szCs w:val="24"/>
          <w:lang w:val="en-US"/>
        </w:rPr>
        <w:t xml:space="preserve">. </w:t>
      </w:r>
      <w:r w:rsidR="004109D9">
        <w:rPr>
          <w:rFonts w:ascii="Times New Roman" w:hAnsi="Times New Roman"/>
          <w:sz w:val="22"/>
          <w:szCs w:val="24"/>
          <w:lang w:val="en-US"/>
        </w:rPr>
        <w:t>Not only</w:t>
      </w:r>
      <w:r w:rsidR="009E5DF9">
        <w:rPr>
          <w:rFonts w:ascii="Times New Roman" w:hAnsi="Times New Roman"/>
          <w:sz w:val="22"/>
          <w:szCs w:val="24"/>
          <w:lang w:val="en-US"/>
        </w:rPr>
        <w:t xml:space="preserve"> that but </w:t>
      </w:r>
      <w:r w:rsidR="008B2E8C">
        <w:rPr>
          <w:rFonts w:ascii="Times New Roman" w:hAnsi="Times New Roman"/>
          <w:sz w:val="22"/>
          <w:szCs w:val="24"/>
          <w:lang w:val="en-US"/>
        </w:rPr>
        <w:t>analysis</w:t>
      </w:r>
      <w:r w:rsidR="009E5DF9">
        <w:rPr>
          <w:rFonts w:ascii="Times New Roman" w:hAnsi="Times New Roman"/>
          <w:sz w:val="22"/>
          <w:szCs w:val="24"/>
          <w:lang w:val="en-US"/>
        </w:rPr>
        <w:t xml:space="preserve"> such as </w:t>
      </w:r>
      <w:r w:rsidR="00AF1549">
        <w:rPr>
          <w:rFonts w:ascii="Times New Roman" w:hAnsi="Times New Roman"/>
          <w:sz w:val="22"/>
          <w:szCs w:val="24"/>
          <w:lang w:val="en-US"/>
        </w:rPr>
        <w:t>that</w:t>
      </w:r>
      <w:r w:rsidR="009E5DF9">
        <w:rPr>
          <w:rFonts w:ascii="Times New Roman" w:hAnsi="Times New Roman"/>
          <w:sz w:val="22"/>
          <w:szCs w:val="24"/>
          <w:lang w:val="en-US"/>
        </w:rPr>
        <w:t xml:space="preserve"> </w:t>
      </w:r>
      <w:r w:rsidR="00792787">
        <w:rPr>
          <w:rFonts w:ascii="Times New Roman" w:hAnsi="Times New Roman"/>
          <w:sz w:val="22"/>
          <w:szCs w:val="24"/>
          <w:lang w:val="en-US"/>
        </w:rPr>
        <w:t>orchestrated</w:t>
      </w:r>
      <w:r w:rsidR="00AF1549">
        <w:rPr>
          <w:rFonts w:ascii="Times New Roman" w:hAnsi="Times New Roman"/>
          <w:sz w:val="22"/>
          <w:szCs w:val="24"/>
          <w:lang w:val="en-US"/>
        </w:rPr>
        <w:t xml:space="preserve"> by Bali et al (2021) </w:t>
      </w:r>
      <w:r w:rsidR="00CD7080">
        <w:rPr>
          <w:rFonts w:ascii="Times New Roman" w:hAnsi="Times New Roman"/>
          <w:sz w:val="22"/>
          <w:szCs w:val="24"/>
          <w:lang w:val="en-US"/>
        </w:rPr>
        <w:t xml:space="preserve">show that delta-hedged short-option returns </w:t>
      </w:r>
      <w:r w:rsidR="00094A21">
        <w:rPr>
          <w:rFonts w:ascii="Times New Roman" w:hAnsi="Times New Roman"/>
          <w:sz w:val="22"/>
          <w:szCs w:val="24"/>
          <w:lang w:val="en-US"/>
        </w:rPr>
        <w:t>covering</w:t>
      </w:r>
      <w:r w:rsidR="00CD7080">
        <w:rPr>
          <w:rFonts w:ascii="Times New Roman" w:hAnsi="Times New Roman"/>
          <w:sz w:val="22"/>
          <w:szCs w:val="24"/>
          <w:lang w:val="en-US"/>
        </w:rPr>
        <w:t xml:space="preserve"> 12 million </w:t>
      </w:r>
      <w:r w:rsidR="00EC109C">
        <w:rPr>
          <w:rFonts w:ascii="Times New Roman" w:hAnsi="Times New Roman"/>
          <w:sz w:val="22"/>
          <w:szCs w:val="24"/>
          <w:lang w:val="en-US"/>
        </w:rPr>
        <w:t>observations</w:t>
      </w:r>
      <w:r w:rsidR="00CD7080">
        <w:rPr>
          <w:rFonts w:ascii="Times New Roman" w:hAnsi="Times New Roman"/>
          <w:sz w:val="22"/>
          <w:szCs w:val="24"/>
          <w:lang w:val="en-US"/>
        </w:rPr>
        <w:t xml:space="preserve"> in the period 1996 -2020</w:t>
      </w:r>
      <w:r w:rsidR="00EC109C">
        <w:rPr>
          <w:rFonts w:ascii="Times New Roman" w:hAnsi="Times New Roman"/>
          <w:sz w:val="22"/>
          <w:szCs w:val="24"/>
          <w:lang w:val="en-US"/>
        </w:rPr>
        <w:t xml:space="preserve"> earned </w:t>
      </w:r>
      <w:r w:rsidR="00D74C7B">
        <w:rPr>
          <w:rFonts w:ascii="Times New Roman" w:hAnsi="Times New Roman"/>
          <w:sz w:val="22"/>
          <w:szCs w:val="24"/>
          <w:lang w:val="en-US"/>
        </w:rPr>
        <w:t xml:space="preserve">on </w:t>
      </w:r>
      <w:r w:rsidR="00EC109C">
        <w:rPr>
          <w:rFonts w:ascii="Times New Roman" w:hAnsi="Times New Roman"/>
          <w:sz w:val="22"/>
          <w:szCs w:val="24"/>
          <w:lang w:val="en-US"/>
        </w:rPr>
        <w:t>a</w:t>
      </w:r>
      <w:r w:rsidR="00D74C7B">
        <w:rPr>
          <w:rFonts w:ascii="Times New Roman" w:hAnsi="Times New Roman"/>
          <w:sz w:val="22"/>
          <w:szCs w:val="24"/>
          <w:lang w:val="en-US"/>
        </w:rPr>
        <w:t>verage a</w:t>
      </w:r>
      <w:r w:rsidR="00EC109C">
        <w:rPr>
          <w:rFonts w:ascii="Times New Roman" w:hAnsi="Times New Roman"/>
          <w:sz w:val="22"/>
          <w:szCs w:val="24"/>
          <w:lang w:val="en-US"/>
        </w:rPr>
        <w:t xml:space="preserve"> significant </w:t>
      </w:r>
      <w:r w:rsidR="00094A21">
        <w:rPr>
          <w:rFonts w:ascii="Times New Roman" w:hAnsi="Times New Roman"/>
          <w:sz w:val="22"/>
          <w:szCs w:val="24"/>
          <w:lang w:val="en-US"/>
        </w:rPr>
        <w:t>positive return</w:t>
      </w:r>
      <w:r w:rsidR="00BB2B3C">
        <w:rPr>
          <w:rFonts w:ascii="Times New Roman" w:hAnsi="Times New Roman"/>
          <w:sz w:val="22"/>
          <w:szCs w:val="24"/>
          <w:lang w:val="en-US"/>
        </w:rPr>
        <w:t xml:space="preserve">, which once again provides evidence of the VPR. The authors </w:t>
      </w:r>
      <w:r w:rsidR="00AE2086">
        <w:rPr>
          <w:rFonts w:ascii="Times New Roman" w:hAnsi="Times New Roman"/>
          <w:sz w:val="22"/>
          <w:szCs w:val="24"/>
          <w:lang w:val="en-US"/>
        </w:rPr>
        <w:t>also build predictive machine learning models for the profitability of delta-hedged options</w:t>
      </w:r>
      <w:r w:rsidR="00003972">
        <w:rPr>
          <w:rFonts w:ascii="Times New Roman" w:hAnsi="Times New Roman"/>
          <w:sz w:val="22"/>
          <w:szCs w:val="24"/>
          <w:lang w:val="en-US"/>
        </w:rPr>
        <w:t xml:space="preserve"> over a feature space of more than 300 variables and </w:t>
      </w:r>
      <w:r w:rsidR="001714B4">
        <w:rPr>
          <w:rFonts w:ascii="Times New Roman" w:hAnsi="Times New Roman"/>
          <w:sz w:val="22"/>
          <w:szCs w:val="24"/>
          <w:lang w:val="en-US"/>
        </w:rPr>
        <w:t>are able to successfully forecast and trade OoS short options</w:t>
      </w:r>
      <w:r w:rsidR="00066CBF">
        <w:rPr>
          <w:rFonts w:ascii="Times New Roman" w:hAnsi="Times New Roman"/>
          <w:sz w:val="22"/>
          <w:szCs w:val="24"/>
          <w:lang w:val="en-US"/>
        </w:rPr>
        <w:t xml:space="preserve"> for a positive return with an OoS Adjusted R-squared </w:t>
      </w:r>
      <w:r w:rsidR="009D068B">
        <w:rPr>
          <w:rFonts w:ascii="Times New Roman" w:hAnsi="Times New Roman"/>
          <w:sz w:val="22"/>
          <w:szCs w:val="24"/>
          <w:lang w:val="en-US"/>
        </w:rPr>
        <w:t>(for</w:t>
      </w:r>
      <w:r w:rsidR="005A0C00">
        <w:rPr>
          <w:rFonts w:ascii="Times New Roman" w:hAnsi="Times New Roman"/>
          <w:sz w:val="22"/>
          <w:szCs w:val="24"/>
          <w:lang w:val="en-US"/>
        </w:rPr>
        <w:t xml:space="preserve"> 300 variables) of 2.78%</w:t>
      </w:r>
      <w:r w:rsidR="00CA2F4B">
        <w:rPr>
          <w:rFonts w:ascii="Times New Roman" w:hAnsi="Times New Roman"/>
          <w:sz w:val="22"/>
          <w:szCs w:val="24"/>
          <w:lang w:val="en-US"/>
        </w:rPr>
        <w:t>.</w:t>
      </w:r>
    </w:p>
    <w:p w14:paraId="6C6A9C9C" w14:textId="3F73A25D" w:rsidR="00830A7B" w:rsidRPr="00393B07" w:rsidRDefault="007B04CB" w:rsidP="00AE51AF">
      <w:pPr>
        <w:spacing w:line="360" w:lineRule="auto"/>
        <w:rPr>
          <w:lang w:val="en-US"/>
        </w:rPr>
      </w:pPr>
      <w:r>
        <w:rPr>
          <w:rFonts w:ascii="Times New Roman" w:hAnsi="Times New Roman"/>
          <w:sz w:val="22"/>
          <w:szCs w:val="24"/>
          <w:lang w:val="en-US"/>
        </w:rPr>
        <w:tab/>
      </w:r>
      <w:r w:rsidR="008E12BC">
        <w:rPr>
          <w:rFonts w:ascii="Times New Roman" w:hAnsi="Times New Roman"/>
          <w:sz w:val="22"/>
          <w:szCs w:val="24"/>
          <w:lang w:val="en-US"/>
        </w:rPr>
        <w:t>With this in mind</w:t>
      </w:r>
      <w:r>
        <w:rPr>
          <w:rFonts w:ascii="Times New Roman" w:hAnsi="Times New Roman"/>
          <w:sz w:val="22"/>
          <w:szCs w:val="24"/>
          <w:lang w:val="en-US"/>
        </w:rPr>
        <w:t>, we can discuss the relationship between EAs and Option Trading</w:t>
      </w:r>
      <w:r w:rsidR="008E12BC">
        <w:rPr>
          <w:rFonts w:ascii="Times New Roman" w:hAnsi="Times New Roman"/>
          <w:sz w:val="22"/>
          <w:szCs w:val="24"/>
          <w:lang w:val="en-US"/>
        </w:rPr>
        <w:t xml:space="preserve">. </w:t>
      </w:r>
      <w:r w:rsidR="001C2E8A">
        <w:rPr>
          <w:rFonts w:ascii="Times New Roman" w:hAnsi="Times New Roman"/>
          <w:sz w:val="22"/>
          <w:szCs w:val="24"/>
          <w:lang w:val="en-US"/>
        </w:rPr>
        <w:t xml:space="preserve">The idea behind </w:t>
      </w:r>
      <w:r w:rsidR="00A078F9">
        <w:rPr>
          <w:rFonts w:ascii="Times New Roman" w:hAnsi="Times New Roman"/>
          <w:sz w:val="22"/>
          <w:szCs w:val="24"/>
          <w:lang w:val="en-US"/>
        </w:rPr>
        <w:t>trading options around earnings</w:t>
      </w:r>
      <w:r w:rsidR="00CD7EC1">
        <w:rPr>
          <w:rFonts w:ascii="Times New Roman" w:hAnsi="Times New Roman"/>
          <w:sz w:val="22"/>
          <w:szCs w:val="24"/>
          <w:lang w:val="en-US"/>
        </w:rPr>
        <w:t xml:space="preserve"> is to short an ATM Straddle</w:t>
      </w:r>
      <w:r w:rsidR="00BC7D86">
        <w:rPr>
          <w:rFonts w:ascii="Times New Roman" w:hAnsi="Times New Roman"/>
          <w:sz w:val="22"/>
          <w:szCs w:val="24"/>
          <w:lang w:val="en-US"/>
        </w:rPr>
        <w:t xml:space="preserve"> of the closest expiration</w:t>
      </w:r>
      <w:r w:rsidR="00CD7EC1">
        <w:rPr>
          <w:rFonts w:ascii="Times New Roman" w:hAnsi="Times New Roman"/>
          <w:sz w:val="22"/>
          <w:szCs w:val="24"/>
          <w:lang w:val="en-US"/>
        </w:rPr>
        <w:t xml:space="preserve"> on the eve of the event (just before market close on the day before EA) and close </w:t>
      </w:r>
      <w:r w:rsidR="00843323">
        <w:rPr>
          <w:rFonts w:ascii="Times New Roman" w:hAnsi="Times New Roman"/>
          <w:sz w:val="22"/>
          <w:szCs w:val="24"/>
          <w:lang w:val="en-US"/>
        </w:rPr>
        <w:t>the ATM Straddle the next trading day</w:t>
      </w:r>
      <w:r w:rsidR="0034764A">
        <w:rPr>
          <w:rFonts w:ascii="Times New Roman" w:hAnsi="Times New Roman"/>
          <w:sz w:val="22"/>
          <w:szCs w:val="24"/>
          <w:lang w:val="en-US"/>
        </w:rPr>
        <w:t xml:space="preserve">. </w:t>
      </w:r>
      <w:r w:rsidR="002D30EF">
        <w:rPr>
          <w:rFonts w:ascii="Times New Roman" w:hAnsi="Times New Roman"/>
          <w:sz w:val="22"/>
          <w:szCs w:val="24"/>
          <w:lang w:val="en-US"/>
        </w:rPr>
        <w:t xml:space="preserve">The rational is that Option prices will plumet due to the IV crush (Short Options have negative Vega) and since Options tend to be overpriced (Variance Risk Premium), it is likely that the </w:t>
      </w:r>
      <w:r w:rsidR="004C60D3">
        <w:rPr>
          <w:rFonts w:ascii="Times New Roman" w:hAnsi="Times New Roman"/>
          <w:sz w:val="22"/>
          <w:szCs w:val="24"/>
          <w:lang w:val="en-US"/>
        </w:rPr>
        <w:t xml:space="preserve">profit generated from the </w:t>
      </w:r>
      <w:r w:rsidR="00A95D79">
        <w:rPr>
          <w:rFonts w:ascii="Times New Roman" w:hAnsi="Times New Roman"/>
          <w:sz w:val="22"/>
          <w:szCs w:val="24"/>
          <w:lang w:val="en-US"/>
        </w:rPr>
        <w:t>IV crush would outweigh the gamma loss in the underlying (Short Options are negative Gamma so any substantial move either up or down leads to losses)</w:t>
      </w:r>
      <w:r w:rsidR="0082658D">
        <w:rPr>
          <w:rFonts w:ascii="Times New Roman" w:hAnsi="Times New Roman"/>
          <w:sz w:val="22"/>
          <w:szCs w:val="24"/>
          <w:lang w:val="en-US"/>
        </w:rPr>
        <w:t xml:space="preserve">. </w:t>
      </w:r>
      <w:r w:rsidR="00D7054F">
        <w:rPr>
          <w:rFonts w:ascii="Times New Roman" w:hAnsi="Times New Roman"/>
          <w:sz w:val="22"/>
          <w:szCs w:val="24"/>
          <w:lang w:val="en-US"/>
        </w:rPr>
        <w:t xml:space="preserve">The literature is split </w:t>
      </w:r>
      <w:r w:rsidR="00592A4F">
        <w:rPr>
          <w:rFonts w:ascii="Times New Roman" w:hAnsi="Times New Roman"/>
          <w:sz w:val="22"/>
          <w:szCs w:val="24"/>
          <w:lang w:val="en-US"/>
        </w:rPr>
        <w:t>on how to measure the move in the underlying</w:t>
      </w:r>
      <w:r w:rsidR="00910BB3">
        <w:rPr>
          <w:rFonts w:ascii="Times New Roman" w:hAnsi="Times New Roman"/>
          <w:sz w:val="22"/>
          <w:szCs w:val="24"/>
          <w:lang w:val="en-US"/>
        </w:rPr>
        <w:t xml:space="preserve"> i.e. what to use to compute the Gamma Loss</w:t>
      </w:r>
      <w:r w:rsidR="00592A4F">
        <w:rPr>
          <w:rFonts w:ascii="Times New Roman" w:hAnsi="Times New Roman"/>
          <w:sz w:val="22"/>
          <w:szCs w:val="24"/>
          <w:lang w:val="en-US"/>
        </w:rPr>
        <w:t xml:space="preserve">. </w:t>
      </w:r>
      <w:r w:rsidR="00321F9E">
        <w:rPr>
          <w:rFonts w:ascii="Times New Roman" w:hAnsi="Times New Roman"/>
          <w:sz w:val="22"/>
          <w:szCs w:val="24"/>
          <w:lang w:val="en-US"/>
        </w:rPr>
        <w:t>Most academic papers</w:t>
      </w:r>
      <w:r w:rsidR="00592A4F">
        <w:rPr>
          <w:rFonts w:ascii="Times New Roman" w:hAnsi="Times New Roman"/>
          <w:sz w:val="22"/>
          <w:szCs w:val="24"/>
          <w:lang w:val="en-US"/>
        </w:rPr>
        <w:t xml:space="preserve"> use the </w:t>
      </w:r>
      <w:r w:rsidR="00894275">
        <w:rPr>
          <w:rFonts w:ascii="Times New Roman" w:hAnsi="Times New Roman"/>
          <w:sz w:val="22"/>
          <w:szCs w:val="24"/>
          <w:lang w:val="en-US"/>
        </w:rPr>
        <w:t xml:space="preserve">Pre-Event </w:t>
      </w:r>
      <w:r w:rsidR="00592A4F">
        <w:rPr>
          <w:rFonts w:ascii="Times New Roman" w:hAnsi="Times New Roman"/>
          <w:sz w:val="22"/>
          <w:szCs w:val="24"/>
          <w:lang w:val="en-US"/>
        </w:rPr>
        <w:t xml:space="preserve">Close – to – </w:t>
      </w:r>
      <w:r w:rsidR="00894275">
        <w:rPr>
          <w:rFonts w:ascii="Times New Roman" w:hAnsi="Times New Roman"/>
          <w:sz w:val="22"/>
          <w:szCs w:val="24"/>
          <w:lang w:val="en-US"/>
        </w:rPr>
        <w:t xml:space="preserve">Post-Event </w:t>
      </w:r>
      <w:r w:rsidR="00592A4F">
        <w:rPr>
          <w:rFonts w:ascii="Times New Roman" w:hAnsi="Times New Roman"/>
          <w:sz w:val="22"/>
          <w:szCs w:val="24"/>
          <w:lang w:val="en-US"/>
        </w:rPr>
        <w:t xml:space="preserve">Open change as a measure of the </w:t>
      </w:r>
      <w:r w:rsidR="0051080B">
        <w:rPr>
          <w:rFonts w:ascii="Times New Roman" w:hAnsi="Times New Roman"/>
          <w:sz w:val="22"/>
          <w:szCs w:val="24"/>
          <w:lang w:val="en-US"/>
        </w:rPr>
        <w:t>earnings-related</w:t>
      </w:r>
      <w:r w:rsidR="00592A4F">
        <w:rPr>
          <w:rFonts w:ascii="Times New Roman" w:hAnsi="Times New Roman"/>
          <w:sz w:val="22"/>
          <w:szCs w:val="24"/>
          <w:lang w:val="en-US"/>
        </w:rPr>
        <w:t xml:space="preserve"> move</w:t>
      </w:r>
      <w:r w:rsidR="003E6957">
        <w:rPr>
          <w:rFonts w:ascii="Times New Roman" w:hAnsi="Times New Roman"/>
          <w:sz w:val="22"/>
          <w:szCs w:val="24"/>
          <w:lang w:val="en-US"/>
        </w:rPr>
        <w:t>, colloquially known as how much the stock gapped the day after the earnings were announced (discrete jump)</w:t>
      </w:r>
      <w:r w:rsidR="0051080B">
        <w:rPr>
          <w:rFonts w:ascii="Times New Roman" w:hAnsi="Times New Roman"/>
          <w:sz w:val="22"/>
          <w:szCs w:val="24"/>
          <w:lang w:val="en-US"/>
        </w:rPr>
        <w:t>. Th</w:t>
      </w:r>
      <w:r w:rsidR="00B30B42">
        <w:rPr>
          <w:rFonts w:ascii="Times New Roman" w:hAnsi="Times New Roman"/>
          <w:sz w:val="22"/>
          <w:szCs w:val="24"/>
          <w:lang w:val="en-US"/>
        </w:rPr>
        <w:t>is makes sense theoretically, but empirically this approach has a few flaws.</w:t>
      </w:r>
      <w:r w:rsidR="00393B07">
        <w:rPr>
          <w:rFonts w:ascii="Times New Roman" w:hAnsi="Times New Roman"/>
          <w:sz w:val="22"/>
          <w:szCs w:val="24"/>
          <w:lang w:val="en-US"/>
        </w:rPr>
        <w:t xml:space="preserve"> Firstly, a lot of the </w:t>
      </w:r>
      <w:r w:rsidR="00885B1A">
        <w:rPr>
          <w:rFonts w:ascii="Times New Roman" w:hAnsi="Times New Roman"/>
          <w:sz w:val="22"/>
          <w:szCs w:val="24"/>
          <w:lang w:val="en-US"/>
        </w:rPr>
        <w:t>earnings-related</w:t>
      </w:r>
      <w:r w:rsidR="00393B07">
        <w:rPr>
          <w:rFonts w:ascii="Times New Roman" w:hAnsi="Times New Roman"/>
          <w:sz w:val="22"/>
          <w:szCs w:val="24"/>
          <w:lang w:val="en-US"/>
        </w:rPr>
        <w:t xml:space="preserve"> price movement occurs in the first few minutes </w:t>
      </w:r>
      <w:r w:rsidR="005836E2">
        <w:rPr>
          <w:rFonts w:ascii="Times New Roman" w:hAnsi="Times New Roman"/>
          <w:sz w:val="22"/>
          <w:szCs w:val="24"/>
          <w:lang w:val="en-US"/>
        </w:rPr>
        <w:t xml:space="preserve">after the earnings release, therefore the discrete jump from close to open </w:t>
      </w:r>
      <w:r w:rsidR="008E6DF3">
        <w:rPr>
          <w:rFonts w:ascii="Times New Roman" w:hAnsi="Times New Roman"/>
          <w:sz w:val="22"/>
          <w:szCs w:val="24"/>
          <w:lang w:val="en-US"/>
        </w:rPr>
        <w:t xml:space="preserve">does not fully encompass the </w:t>
      </w:r>
      <w:r w:rsidR="001D746A">
        <w:rPr>
          <w:rFonts w:ascii="Times New Roman" w:hAnsi="Times New Roman"/>
          <w:sz w:val="22"/>
          <w:szCs w:val="24"/>
          <w:lang w:val="en-US"/>
        </w:rPr>
        <w:t xml:space="preserve">pricing information in earnings (Patel &amp; Wolfson, 1984). </w:t>
      </w:r>
      <w:r w:rsidR="0087774D">
        <w:rPr>
          <w:rFonts w:ascii="Times New Roman" w:hAnsi="Times New Roman"/>
          <w:sz w:val="22"/>
          <w:szCs w:val="24"/>
          <w:lang w:val="en-US"/>
        </w:rPr>
        <w:t xml:space="preserve">Secondly, in the first few minutes after open </w:t>
      </w:r>
      <w:r w:rsidR="00B661BD">
        <w:rPr>
          <w:rFonts w:ascii="Times New Roman" w:hAnsi="Times New Roman"/>
          <w:sz w:val="22"/>
          <w:szCs w:val="24"/>
          <w:lang w:val="en-US"/>
        </w:rPr>
        <w:t>the bid-ask spread on options is so wide that for all intents and purposes trades can not be closed</w:t>
      </w:r>
      <w:r w:rsidR="00160B95">
        <w:rPr>
          <w:rFonts w:ascii="Times New Roman" w:hAnsi="Times New Roman"/>
          <w:sz w:val="22"/>
          <w:szCs w:val="24"/>
          <w:lang w:val="en-US"/>
        </w:rPr>
        <w:t xml:space="preserve">, so in practice any research </w:t>
      </w:r>
      <w:r w:rsidR="00253715">
        <w:rPr>
          <w:rFonts w:ascii="Times New Roman" w:hAnsi="Times New Roman"/>
          <w:sz w:val="22"/>
          <w:szCs w:val="24"/>
          <w:lang w:val="en-US"/>
        </w:rPr>
        <w:t>developing</w:t>
      </w:r>
      <w:r w:rsidR="00420055">
        <w:rPr>
          <w:rFonts w:ascii="Times New Roman" w:hAnsi="Times New Roman"/>
          <w:sz w:val="22"/>
          <w:szCs w:val="24"/>
          <w:lang w:val="en-US"/>
        </w:rPr>
        <w:t xml:space="preserve"> </w:t>
      </w:r>
      <w:r w:rsidR="00613E8D">
        <w:rPr>
          <w:rFonts w:ascii="Times New Roman" w:hAnsi="Times New Roman"/>
          <w:sz w:val="22"/>
          <w:szCs w:val="24"/>
          <w:lang w:val="en-US"/>
        </w:rPr>
        <w:t xml:space="preserve">a trading system, which </w:t>
      </w:r>
      <w:r w:rsidR="002033FE">
        <w:rPr>
          <w:rFonts w:ascii="Times New Roman" w:hAnsi="Times New Roman"/>
          <w:sz w:val="22"/>
          <w:szCs w:val="24"/>
          <w:lang w:val="en-US"/>
        </w:rPr>
        <w:t xml:space="preserve">assumes that the Short Straddles </w:t>
      </w:r>
      <w:r w:rsidR="004864A4">
        <w:rPr>
          <w:rFonts w:ascii="Times New Roman" w:hAnsi="Times New Roman"/>
          <w:sz w:val="22"/>
          <w:szCs w:val="24"/>
          <w:lang w:val="en-US"/>
        </w:rPr>
        <w:t xml:space="preserve">can be closed in the first 5 minutes after open are </w:t>
      </w:r>
      <w:r w:rsidR="00E65689">
        <w:rPr>
          <w:rFonts w:ascii="Times New Roman" w:hAnsi="Times New Roman"/>
          <w:sz w:val="22"/>
          <w:szCs w:val="24"/>
          <w:lang w:val="en-US"/>
        </w:rPr>
        <w:t xml:space="preserve">rather unrealistic. Thirdly, is data </w:t>
      </w:r>
      <w:r w:rsidR="00F30C57">
        <w:rPr>
          <w:rFonts w:ascii="Times New Roman" w:hAnsi="Times New Roman"/>
          <w:sz w:val="22"/>
          <w:szCs w:val="24"/>
          <w:lang w:val="en-US"/>
        </w:rPr>
        <w:t>availability</w:t>
      </w:r>
      <w:r w:rsidR="00E65689">
        <w:rPr>
          <w:rFonts w:ascii="Times New Roman" w:hAnsi="Times New Roman"/>
          <w:sz w:val="22"/>
          <w:szCs w:val="24"/>
          <w:lang w:val="en-US"/>
        </w:rPr>
        <w:t>, the aim of this thesis</w:t>
      </w:r>
      <w:r w:rsidR="00B757D9">
        <w:rPr>
          <w:rFonts w:ascii="Times New Roman" w:hAnsi="Times New Roman"/>
          <w:sz w:val="22"/>
          <w:szCs w:val="24"/>
          <w:lang w:val="en-US"/>
        </w:rPr>
        <w:t xml:space="preserve"> is</w:t>
      </w:r>
      <w:r w:rsidR="00E65689">
        <w:rPr>
          <w:rFonts w:ascii="Times New Roman" w:hAnsi="Times New Roman"/>
          <w:sz w:val="22"/>
          <w:szCs w:val="24"/>
          <w:lang w:val="en-US"/>
        </w:rPr>
        <w:t xml:space="preserve"> </w:t>
      </w:r>
      <w:r w:rsidR="005D5CCE">
        <w:rPr>
          <w:rFonts w:ascii="Times New Roman" w:hAnsi="Times New Roman"/>
          <w:sz w:val="22"/>
          <w:szCs w:val="24"/>
          <w:lang w:val="en-US"/>
        </w:rPr>
        <w:t>after all</w:t>
      </w:r>
      <w:r w:rsidR="00E45FD0">
        <w:rPr>
          <w:rFonts w:ascii="Times New Roman" w:hAnsi="Times New Roman"/>
          <w:sz w:val="22"/>
          <w:szCs w:val="24"/>
          <w:lang w:val="en-US"/>
        </w:rPr>
        <w:t xml:space="preserve"> </w:t>
      </w:r>
      <w:r w:rsidR="00E65689">
        <w:rPr>
          <w:rFonts w:ascii="Times New Roman" w:hAnsi="Times New Roman"/>
          <w:sz w:val="22"/>
          <w:szCs w:val="24"/>
          <w:lang w:val="en-US"/>
        </w:rPr>
        <w:t xml:space="preserve">is to </w:t>
      </w:r>
      <w:r w:rsidR="004C5126">
        <w:rPr>
          <w:rFonts w:ascii="Times New Roman" w:hAnsi="Times New Roman"/>
          <w:sz w:val="22"/>
          <w:szCs w:val="24"/>
          <w:lang w:val="en-US"/>
        </w:rPr>
        <w:t xml:space="preserve">produce a </w:t>
      </w:r>
      <w:r w:rsidR="00340BB4">
        <w:rPr>
          <w:rFonts w:ascii="Times New Roman" w:hAnsi="Times New Roman"/>
          <w:sz w:val="22"/>
          <w:szCs w:val="24"/>
          <w:lang w:val="en-US"/>
        </w:rPr>
        <w:t>pragmatic</w:t>
      </w:r>
      <w:r w:rsidR="004C5126">
        <w:rPr>
          <w:rFonts w:ascii="Times New Roman" w:hAnsi="Times New Roman"/>
          <w:sz w:val="22"/>
          <w:szCs w:val="24"/>
          <w:lang w:val="en-US"/>
        </w:rPr>
        <w:t xml:space="preserve"> forecasting tool, which can be used </w:t>
      </w:r>
      <w:r w:rsidR="000B73BB">
        <w:rPr>
          <w:rFonts w:ascii="Times New Roman" w:hAnsi="Times New Roman"/>
          <w:sz w:val="22"/>
          <w:szCs w:val="24"/>
          <w:lang w:val="en-US"/>
        </w:rPr>
        <w:t>to predict the magnitude of EA moves and trade them profitably</w:t>
      </w:r>
      <w:r w:rsidR="00F84776">
        <w:rPr>
          <w:rFonts w:ascii="Times New Roman" w:hAnsi="Times New Roman"/>
          <w:sz w:val="22"/>
          <w:szCs w:val="24"/>
          <w:lang w:val="en-US"/>
        </w:rPr>
        <w:t>.</w:t>
      </w:r>
      <w:r w:rsidR="000B73BB">
        <w:rPr>
          <w:rFonts w:ascii="Times New Roman" w:hAnsi="Times New Roman"/>
          <w:sz w:val="22"/>
          <w:szCs w:val="24"/>
          <w:lang w:val="en-US"/>
        </w:rPr>
        <w:t xml:space="preserve"> </w:t>
      </w:r>
      <w:r w:rsidR="000B1540">
        <w:rPr>
          <w:rFonts w:ascii="Times New Roman" w:hAnsi="Times New Roman"/>
          <w:sz w:val="22"/>
          <w:szCs w:val="24"/>
          <w:lang w:val="en-US"/>
        </w:rPr>
        <w:t xml:space="preserve">Currently, the only </w:t>
      </w:r>
      <w:r w:rsidR="00182D5B">
        <w:rPr>
          <w:rFonts w:ascii="Times New Roman" w:hAnsi="Times New Roman"/>
          <w:sz w:val="22"/>
          <w:szCs w:val="24"/>
          <w:lang w:val="en-US"/>
        </w:rPr>
        <w:t>high-quality</w:t>
      </w:r>
      <w:r w:rsidR="000B1540">
        <w:rPr>
          <w:rFonts w:ascii="Times New Roman" w:hAnsi="Times New Roman"/>
          <w:sz w:val="22"/>
          <w:szCs w:val="24"/>
          <w:lang w:val="en-US"/>
        </w:rPr>
        <w:t xml:space="preserve"> Options Data </w:t>
      </w:r>
      <w:r w:rsidR="00F30C57">
        <w:rPr>
          <w:rFonts w:ascii="Times New Roman" w:hAnsi="Times New Roman"/>
          <w:sz w:val="22"/>
          <w:szCs w:val="24"/>
          <w:lang w:val="en-US"/>
        </w:rPr>
        <w:t>available</w:t>
      </w:r>
      <w:r w:rsidR="00182D5B">
        <w:rPr>
          <w:rFonts w:ascii="Times New Roman" w:hAnsi="Times New Roman"/>
          <w:sz w:val="22"/>
          <w:szCs w:val="24"/>
          <w:lang w:val="en-US"/>
        </w:rPr>
        <w:t xml:space="preserve"> for research consists of End of Day (Close) Prices</w:t>
      </w:r>
      <w:r w:rsidR="008E35A4">
        <w:rPr>
          <w:rFonts w:ascii="Times New Roman" w:hAnsi="Times New Roman"/>
          <w:sz w:val="22"/>
          <w:szCs w:val="24"/>
          <w:lang w:val="en-US"/>
        </w:rPr>
        <w:t xml:space="preserve"> from </w:t>
      </w:r>
      <w:r w:rsidR="00253715">
        <w:rPr>
          <w:rFonts w:ascii="Times New Roman" w:hAnsi="Times New Roman"/>
          <w:sz w:val="22"/>
          <w:szCs w:val="24"/>
          <w:lang w:val="en-US"/>
        </w:rPr>
        <w:t>I</w:t>
      </w:r>
      <w:r w:rsidR="008E35A4">
        <w:rPr>
          <w:rFonts w:ascii="Times New Roman" w:hAnsi="Times New Roman"/>
          <w:sz w:val="22"/>
          <w:szCs w:val="24"/>
          <w:lang w:val="en-US"/>
        </w:rPr>
        <w:t>vyDB</w:t>
      </w:r>
      <w:r w:rsidR="00C35028">
        <w:rPr>
          <w:rFonts w:ascii="Times New Roman" w:hAnsi="Times New Roman"/>
          <w:sz w:val="22"/>
          <w:szCs w:val="24"/>
          <w:lang w:val="en-US"/>
        </w:rPr>
        <w:t xml:space="preserve">, therefore </w:t>
      </w:r>
      <w:r w:rsidR="002C46B9">
        <w:rPr>
          <w:rFonts w:ascii="Times New Roman" w:hAnsi="Times New Roman"/>
          <w:sz w:val="22"/>
          <w:szCs w:val="24"/>
          <w:lang w:val="en-US"/>
        </w:rPr>
        <w:t>making assumptions about closing ATM Straddles around the open</w:t>
      </w:r>
      <w:r w:rsidR="008E35A4">
        <w:rPr>
          <w:rFonts w:ascii="Times New Roman" w:hAnsi="Times New Roman"/>
          <w:sz w:val="22"/>
          <w:szCs w:val="24"/>
          <w:lang w:val="en-US"/>
        </w:rPr>
        <w:t xml:space="preserve"> or intraday</w:t>
      </w:r>
      <w:r w:rsidR="002C46B9">
        <w:rPr>
          <w:rFonts w:ascii="Times New Roman" w:hAnsi="Times New Roman"/>
          <w:sz w:val="22"/>
          <w:szCs w:val="24"/>
          <w:lang w:val="en-US"/>
        </w:rPr>
        <w:t xml:space="preserve"> </w:t>
      </w:r>
      <w:r w:rsidR="004E22B4">
        <w:rPr>
          <w:rFonts w:ascii="Times New Roman" w:hAnsi="Times New Roman"/>
          <w:sz w:val="22"/>
          <w:szCs w:val="24"/>
          <w:lang w:val="en-US"/>
        </w:rPr>
        <w:t>is unreasonable</w:t>
      </w:r>
      <w:r w:rsidR="008448E2">
        <w:rPr>
          <w:rFonts w:ascii="Times New Roman" w:hAnsi="Times New Roman"/>
          <w:sz w:val="22"/>
          <w:szCs w:val="24"/>
          <w:lang w:val="en-US"/>
        </w:rPr>
        <w:t>.</w:t>
      </w:r>
    </w:p>
    <w:p w14:paraId="74B73868" w14:textId="5CC4AC30" w:rsidR="00805A13" w:rsidRDefault="00BC7D86" w:rsidP="00AE51AF">
      <w:pPr>
        <w:spacing w:line="360" w:lineRule="auto"/>
        <w:rPr>
          <w:rFonts w:ascii="Times New Roman" w:hAnsi="Times New Roman"/>
          <w:sz w:val="22"/>
          <w:szCs w:val="24"/>
          <w:lang w:val="en-US"/>
        </w:rPr>
      </w:pPr>
      <w:r>
        <w:rPr>
          <w:rFonts w:ascii="Times New Roman" w:hAnsi="Times New Roman"/>
          <w:sz w:val="22"/>
          <w:szCs w:val="24"/>
          <w:lang w:val="en-US"/>
        </w:rPr>
        <w:tab/>
      </w:r>
      <w:r w:rsidR="00A64824">
        <w:rPr>
          <w:rFonts w:ascii="Times New Roman" w:hAnsi="Times New Roman"/>
          <w:sz w:val="22"/>
          <w:szCs w:val="24"/>
          <w:lang w:val="en-US"/>
        </w:rPr>
        <w:t>Hence</w:t>
      </w:r>
      <w:r>
        <w:rPr>
          <w:rFonts w:ascii="Times New Roman" w:hAnsi="Times New Roman"/>
          <w:sz w:val="22"/>
          <w:szCs w:val="24"/>
          <w:lang w:val="en-US"/>
        </w:rPr>
        <w:t xml:space="preserve">, the second </w:t>
      </w:r>
      <w:r w:rsidR="00EA0224">
        <w:rPr>
          <w:rFonts w:ascii="Times New Roman" w:hAnsi="Times New Roman"/>
          <w:sz w:val="22"/>
          <w:szCs w:val="24"/>
          <w:lang w:val="en-US"/>
        </w:rPr>
        <w:t xml:space="preserve">approach </w:t>
      </w:r>
      <w:r w:rsidR="00491123">
        <w:rPr>
          <w:rFonts w:ascii="Times New Roman" w:hAnsi="Times New Roman"/>
          <w:sz w:val="22"/>
          <w:szCs w:val="24"/>
          <w:lang w:val="en-US"/>
        </w:rPr>
        <w:t>of</w:t>
      </w:r>
      <w:r w:rsidR="00FB2757">
        <w:rPr>
          <w:rFonts w:ascii="Times New Roman" w:hAnsi="Times New Roman"/>
          <w:sz w:val="22"/>
          <w:szCs w:val="24"/>
          <w:lang w:val="en-US"/>
        </w:rPr>
        <w:t xml:space="preserve"> measuring the Earnings Realized Move </w:t>
      </w:r>
      <w:r w:rsidR="00AD2F3E">
        <w:rPr>
          <w:rFonts w:ascii="Times New Roman" w:hAnsi="Times New Roman"/>
          <w:sz w:val="22"/>
          <w:szCs w:val="24"/>
          <w:lang w:val="en-US"/>
        </w:rPr>
        <w:t>(Pre – Event Close to Post – Event Close) is preferable</w:t>
      </w:r>
      <w:r w:rsidR="00F11056">
        <w:rPr>
          <w:rFonts w:ascii="Times New Roman" w:hAnsi="Times New Roman"/>
          <w:sz w:val="22"/>
          <w:szCs w:val="24"/>
          <w:lang w:val="en-US"/>
        </w:rPr>
        <w:t xml:space="preserve"> and will be used throughout the thesis</w:t>
      </w:r>
      <w:r w:rsidR="005929FF">
        <w:rPr>
          <w:rFonts w:ascii="Times New Roman" w:hAnsi="Times New Roman"/>
          <w:sz w:val="22"/>
          <w:szCs w:val="24"/>
          <w:lang w:val="en-US"/>
        </w:rPr>
        <w:t xml:space="preserve"> as the </w:t>
      </w:r>
      <w:r w:rsidR="00502B81">
        <w:rPr>
          <w:rFonts w:ascii="Times New Roman" w:hAnsi="Times New Roman"/>
          <w:sz w:val="22"/>
          <w:szCs w:val="24"/>
          <w:lang w:val="en-US"/>
        </w:rPr>
        <w:t xml:space="preserve">dependent variable </w:t>
      </w:r>
      <w:r w:rsidR="00E735F4">
        <w:rPr>
          <w:rFonts w:ascii="Times New Roman" w:hAnsi="Times New Roman"/>
          <w:sz w:val="22"/>
          <w:szCs w:val="24"/>
          <w:lang w:val="en-US"/>
        </w:rPr>
        <w:t>(what</w:t>
      </w:r>
      <w:r w:rsidR="00502B81">
        <w:rPr>
          <w:rFonts w:ascii="Times New Roman" w:hAnsi="Times New Roman"/>
          <w:sz w:val="22"/>
          <w:szCs w:val="24"/>
          <w:lang w:val="en-US"/>
        </w:rPr>
        <w:t xml:space="preserve"> we will forecast) and as a </w:t>
      </w:r>
      <w:r w:rsidR="005929FF">
        <w:rPr>
          <w:rFonts w:ascii="Times New Roman" w:hAnsi="Times New Roman"/>
          <w:sz w:val="22"/>
          <w:szCs w:val="24"/>
          <w:lang w:val="en-US"/>
        </w:rPr>
        <w:t xml:space="preserve">basis for calculating the Gamma Loss </w:t>
      </w:r>
      <w:r w:rsidR="006F5F95">
        <w:rPr>
          <w:rFonts w:ascii="Times New Roman" w:hAnsi="Times New Roman"/>
          <w:sz w:val="22"/>
          <w:szCs w:val="24"/>
          <w:lang w:val="en-US"/>
        </w:rPr>
        <w:t>of Short Straddles</w:t>
      </w:r>
      <w:r w:rsidR="00AD2F3E">
        <w:rPr>
          <w:rFonts w:ascii="Times New Roman" w:hAnsi="Times New Roman"/>
          <w:sz w:val="22"/>
          <w:szCs w:val="24"/>
          <w:lang w:val="en-US"/>
        </w:rPr>
        <w:t>.</w:t>
      </w:r>
      <w:r w:rsidR="00911F71">
        <w:rPr>
          <w:rFonts w:ascii="Times New Roman" w:hAnsi="Times New Roman"/>
          <w:sz w:val="22"/>
          <w:szCs w:val="24"/>
          <w:lang w:val="en-US"/>
        </w:rPr>
        <w:t xml:space="preserve"> Lipkin &amp; Tatevossian (2024)</w:t>
      </w:r>
      <w:r w:rsidR="00A95911">
        <w:rPr>
          <w:rFonts w:ascii="Times New Roman" w:hAnsi="Times New Roman"/>
          <w:sz w:val="22"/>
          <w:szCs w:val="24"/>
          <w:lang w:val="en-US"/>
        </w:rPr>
        <w:t xml:space="preserve"> provide very valuable </w:t>
      </w:r>
      <w:r w:rsidR="00822FEE">
        <w:rPr>
          <w:rFonts w:ascii="Times New Roman" w:hAnsi="Times New Roman"/>
          <w:sz w:val="22"/>
          <w:szCs w:val="24"/>
          <w:lang w:val="en-US"/>
        </w:rPr>
        <w:t>contribution</w:t>
      </w:r>
      <w:r w:rsidR="00A95911">
        <w:rPr>
          <w:rFonts w:ascii="Times New Roman" w:hAnsi="Times New Roman"/>
          <w:sz w:val="22"/>
          <w:szCs w:val="24"/>
          <w:lang w:val="en-US"/>
        </w:rPr>
        <w:t xml:space="preserve"> on the topic</w:t>
      </w:r>
      <w:r w:rsidR="006F0622">
        <w:rPr>
          <w:rFonts w:ascii="Times New Roman" w:hAnsi="Times New Roman"/>
          <w:sz w:val="22"/>
          <w:szCs w:val="24"/>
          <w:lang w:val="en-US"/>
        </w:rPr>
        <w:t xml:space="preserve">. In their paper </w:t>
      </w:r>
      <w:r w:rsidR="008F1C5B">
        <w:rPr>
          <w:rFonts w:ascii="Times New Roman" w:hAnsi="Times New Roman"/>
          <w:sz w:val="22"/>
          <w:szCs w:val="24"/>
          <w:lang w:val="en-US"/>
        </w:rPr>
        <w:t>the authors</w:t>
      </w:r>
      <w:r w:rsidR="006F0622">
        <w:rPr>
          <w:rFonts w:ascii="Times New Roman" w:hAnsi="Times New Roman"/>
          <w:sz w:val="22"/>
          <w:szCs w:val="24"/>
          <w:lang w:val="en-US"/>
        </w:rPr>
        <w:t xml:space="preserve"> stipulate </w:t>
      </w:r>
      <w:r w:rsidR="006F0622">
        <w:rPr>
          <w:rFonts w:ascii="Times New Roman" w:hAnsi="Times New Roman"/>
          <w:sz w:val="22"/>
          <w:szCs w:val="24"/>
          <w:lang w:val="en-US"/>
        </w:rPr>
        <w:lastRenderedPageBreak/>
        <w:t xml:space="preserve">that earnings realized moves (Close to Close) tend to form </w:t>
      </w:r>
      <w:r w:rsidR="00EA6B33">
        <w:rPr>
          <w:rFonts w:ascii="Times New Roman" w:hAnsi="Times New Roman"/>
          <w:sz w:val="22"/>
          <w:szCs w:val="24"/>
          <w:lang w:val="en-US"/>
        </w:rPr>
        <w:t>a symmetric distribution</w:t>
      </w:r>
      <w:r w:rsidR="0047685B">
        <w:rPr>
          <w:rFonts w:ascii="Times New Roman" w:hAnsi="Times New Roman"/>
          <w:sz w:val="22"/>
          <w:szCs w:val="24"/>
          <w:lang w:val="en-US"/>
        </w:rPr>
        <w:t xml:space="preserve">. The </w:t>
      </w:r>
      <w:r w:rsidR="00473590">
        <w:rPr>
          <w:rFonts w:ascii="Times New Roman" w:hAnsi="Times New Roman"/>
          <w:sz w:val="22"/>
          <w:szCs w:val="24"/>
          <w:lang w:val="en-US"/>
        </w:rPr>
        <w:t xml:space="preserve">empirical </w:t>
      </w:r>
      <w:r w:rsidR="0047685B">
        <w:rPr>
          <w:rFonts w:ascii="Times New Roman" w:hAnsi="Times New Roman"/>
          <w:sz w:val="22"/>
          <w:szCs w:val="24"/>
          <w:lang w:val="en-US"/>
        </w:rPr>
        <w:t>distribution</w:t>
      </w:r>
      <w:r w:rsidR="00473590">
        <w:rPr>
          <w:rFonts w:ascii="Times New Roman" w:hAnsi="Times New Roman"/>
          <w:sz w:val="22"/>
          <w:szCs w:val="24"/>
          <w:lang w:val="en-US"/>
        </w:rPr>
        <w:t xml:space="preserve"> has fatter tails</w:t>
      </w:r>
      <w:r w:rsidR="001D3F07">
        <w:rPr>
          <w:rFonts w:ascii="Times New Roman" w:hAnsi="Times New Roman"/>
          <w:sz w:val="22"/>
          <w:szCs w:val="24"/>
          <w:lang w:val="en-US"/>
        </w:rPr>
        <w:t xml:space="preserve"> than the normal or Student-t and the best fit is offered by the Laplace distribution</w:t>
      </w:r>
      <w:r w:rsidR="00673A4D">
        <w:rPr>
          <w:rFonts w:ascii="Times New Roman" w:hAnsi="Times New Roman"/>
          <w:sz w:val="22"/>
          <w:szCs w:val="24"/>
          <w:lang w:val="en-US"/>
        </w:rPr>
        <w:t xml:space="preserve">. </w:t>
      </w:r>
      <w:r w:rsidR="00473590">
        <w:rPr>
          <w:rFonts w:ascii="Times New Roman" w:hAnsi="Times New Roman"/>
          <w:sz w:val="22"/>
          <w:szCs w:val="24"/>
          <w:lang w:val="en-US"/>
        </w:rPr>
        <w:t xml:space="preserve"> </w:t>
      </w:r>
      <w:r w:rsidR="00D2531F">
        <w:rPr>
          <w:rFonts w:ascii="Times New Roman" w:hAnsi="Times New Roman"/>
          <w:sz w:val="22"/>
          <w:szCs w:val="24"/>
          <w:lang w:val="en-US"/>
        </w:rPr>
        <w:t xml:space="preserve">Lipkin &amp; Tatevossian (2024) </w:t>
      </w:r>
      <w:r w:rsidR="00E4176E">
        <w:rPr>
          <w:rFonts w:ascii="Times New Roman" w:hAnsi="Times New Roman"/>
          <w:sz w:val="22"/>
          <w:szCs w:val="24"/>
          <w:lang w:val="en-US"/>
        </w:rPr>
        <w:t xml:space="preserve">employ a methodology similar to that of Durbinsky et al (2018) </w:t>
      </w:r>
      <w:r w:rsidR="002F430B">
        <w:rPr>
          <w:rFonts w:ascii="Times New Roman" w:hAnsi="Times New Roman"/>
          <w:sz w:val="22"/>
          <w:szCs w:val="24"/>
          <w:lang w:val="en-US"/>
        </w:rPr>
        <w:t xml:space="preserve">where they find that the ex-ante expected 1-day event move just before </w:t>
      </w:r>
      <w:r w:rsidR="005B1F00">
        <w:rPr>
          <w:rFonts w:ascii="Times New Roman" w:hAnsi="Times New Roman"/>
          <w:sz w:val="22"/>
          <w:szCs w:val="24"/>
          <w:lang w:val="en-US"/>
        </w:rPr>
        <w:t>EA on average is larger than the subsequent 1-day realized move, which once again is indicative of the presence of a Variance Risk Premium (VRP).</w:t>
      </w:r>
      <w:r w:rsidR="003E2D1E">
        <w:rPr>
          <w:rFonts w:ascii="Times New Roman" w:hAnsi="Times New Roman"/>
          <w:sz w:val="22"/>
          <w:szCs w:val="24"/>
          <w:lang w:val="en-US"/>
        </w:rPr>
        <w:t xml:space="preserve"> Despite this, they also document that for large-tailed moves i.e. earnings moves outside of the 2 Standard Deviation mark, tend to be predicted by similar ex-ante large tailed IV expected move 50-80% of the time depending on the year. </w:t>
      </w:r>
      <w:r w:rsidR="00E94EA9">
        <w:rPr>
          <w:rFonts w:ascii="Times New Roman" w:hAnsi="Times New Roman"/>
          <w:sz w:val="22"/>
          <w:szCs w:val="24"/>
          <w:lang w:val="en-US"/>
        </w:rPr>
        <w:t xml:space="preserve">It is important to note that </w:t>
      </w:r>
      <w:r w:rsidR="00E37456">
        <w:rPr>
          <w:rFonts w:ascii="Times New Roman" w:hAnsi="Times New Roman"/>
          <w:sz w:val="22"/>
          <w:szCs w:val="24"/>
          <w:lang w:val="en-US"/>
        </w:rPr>
        <w:t xml:space="preserve">Earnings Realized Moves do not operate in a vacuum </w:t>
      </w:r>
      <w:r w:rsidR="005912B1">
        <w:rPr>
          <w:rFonts w:ascii="Times New Roman" w:hAnsi="Times New Roman"/>
          <w:sz w:val="22"/>
          <w:szCs w:val="24"/>
          <w:lang w:val="en-US"/>
        </w:rPr>
        <w:t>and are a much more complicated event than standard economic theory would suggest</w:t>
      </w:r>
      <w:r w:rsidR="00574CCC">
        <w:rPr>
          <w:rFonts w:ascii="Times New Roman" w:hAnsi="Times New Roman"/>
          <w:sz w:val="22"/>
          <w:szCs w:val="24"/>
          <w:lang w:val="en-US"/>
        </w:rPr>
        <w:t xml:space="preserve">. Firstly, </w:t>
      </w:r>
      <w:r w:rsidR="00BF6364">
        <w:rPr>
          <w:rFonts w:ascii="Times New Roman" w:hAnsi="Times New Roman"/>
          <w:sz w:val="22"/>
          <w:szCs w:val="24"/>
          <w:lang w:val="en-US"/>
        </w:rPr>
        <w:t>Della Vigna &amp; Pollet (2009) document that earnings released on days where there are a lot of other companies also releasing or on Friday</w:t>
      </w:r>
      <w:r w:rsidR="003D1024">
        <w:rPr>
          <w:rFonts w:ascii="Times New Roman" w:hAnsi="Times New Roman"/>
          <w:sz w:val="22"/>
          <w:szCs w:val="24"/>
          <w:lang w:val="en-US"/>
        </w:rPr>
        <w:t>s tend to have a 15% lower immediate response and a 70% higher delayed response. Simply said, they tend to gap less (smaller discrete jumps) and exhibit higher Post Earnings Announcement Drifts (PEADs) i.e. more movement after the open into the close and the subsequent days</w:t>
      </w:r>
      <w:r w:rsidR="0097535C">
        <w:rPr>
          <w:rFonts w:ascii="Times New Roman" w:hAnsi="Times New Roman"/>
          <w:sz w:val="22"/>
          <w:szCs w:val="24"/>
          <w:lang w:val="en-US"/>
        </w:rPr>
        <w:t>. They attribute this to the cognitive attention of investors which is a limited resource and can’t tract multiple company EAs at once.</w:t>
      </w:r>
      <w:r w:rsidR="00CE4183">
        <w:rPr>
          <w:rFonts w:ascii="Times New Roman" w:hAnsi="Times New Roman"/>
          <w:sz w:val="22"/>
          <w:szCs w:val="24"/>
          <w:lang w:val="en-US"/>
        </w:rPr>
        <w:t xml:space="preserve"> Similar findings of smaller gaps and larger PEAD were also reported by Hirschleifer et al (2009)</w:t>
      </w:r>
      <w:r w:rsidR="00984E25">
        <w:rPr>
          <w:rFonts w:ascii="Times New Roman" w:hAnsi="Times New Roman"/>
          <w:sz w:val="22"/>
          <w:szCs w:val="24"/>
          <w:lang w:val="en-US"/>
        </w:rPr>
        <w:t xml:space="preserve">. </w:t>
      </w:r>
      <w:r w:rsidR="000931AE">
        <w:rPr>
          <w:rFonts w:ascii="Times New Roman" w:hAnsi="Times New Roman"/>
          <w:sz w:val="22"/>
          <w:szCs w:val="24"/>
          <w:lang w:val="en-US"/>
        </w:rPr>
        <w:t>Additionally</w:t>
      </w:r>
      <w:r w:rsidR="003D2A8D">
        <w:rPr>
          <w:rFonts w:ascii="Times New Roman" w:hAnsi="Times New Roman"/>
          <w:sz w:val="22"/>
          <w:szCs w:val="24"/>
          <w:lang w:val="en-US"/>
        </w:rPr>
        <w:t xml:space="preserve">, </w:t>
      </w:r>
      <w:r w:rsidR="004D2755">
        <w:rPr>
          <w:rFonts w:ascii="Times New Roman" w:hAnsi="Times New Roman"/>
          <w:sz w:val="22"/>
          <w:szCs w:val="24"/>
          <w:lang w:val="en-US"/>
        </w:rPr>
        <w:t>Rogers et al (2009)</w:t>
      </w:r>
      <w:r w:rsidR="00B009AD">
        <w:rPr>
          <w:rFonts w:ascii="Times New Roman" w:hAnsi="Times New Roman"/>
          <w:sz w:val="22"/>
          <w:szCs w:val="24"/>
          <w:lang w:val="en-US"/>
        </w:rPr>
        <w:t xml:space="preserve"> examine how management earnings forecast affect IV and posit that </w:t>
      </w:r>
      <w:r w:rsidR="00CC51D8">
        <w:rPr>
          <w:rFonts w:ascii="Times New Roman" w:hAnsi="Times New Roman"/>
          <w:sz w:val="22"/>
          <w:szCs w:val="24"/>
          <w:lang w:val="en-US"/>
        </w:rPr>
        <w:t xml:space="preserve">negative news tend to rise IV levels throughout the whole expiration chain i.e. </w:t>
      </w:r>
      <w:r w:rsidR="00443DFB">
        <w:rPr>
          <w:rFonts w:ascii="Times New Roman" w:hAnsi="Times New Roman"/>
          <w:sz w:val="22"/>
          <w:szCs w:val="24"/>
          <w:lang w:val="en-US"/>
        </w:rPr>
        <w:t>reduce Short Straddle Vega Profit, while positiv</w:t>
      </w:r>
      <w:r w:rsidR="0037733C">
        <w:rPr>
          <w:rFonts w:ascii="Times New Roman" w:hAnsi="Times New Roman"/>
          <w:sz w:val="22"/>
          <w:szCs w:val="24"/>
          <w:lang w:val="en-US"/>
        </w:rPr>
        <w:t>e or neutral news do not have such effects</w:t>
      </w:r>
      <w:r w:rsidR="001A38D2">
        <w:rPr>
          <w:rFonts w:ascii="Times New Roman" w:hAnsi="Times New Roman"/>
          <w:sz w:val="22"/>
          <w:szCs w:val="24"/>
          <w:lang w:val="en-US"/>
        </w:rPr>
        <w:t xml:space="preserve">. Effectively, Rogers et al (2009) show that </w:t>
      </w:r>
      <w:r w:rsidR="00861766">
        <w:rPr>
          <w:rFonts w:ascii="Times New Roman" w:hAnsi="Times New Roman"/>
          <w:sz w:val="22"/>
          <w:szCs w:val="24"/>
          <w:lang w:val="en-US"/>
        </w:rPr>
        <w:t xml:space="preserve">EAs are not necessarily symmetric in terms of how the Straddle PNL evolves </w:t>
      </w:r>
      <w:r w:rsidR="00FA6AE9">
        <w:rPr>
          <w:rFonts w:ascii="Times New Roman" w:hAnsi="Times New Roman"/>
          <w:sz w:val="22"/>
          <w:szCs w:val="24"/>
          <w:lang w:val="en-US"/>
        </w:rPr>
        <w:t xml:space="preserve">(we expect negative earnings releases </w:t>
      </w:r>
      <w:r w:rsidR="00930809">
        <w:rPr>
          <w:rFonts w:ascii="Times New Roman" w:hAnsi="Times New Roman"/>
          <w:sz w:val="22"/>
          <w:szCs w:val="24"/>
          <w:lang w:val="en-US"/>
        </w:rPr>
        <w:t xml:space="preserve">to hurt Short Options strategy more than </w:t>
      </w:r>
      <w:r w:rsidR="008E1ABC">
        <w:rPr>
          <w:rFonts w:ascii="Times New Roman" w:hAnsi="Times New Roman"/>
          <w:sz w:val="22"/>
          <w:szCs w:val="24"/>
          <w:lang w:val="en-US"/>
        </w:rPr>
        <w:t xml:space="preserve">Positive or Neutral News). </w:t>
      </w:r>
      <w:r w:rsidR="00EF6919">
        <w:rPr>
          <w:rFonts w:ascii="Times New Roman" w:hAnsi="Times New Roman"/>
          <w:sz w:val="22"/>
          <w:szCs w:val="24"/>
          <w:lang w:val="en-US"/>
        </w:rPr>
        <w:t xml:space="preserve">On top of that Barth &amp; So (2010) </w:t>
      </w:r>
      <w:r w:rsidR="00FA42B9">
        <w:rPr>
          <w:rFonts w:ascii="Times New Roman" w:hAnsi="Times New Roman"/>
          <w:sz w:val="22"/>
          <w:szCs w:val="24"/>
          <w:lang w:val="en-US"/>
        </w:rPr>
        <w:t xml:space="preserve">identify Earnings Releases </w:t>
      </w:r>
      <w:r w:rsidR="00580C64">
        <w:rPr>
          <w:rFonts w:ascii="Times New Roman" w:hAnsi="Times New Roman"/>
          <w:sz w:val="22"/>
          <w:szCs w:val="24"/>
          <w:lang w:val="en-US"/>
        </w:rPr>
        <w:t xml:space="preserve">to </w:t>
      </w:r>
      <w:r w:rsidR="00394C0F">
        <w:rPr>
          <w:rFonts w:ascii="Times New Roman" w:hAnsi="Times New Roman"/>
          <w:sz w:val="22"/>
          <w:szCs w:val="24"/>
          <w:lang w:val="en-US"/>
        </w:rPr>
        <w:t xml:space="preserve">be </w:t>
      </w:r>
      <w:r w:rsidR="00F23FDC">
        <w:rPr>
          <w:rFonts w:ascii="Times New Roman" w:hAnsi="Times New Roman"/>
          <w:sz w:val="22"/>
          <w:szCs w:val="24"/>
          <w:lang w:val="en-US"/>
        </w:rPr>
        <w:t xml:space="preserve">a source of non-diversifiable </w:t>
      </w:r>
      <w:r w:rsidR="00AC2230">
        <w:rPr>
          <w:rFonts w:ascii="Times New Roman" w:hAnsi="Times New Roman"/>
          <w:sz w:val="22"/>
          <w:szCs w:val="24"/>
          <w:lang w:val="en-US"/>
        </w:rPr>
        <w:t xml:space="preserve">risk and </w:t>
      </w:r>
      <w:r w:rsidR="00EE1D95">
        <w:rPr>
          <w:rFonts w:ascii="Times New Roman" w:hAnsi="Times New Roman"/>
          <w:sz w:val="22"/>
          <w:szCs w:val="24"/>
          <w:lang w:val="en-US"/>
        </w:rPr>
        <w:t>show that EAs</w:t>
      </w:r>
      <w:r w:rsidR="00AC2230">
        <w:rPr>
          <w:rFonts w:ascii="Times New Roman" w:hAnsi="Times New Roman"/>
          <w:sz w:val="22"/>
          <w:szCs w:val="24"/>
          <w:lang w:val="en-US"/>
        </w:rPr>
        <w:t xml:space="preserve"> </w:t>
      </w:r>
      <w:r w:rsidR="00EE1D95">
        <w:rPr>
          <w:rFonts w:ascii="Times New Roman" w:hAnsi="Times New Roman"/>
          <w:sz w:val="22"/>
          <w:szCs w:val="24"/>
          <w:lang w:val="en-US"/>
        </w:rPr>
        <w:t>exhibit</w:t>
      </w:r>
      <w:r w:rsidR="00AC2230">
        <w:rPr>
          <w:rFonts w:ascii="Times New Roman" w:hAnsi="Times New Roman"/>
          <w:sz w:val="22"/>
          <w:szCs w:val="24"/>
          <w:lang w:val="en-US"/>
        </w:rPr>
        <w:t xml:space="preserve"> an additional risk premium </w:t>
      </w:r>
      <w:r w:rsidR="00EE468E">
        <w:rPr>
          <w:rFonts w:ascii="Times New Roman" w:hAnsi="Times New Roman"/>
          <w:sz w:val="22"/>
          <w:szCs w:val="24"/>
          <w:lang w:val="en-US"/>
        </w:rPr>
        <w:t xml:space="preserve">additional to </w:t>
      </w:r>
      <w:r w:rsidR="00AC2230">
        <w:rPr>
          <w:rFonts w:ascii="Times New Roman" w:hAnsi="Times New Roman"/>
          <w:sz w:val="22"/>
          <w:szCs w:val="24"/>
          <w:lang w:val="en-US"/>
        </w:rPr>
        <w:t>those already discussed (VRP and Equity Risk Premium)</w:t>
      </w:r>
      <w:r w:rsidR="00A40CFD">
        <w:rPr>
          <w:rFonts w:ascii="Times New Roman" w:hAnsi="Times New Roman"/>
          <w:sz w:val="22"/>
          <w:szCs w:val="24"/>
          <w:lang w:val="en-US"/>
        </w:rPr>
        <w:t>.</w:t>
      </w:r>
    </w:p>
    <w:p w14:paraId="70DE9593" w14:textId="310507DF" w:rsidR="00C2428B" w:rsidRDefault="00C2428B" w:rsidP="00AE51AF">
      <w:pPr>
        <w:spacing w:line="360" w:lineRule="auto"/>
        <w:rPr>
          <w:rFonts w:ascii="Times New Roman" w:hAnsi="Times New Roman"/>
          <w:sz w:val="22"/>
          <w:szCs w:val="24"/>
          <w:lang w:val="en-US"/>
        </w:rPr>
      </w:pPr>
      <w:r>
        <w:rPr>
          <w:rFonts w:ascii="Times New Roman" w:hAnsi="Times New Roman"/>
          <w:sz w:val="22"/>
          <w:szCs w:val="24"/>
          <w:lang w:val="en-US"/>
        </w:rPr>
        <w:tab/>
      </w:r>
      <w:r w:rsidRPr="00974DE5">
        <w:rPr>
          <w:rFonts w:ascii="Times New Roman" w:hAnsi="Times New Roman"/>
          <w:sz w:val="22"/>
          <w:szCs w:val="24"/>
          <w:lang w:val="en-US"/>
        </w:rPr>
        <w:t>Lei et al (2017)</w:t>
      </w:r>
      <w:r w:rsidR="00974DE5" w:rsidRPr="00974DE5">
        <w:rPr>
          <w:rFonts w:ascii="Times New Roman" w:hAnsi="Times New Roman"/>
          <w:sz w:val="22"/>
          <w:szCs w:val="24"/>
          <w:lang w:val="en-US"/>
        </w:rPr>
        <w:t xml:space="preserve"> wrap up th</w:t>
      </w:r>
      <w:r w:rsidR="00974DE5">
        <w:rPr>
          <w:rFonts w:ascii="Times New Roman" w:hAnsi="Times New Roman"/>
          <w:sz w:val="22"/>
          <w:szCs w:val="24"/>
          <w:lang w:val="en-US"/>
        </w:rPr>
        <w:t xml:space="preserve">is discussion by empirically </w:t>
      </w:r>
      <w:r w:rsidR="005A490B">
        <w:rPr>
          <w:rFonts w:ascii="Times New Roman" w:hAnsi="Times New Roman"/>
          <w:sz w:val="22"/>
          <w:szCs w:val="24"/>
          <w:lang w:val="en-US"/>
        </w:rPr>
        <w:t xml:space="preserve">analyzing a </w:t>
      </w:r>
      <w:r w:rsidR="005346CF">
        <w:rPr>
          <w:rFonts w:ascii="Times New Roman" w:hAnsi="Times New Roman"/>
          <w:sz w:val="22"/>
          <w:szCs w:val="24"/>
          <w:lang w:val="en-US"/>
        </w:rPr>
        <w:t>panel</w:t>
      </w:r>
      <w:r w:rsidR="005A490B">
        <w:rPr>
          <w:rFonts w:ascii="Times New Roman" w:hAnsi="Times New Roman"/>
          <w:sz w:val="22"/>
          <w:szCs w:val="24"/>
          <w:lang w:val="en-US"/>
        </w:rPr>
        <w:t xml:space="preserve"> of EAs and </w:t>
      </w:r>
      <w:r w:rsidR="00DF374E">
        <w:rPr>
          <w:rFonts w:ascii="Times New Roman" w:hAnsi="Times New Roman"/>
          <w:sz w:val="22"/>
          <w:szCs w:val="24"/>
          <w:lang w:val="en-US"/>
        </w:rPr>
        <w:t>link</w:t>
      </w:r>
      <w:r w:rsidR="005A490B">
        <w:rPr>
          <w:rFonts w:ascii="Times New Roman" w:hAnsi="Times New Roman"/>
          <w:sz w:val="22"/>
          <w:szCs w:val="24"/>
          <w:lang w:val="en-US"/>
        </w:rPr>
        <w:t xml:space="preserve"> </w:t>
      </w:r>
      <w:r w:rsidR="00E1615A">
        <w:rPr>
          <w:rFonts w:ascii="Times New Roman" w:hAnsi="Times New Roman"/>
          <w:sz w:val="22"/>
          <w:szCs w:val="24"/>
          <w:lang w:val="en-US"/>
        </w:rPr>
        <w:t>higher pre-event volume trading to higher post-event discretionary jump (Close to Open Move)</w:t>
      </w:r>
      <w:r w:rsidR="009D1C33">
        <w:rPr>
          <w:rFonts w:ascii="Times New Roman" w:hAnsi="Times New Roman"/>
          <w:sz w:val="22"/>
          <w:szCs w:val="24"/>
          <w:lang w:val="en-US"/>
        </w:rPr>
        <w:t xml:space="preserve">. They posit that option trading increases the reaction to EA information and manifests in </w:t>
      </w:r>
      <w:r w:rsidR="00FC19B5">
        <w:rPr>
          <w:rFonts w:ascii="Times New Roman" w:hAnsi="Times New Roman"/>
          <w:sz w:val="22"/>
          <w:szCs w:val="24"/>
          <w:lang w:val="en-US"/>
        </w:rPr>
        <w:t>a bigger overnight move at the expense of smaller Post Earnings Announcement Drift (PEAD)</w:t>
      </w:r>
      <w:r w:rsidR="00CD26CE">
        <w:rPr>
          <w:rFonts w:ascii="Times New Roman" w:hAnsi="Times New Roman"/>
          <w:sz w:val="22"/>
          <w:szCs w:val="24"/>
          <w:lang w:val="en-US"/>
        </w:rPr>
        <w:t xml:space="preserve">. </w:t>
      </w:r>
    </w:p>
    <w:p w14:paraId="3003C885" w14:textId="0E139C1E" w:rsidR="009E39F4" w:rsidRDefault="009E39F4" w:rsidP="00AE51AF">
      <w:pPr>
        <w:spacing w:line="360" w:lineRule="auto"/>
        <w:rPr>
          <w:rFonts w:ascii="Times New Roman" w:hAnsi="Times New Roman"/>
          <w:sz w:val="22"/>
          <w:szCs w:val="24"/>
          <w:lang w:val="en-US"/>
        </w:rPr>
      </w:pPr>
      <w:r>
        <w:rPr>
          <w:rFonts w:ascii="Times New Roman" w:hAnsi="Times New Roman"/>
          <w:sz w:val="22"/>
          <w:szCs w:val="24"/>
          <w:lang w:val="en-US"/>
        </w:rPr>
        <w:tab/>
        <w:t xml:space="preserve">The most </w:t>
      </w:r>
      <w:r w:rsidR="00EB7F03">
        <w:rPr>
          <w:rFonts w:ascii="Times New Roman" w:hAnsi="Times New Roman"/>
          <w:sz w:val="22"/>
          <w:szCs w:val="24"/>
          <w:lang w:val="en-US"/>
        </w:rPr>
        <w:t>valuable</w:t>
      </w:r>
      <w:r>
        <w:rPr>
          <w:rFonts w:ascii="Times New Roman" w:hAnsi="Times New Roman"/>
          <w:sz w:val="22"/>
          <w:szCs w:val="24"/>
          <w:lang w:val="en-US"/>
        </w:rPr>
        <w:t xml:space="preserve"> part of the literature </w:t>
      </w:r>
      <w:r w:rsidR="000B5377">
        <w:rPr>
          <w:rFonts w:ascii="Times New Roman" w:hAnsi="Times New Roman"/>
          <w:sz w:val="22"/>
          <w:szCs w:val="24"/>
          <w:lang w:val="en-US"/>
        </w:rPr>
        <w:t xml:space="preserve">is saturated </w:t>
      </w:r>
      <w:r w:rsidR="006F733D">
        <w:rPr>
          <w:rFonts w:ascii="Times New Roman" w:hAnsi="Times New Roman"/>
          <w:sz w:val="22"/>
          <w:szCs w:val="24"/>
          <w:lang w:val="en-US"/>
        </w:rPr>
        <w:t xml:space="preserve">in </w:t>
      </w:r>
      <w:r w:rsidR="00A3734E">
        <w:rPr>
          <w:rFonts w:ascii="Times New Roman" w:hAnsi="Times New Roman"/>
          <w:sz w:val="22"/>
          <w:szCs w:val="24"/>
          <w:lang w:val="en-US"/>
        </w:rPr>
        <w:t>2</w:t>
      </w:r>
      <w:r w:rsidR="006F733D">
        <w:rPr>
          <w:rFonts w:ascii="Times New Roman" w:hAnsi="Times New Roman"/>
          <w:sz w:val="22"/>
          <w:szCs w:val="24"/>
          <w:lang w:val="en-US"/>
        </w:rPr>
        <w:t xml:space="preserve"> papers</w:t>
      </w:r>
      <w:r w:rsidR="002C046A">
        <w:rPr>
          <w:rFonts w:ascii="Times New Roman" w:hAnsi="Times New Roman"/>
          <w:sz w:val="22"/>
          <w:szCs w:val="24"/>
          <w:lang w:val="en-US"/>
        </w:rPr>
        <w:t xml:space="preserve">, which focus on </w:t>
      </w:r>
      <w:r w:rsidR="00EC3329">
        <w:rPr>
          <w:rFonts w:ascii="Times New Roman" w:hAnsi="Times New Roman"/>
          <w:sz w:val="22"/>
          <w:szCs w:val="24"/>
          <w:lang w:val="en-US"/>
        </w:rPr>
        <w:t xml:space="preserve">predicting earnings move magnitude and </w:t>
      </w:r>
      <w:r w:rsidR="00A12028">
        <w:rPr>
          <w:rFonts w:ascii="Times New Roman" w:hAnsi="Times New Roman"/>
          <w:sz w:val="22"/>
          <w:szCs w:val="24"/>
          <w:lang w:val="en-US"/>
        </w:rPr>
        <w:t xml:space="preserve">crafting trading strategies around them. </w:t>
      </w:r>
      <w:r w:rsidR="00BF42DD">
        <w:rPr>
          <w:rFonts w:ascii="Times New Roman" w:hAnsi="Times New Roman"/>
          <w:sz w:val="22"/>
          <w:szCs w:val="24"/>
          <w:lang w:val="en-US"/>
        </w:rPr>
        <w:t xml:space="preserve"> The first of those papers is by Diavtopolous et al (2012)</w:t>
      </w:r>
      <w:r w:rsidR="00890816">
        <w:rPr>
          <w:rFonts w:ascii="Times New Roman" w:hAnsi="Times New Roman"/>
          <w:sz w:val="22"/>
          <w:szCs w:val="24"/>
          <w:lang w:val="en-US"/>
        </w:rPr>
        <w:t xml:space="preserve">, who </w:t>
      </w:r>
      <w:r w:rsidR="0079057A">
        <w:rPr>
          <w:rFonts w:ascii="Times New Roman" w:hAnsi="Times New Roman"/>
          <w:sz w:val="22"/>
          <w:szCs w:val="24"/>
          <w:lang w:val="en-US"/>
        </w:rPr>
        <w:t>compute implied option chain skewness and kurtosis according to the approach of Bakshi &amp; Kapadia (2003)</w:t>
      </w:r>
      <w:r w:rsidR="0083062D">
        <w:rPr>
          <w:rFonts w:ascii="Times New Roman" w:hAnsi="Times New Roman"/>
          <w:sz w:val="22"/>
          <w:szCs w:val="24"/>
          <w:lang w:val="en-US"/>
        </w:rPr>
        <w:t>. Diavtopolous et al (2012)</w:t>
      </w:r>
      <w:r w:rsidR="00451868">
        <w:rPr>
          <w:rFonts w:ascii="Times New Roman" w:hAnsi="Times New Roman"/>
          <w:sz w:val="22"/>
          <w:szCs w:val="24"/>
          <w:lang w:val="en-US"/>
        </w:rPr>
        <w:t xml:space="preserve"> </w:t>
      </w:r>
      <w:r w:rsidR="009744B5">
        <w:rPr>
          <w:rFonts w:ascii="Times New Roman" w:hAnsi="Times New Roman"/>
          <w:sz w:val="22"/>
          <w:szCs w:val="24"/>
          <w:lang w:val="en-US"/>
        </w:rPr>
        <w:t>calculate</w:t>
      </w:r>
      <w:r w:rsidR="00451868">
        <w:rPr>
          <w:rFonts w:ascii="Times New Roman" w:hAnsi="Times New Roman"/>
          <w:sz w:val="22"/>
          <w:szCs w:val="24"/>
          <w:lang w:val="en-US"/>
        </w:rPr>
        <w:t xml:space="preserve"> the implied skewness and kurtosis </w:t>
      </w:r>
      <w:r w:rsidR="00D130AA">
        <w:rPr>
          <w:rFonts w:ascii="Times New Roman" w:hAnsi="Times New Roman"/>
          <w:sz w:val="22"/>
          <w:szCs w:val="24"/>
          <w:lang w:val="en-US"/>
        </w:rPr>
        <w:t>and measure their change from t = - 30 to t = -</w:t>
      </w:r>
      <w:r w:rsidR="00421A33">
        <w:rPr>
          <w:rFonts w:ascii="Times New Roman" w:hAnsi="Times New Roman"/>
          <w:sz w:val="22"/>
          <w:szCs w:val="24"/>
          <w:lang w:val="en-US"/>
        </w:rPr>
        <w:t xml:space="preserve"> </w:t>
      </w:r>
      <w:r w:rsidR="00D130AA">
        <w:rPr>
          <w:rFonts w:ascii="Times New Roman" w:hAnsi="Times New Roman"/>
          <w:sz w:val="22"/>
          <w:szCs w:val="24"/>
          <w:lang w:val="en-US"/>
        </w:rPr>
        <w:t>5</w:t>
      </w:r>
      <w:r w:rsidR="004E1705">
        <w:rPr>
          <w:rFonts w:ascii="Times New Roman" w:hAnsi="Times New Roman"/>
          <w:sz w:val="22"/>
          <w:szCs w:val="24"/>
          <w:lang w:val="en-US"/>
        </w:rPr>
        <w:t xml:space="preserve"> and find that changes </w:t>
      </w:r>
      <w:r w:rsidR="00245AAC">
        <w:rPr>
          <w:rFonts w:ascii="Times New Roman" w:hAnsi="Times New Roman"/>
          <w:sz w:val="22"/>
          <w:szCs w:val="24"/>
          <w:lang w:val="en-US"/>
        </w:rPr>
        <w:t xml:space="preserve">in those moments </w:t>
      </w:r>
      <w:r w:rsidR="00ED74EA">
        <w:rPr>
          <w:rFonts w:ascii="Times New Roman" w:hAnsi="Times New Roman"/>
          <w:sz w:val="22"/>
          <w:szCs w:val="24"/>
          <w:lang w:val="en-US"/>
        </w:rPr>
        <w:t>have a strong predictive power for future stock returns in terms of direction and magnitude</w:t>
      </w:r>
      <w:r w:rsidR="00CF70B6">
        <w:rPr>
          <w:rFonts w:ascii="Times New Roman" w:hAnsi="Times New Roman"/>
          <w:sz w:val="22"/>
          <w:szCs w:val="24"/>
          <w:lang w:val="en-US"/>
        </w:rPr>
        <w:t>, even after controlling for Implied Volatility</w:t>
      </w:r>
      <w:r w:rsidR="00A567F7">
        <w:rPr>
          <w:rFonts w:ascii="Times New Roman" w:hAnsi="Times New Roman"/>
          <w:sz w:val="22"/>
          <w:szCs w:val="24"/>
          <w:lang w:val="en-US"/>
        </w:rPr>
        <w:t xml:space="preserve">. </w:t>
      </w:r>
      <w:r w:rsidR="00D43839">
        <w:rPr>
          <w:rFonts w:ascii="Times New Roman" w:hAnsi="Times New Roman"/>
          <w:sz w:val="22"/>
          <w:szCs w:val="24"/>
          <w:lang w:val="en-US"/>
        </w:rPr>
        <w:t>They</w:t>
      </w:r>
      <w:r w:rsidR="00A567F7">
        <w:rPr>
          <w:rFonts w:ascii="Times New Roman" w:hAnsi="Times New Roman"/>
          <w:sz w:val="22"/>
          <w:szCs w:val="24"/>
          <w:lang w:val="en-US"/>
        </w:rPr>
        <w:t xml:space="preserve"> </w:t>
      </w:r>
      <w:r w:rsidR="005B1A8F">
        <w:rPr>
          <w:rFonts w:ascii="Times New Roman" w:hAnsi="Times New Roman"/>
          <w:sz w:val="22"/>
          <w:szCs w:val="24"/>
          <w:lang w:val="en-US"/>
        </w:rPr>
        <w:t xml:space="preserve">show that changes in Implied Skewness </w:t>
      </w:r>
      <w:r w:rsidR="00A73FA5">
        <w:rPr>
          <w:rFonts w:ascii="Times New Roman" w:hAnsi="Times New Roman"/>
          <w:sz w:val="22"/>
          <w:szCs w:val="24"/>
          <w:lang w:val="en-US"/>
        </w:rPr>
        <w:t xml:space="preserve">and Implied Kurtosis predict </w:t>
      </w:r>
      <w:r w:rsidR="00596C72">
        <w:rPr>
          <w:rFonts w:ascii="Times New Roman" w:hAnsi="Times New Roman"/>
          <w:sz w:val="22"/>
          <w:szCs w:val="24"/>
          <w:lang w:val="en-US"/>
        </w:rPr>
        <w:t>Call returns, while Put returns</w:t>
      </w:r>
      <w:r w:rsidR="002D7E13">
        <w:rPr>
          <w:rFonts w:ascii="Times New Roman" w:hAnsi="Times New Roman"/>
          <w:sz w:val="22"/>
          <w:szCs w:val="24"/>
          <w:lang w:val="en-US"/>
        </w:rPr>
        <w:t xml:space="preserve"> are only predicted by Implied Skewness</w:t>
      </w:r>
      <w:r w:rsidR="001A6BA4">
        <w:rPr>
          <w:rFonts w:ascii="Times New Roman" w:hAnsi="Times New Roman"/>
          <w:sz w:val="22"/>
          <w:szCs w:val="24"/>
          <w:lang w:val="en-US"/>
        </w:rPr>
        <w:t>.</w:t>
      </w:r>
    </w:p>
    <w:p w14:paraId="02D91E68" w14:textId="5DE8E475" w:rsidR="001A6BA4" w:rsidRDefault="001A6BA4" w:rsidP="00AE51AF">
      <w:pPr>
        <w:spacing w:line="360" w:lineRule="auto"/>
        <w:rPr>
          <w:rFonts w:ascii="Times New Roman" w:hAnsi="Times New Roman"/>
          <w:sz w:val="22"/>
          <w:szCs w:val="24"/>
          <w:lang w:val="en-US"/>
        </w:rPr>
      </w:pPr>
      <w:r>
        <w:rPr>
          <w:rFonts w:ascii="Times New Roman" w:hAnsi="Times New Roman"/>
          <w:sz w:val="22"/>
          <w:szCs w:val="24"/>
          <w:lang w:val="en-US"/>
        </w:rPr>
        <w:tab/>
        <w:t xml:space="preserve">The second and arguably most influential paper </w:t>
      </w:r>
      <w:r w:rsidR="00563835">
        <w:rPr>
          <w:rFonts w:ascii="Times New Roman" w:hAnsi="Times New Roman"/>
          <w:sz w:val="22"/>
          <w:szCs w:val="24"/>
          <w:lang w:val="en-US"/>
        </w:rPr>
        <w:t>on the topic of trading option around EAs is by Dubinsky et al (2018)</w:t>
      </w:r>
      <w:r w:rsidR="007672F5">
        <w:rPr>
          <w:rFonts w:ascii="Times New Roman" w:hAnsi="Times New Roman"/>
          <w:sz w:val="22"/>
          <w:szCs w:val="24"/>
          <w:lang w:val="en-US"/>
        </w:rPr>
        <w:t xml:space="preserve">. There the authors </w:t>
      </w:r>
      <w:r w:rsidR="00300659">
        <w:rPr>
          <w:rFonts w:ascii="Times New Roman" w:hAnsi="Times New Roman"/>
          <w:sz w:val="22"/>
          <w:szCs w:val="24"/>
          <w:lang w:val="en-US"/>
        </w:rPr>
        <w:t xml:space="preserve">derive a plethora of very valuable findings. First is that </w:t>
      </w:r>
      <w:r w:rsidR="00C06199">
        <w:rPr>
          <w:rFonts w:ascii="Times New Roman" w:hAnsi="Times New Roman"/>
          <w:sz w:val="22"/>
          <w:szCs w:val="24"/>
          <w:lang w:val="en-US"/>
        </w:rPr>
        <w:lastRenderedPageBreak/>
        <w:t xml:space="preserve">earnings realized moves </w:t>
      </w:r>
      <w:r w:rsidR="00DF54C9">
        <w:rPr>
          <w:rFonts w:ascii="Times New Roman" w:hAnsi="Times New Roman"/>
          <w:sz w:val="22"/>
          <w:szCs w:val="24"/>
          <w:lang w:val="en-US"/>
        </w:rPr>
        <w:t xml:space="preserve">on average across the US stock market tend to be between 4-6% during normal times </w:t>
      </w:r>
      <w:r w:rsidR="00F46669">
        <w:rPr>
          <w:rFonts w:ascii="Times New Roman" w:hAnsi="Times New Roman"/>
          <w:sz w:val="22"/>
          <w:szCs w:val="24"/>
          <w:lang w:val="en-US"/>
        </w:rPr>
        <w:t xml:space="preserve">and around 10-11% </w:t>
      </w:r>
      <w:r w:rsidR="00C22D0E">
        <w:rPr>
          <w:rFonts w:ascii="Times New Roman" w:hAnsi="Times New Roman"/>
          <w:sz w:val="22"/>
          <w:szCs w:val="24"/>
          <w:lang w:val="en-US"/>
        </w:rPr>
        <w:t xml:space="preserve">during crisis, which shows high correlation to the business cycle and corroborates the findings </w:t>
      </w:r>
      <w:r w:rsidR="00543ED0">
        <w:rPr>
          <w:rFonts w:ascii="Times New Roman" w:hAnsi="Times New Roman"/>
          <w:sz w:val="22"/>
          <w:szCs w:val="24"/>
          <w:lang w:val="en-US"/>
        </w:rPr>
        <w:t>of Rogers</w:t>
      </w:r>
      <w:r w:rsidR="00C22D0E">
        <w:rPr>
          <w:rFonts w:ascii="Times New Roman" w:hAnsi="Times New Roman"/>
          <w:sz w:val="22"/>
          <w:szCs w:val="24"/>
          <w:lang w:val="en-US"/>
        </w:rPr>
        <w:t xml:space="preserve"> et al (2009) of the relationship between IV and negative news.</w:t>
      </w:r>
      <w:r w:rsidR="008806D4">
        <w:rPr>
          <w:rFonts w:ascii="Times New Roman" w:hAnsi="Times New Roman"/>
          <w:sz w:val="22"/>
          <w:szCs w:val="24"/>
          <w:lang w:val="en-US"/>
        </w:rPr>
        <w:t xml:space="preserve"> Secondly, </w:t>
      </w:r>
      <w:r w:rsidR="006A71C8">
        <w:rPr>
          <w:rFonts w:ascii="Times New Roman" w:hAnsi="Times New Roman"/>
          <w:sz w:val="22"/>
          <w:szCs w:val="24"/>
          <w:lang w:val="en-US"/>
        </w:rPr>
        <w:t>Dubinsky et al (201</w:t>
      </w:r>
      <w:r w:rsidR="00C12348">
        <w:rPr>
          <w:rFonts w:ascii="Times New Roman" w:hAnsi="Times New Roman"/>
          <w:sz w:val="22"/>
          <w:szCs w:val="24"/>
          <w:lang w:val="en-US"/>
        </w:rPr>
        <w:t>8)</w:t>
      </w:r>
      <w:r w:rsidR="003836A3">
        <w:rPr>
          <w:rFonts w:ascii="Times New Roman" w:hAnsi="Times New Roman"/>
          <w:sz w:val="22"/>
          <w:szCs w:val="24"/>
          <w:lang w:val="en-US"/>
        </w:rPr>
        <w:t xml:space="preserve"> find that cross-sectional variation in earnings move magnitude among firms is less than 3% on average during normal times and jumps to more than 6% during recessions – implying greater heterogeneity. </w:t>
      </w:r>
      <w:r w:rsidR="00BA7D18">
        <w:rPr>
          <w:rFonts w:ascii="Times New Roman" w:hAnsi="Times New Roman"/>
          <w:sz w:val="22"/>
          <w:szCs w:val="24"/>
          <w:lang w:val="en-US"/>
        </w:rPr>
        <w:t xml:space="preserve">Thirdly, the authors </w:t>
      </w:r>
      <w:r w:rsidR="000944FD">
        <w:rPr>
          <w:rFonts w:ascii="Times New Roman" w:hAnsi="Times New Roman"/>
          <w:sz w:val="22"/>
          <w:szCs w:val="24"/>
          <w:lang w:val="en-US"/>
        </w:rPr>
        <w:t>find there to be a 5</w:t>
      </w:r>
      <w:r w:rsidR="00437C6C">
        <w:rPr>
          <w:rFonts w:ascii="Times New Roman" w:hAnsi="Times New Roman"/>
          <w:sz w:val="22"/>
          <w:szCs w:val="24"/>
          <w:lang w:val="en-US"/>
        </w:rPr>
        <w:t>3</w:t>
      </w:r>
      <w:r w:rsidR="000944FD">
        <w:rPr>
          <w:rFonts w:ascii="Times New Roman" w:hAnsi="Times New Roman"/>
          <w:sz w:val="22"/>
          <w:szCs w:val="24"/>
          <w:lang w:val="en-US"/>
        </w:rPr>
        <w:t xml:space="preserve">% correlation between ex-ante Estimates of the Expected 1-Day </w:t>
      </w:r>
      <w:r w:rsidR="008B2D99">
        <w:rPr>
          <w:rFonts w:ascii="Times New Roman" w:hAnsi="Times New Roman"/>
          <w:sz w:val="22"/>
          <w:szCs w:val="24"/>
          <w:lang w:val="en-US"/>
        </w:rPr>
        <w:t>Event Move</w:t>
      </w:r>
      <w:r w:rsidR="00C44996">
        <w:rPr>
          <w:rFonts w:ascii="Times New Roman" w:hAnsi="Times New Roman"/>
          <w:sz w:val="22"/>
          <w:szCs w:val="24"/>
          <w:lang w:val="en-US"/>
        </w:rPr>
        <w:t xml:space="preserve"> and the subsequent realized earnings move (Close to Close)</w:t>
      </w:r>
      <w:r w:rsidR="005F21B0">
        <w:rPr>
          <w:rFonts w:ascii="Times New Roman" w:hAnsi="Times New Roman"/>
          <w:sz w:val="22"/>
          <w:szCs w:val="24"/>
          <w:lang w:val="en-US"/>
        </w:rPr>
        <w:t>, which means that the IV term structure is predictive but there is a lot of room for improvement via non-linear models.</w:t>
      </w:r>
      <w:r w:rsidR="00191D35">
        <w:rPr>
          <w:rFonts w:ascii="Times New Roman" w:hAnsi="Times New Roman"/>
          <w:sz w:val="22"/>
          <w:szCs w:val="24"/>
          <w:lang w:val="en-US"/>
        </w:rPr>
        <w:t xml:space="preserve"> Fourth, </w:t>
      </w:r>
      <w:r w:rsidR="00397650">
        <w:rPr>
          <w:rFonts w:ascii="Times New Roman" w:hAnsi="Times New Roman"/>
          <w:sz w:val="22"/>
          <w:szCs w:val="24"/>
          <w:lang w:val="en-US"/>
        </w:rPr>
        <w:t>Dubinsky et al (2018)</w:t>
      </w:r>
      <w:r w:rsidR="00DF17F3">
        <w:rPr>
          <w:rFonts w:ascii="Times New Roman" w:hAnsi="Times New Roman"/>
          <w:sz w:val="22"/>
          <w:szCs w:val="24"/>
          <w:lang w:val="en-US"/>
        </w:rPr>
        <w:t xml:space="preserve"> report that the average ex-ante implied earnings move for 2000-2015 was 8.22% while the average realized event move (Close to Close)</w:t>
      </w:r>
      <w:r w:rsidR="00C544CB">
        <w:rPr>
          <w:rFonts w:ascii="Times New Roman" w:hAnsi="Times New Roman"/>
          <w:sz w:val="22"/>
          <w:szCs w:val="24"/>
          <w:lang w:val="en-US"/>
        </w:rPr>
        <w:t xml:space="preserve"> was 7.42%, meaning that there is an 80 bps </w:t>
      </w:r>
      <w:r w:rsidR="001473B9">
        <w:rPr>
          <w:rFonts w:ascii="Times New Roman" w:hAnsi="Times New Roman"/>
          <w:sz w:val="22"/>
          <w:szCs w:val="24"/>
          <w:lang w:val="en-US"/>
        </w:rPr>
        <w:t xml:space="preserve">risk premium for selling options on earnings events, which is additional to the aforementioned variance risk premium and corroborates the findings of </w:t>
      </w:r>
      <w:r w:rsidR="00AF1B7B">
        <w:rPr>
          <w:rFonts w:ascii="Times New Roman" w:hAnsi="Times New Roman"/>
          <w:sz w:val="22"/>
          <w:szCs w:val="24"/>
          <w:lang w:val="en-US"/>
        </w:rPr>
        <w:t>Barth &amp; So (2010)</w:t>
      </w:r>
      <w:r w:rsidR="00A3734E">
        <w:rPr>
          <w:rFonts w:ascii="Times New Roman" w:hAnsi="Times New Roman"/>
          <w:sz w:val="22"/>
          <w:szCs w:val="24"/>
          <w:lang w:val="en-US"/>
        </w:rPr>
        <w:t>. Fifth, Dubins</w:t>
      </w:r>
      <w:r w:rsidR="003C60EC">
        <w:rPr>
          <w:rFonts w:ascii="Times New Roman" w:hAnsi="Times New Roman"/>
          <w:sz w:val="22"/>
          <w:szCs w:val="24"/>
          <w:lang w:val="en-US"/>
        </w:rPr>
        <w:t>ky et al (2015)</w:t>
      </w:r>
      <w:r w:rsidR="00AD6097">
        <w:rPr>
          <w:rFonts w:ascii="Times New Roman" w:hAnsi="Times New Roman"/>
          <w:sz w:val="22"/>
          <w:szCs w:val="24"/>
          <w:lang w:val="en-US"/>
        </w:rPr>
        <w:t xml:space="preserve"> run a back test of buying </w:t>
      </w:r>
      <w:r w:rsidR="00083FD2">
        <w:rPr>
          <w:rFonts w:ascii="Times New Roman" w:hAnsi="Times New Roman"/>
          <w:sz w:val="22"/>
          <w:szCs w:val="24"/>
          <w:lang w:val="en-US"/>
        </w:rPr>
        <w:t>long ATM straddles before the event and selling them on the close after the event (opposite of the strategy discussed so far) and find that this strategy yields an average loss of -7.96% of premium paid per quarter, which again speaks to the fact that the VRP is significant</w:t>
      </w:r>
      <w:r w:rsidR="003E46BA">
        <w:rPr>
          <w:rFonts w:ascii="Times New Roman" w:hAnsi="Times New Roman"/>
          <w:sz w:val="22"/>
          <w:szCs w:val="24"/>
          <w:lang w:val="en-US"/>
        </w:rPr>
        <w:t>. Sixth, the authors also extent their finding about the VRP to non-event days</w:t>
      </w:r>
      <w:r w:rsidR="00640362">
        <w:rPr>
          <w:rFonts w:ascii="Times New Roman" w:hAnsi="Times New Roman"/>
          <w:sz w:val="22"/>
          <w:szCs w:val="24"/>
          <w:lang w:val="en-US"/>
        </w:rPr>
        <w:t xml:space="preserve">, where they record that buying a Long Straddle on a random day </w:t>
      </w:r>
      <w:r w:rsidR="00823C52">
        <w:rPr>
          <w:rFonts w:ascii="Times New Roman" w:hAnsi="Times New Roman"/>
          <w:sz w:val="22"/>
          <w:szCs w:val="24"/>
          <w:lang w:val="en-US"/>
        </w:rPr>
        <w:t>results in a -2.17% loss on premium paid, further corroborating the findings of G</w:t>
      </w:r>
      <w:r w:rsidR="004D15B1">
        <w:rPr>
          <w:rFonts w:ascii="Times New Roman" w:hAnsi="Times New Roman"/>
          <w:sz w:val="22"/>
          <w:szCs w:val="24"/>
          <w:lang w:val="en-US"/>
        </w:rPr>
        <w:t xml:space="preserve">oyal &amp; </w:t>
      </w:r>
      <w:r w:rsidR="003B0353">
        <w:rPr>
          <w:rFonts w:ascii="Times New Roman" w:hAnsi="Times New Roman"/>
          <w:sz w:val="22"/>
          <w:szCs w:val="24"/>
          <w:lang w:val="en-US"/>
        </w:rPr>
        <w:t>Saretto(2009</w:t>
      </w:r>
      <w:r w:rsidR="004D15B1">
        <w:rPr>
          <w:rFonts w:ascii="Times New Roman" w:hAnsi="Times New Roman"/>
          <w:sz w:val="22"/>
          <w:szCs w:val="24"/>
          <w:lang w:val="en-US"/>
        </w:rPr>
        <w:t>) that IV tends to be higher than subsequent realized volatility</w:t>
      </w:r>
      <w:r w:rsidR="00BD1E51">
        <w:rPr>
          <w:rFonts w:ascii="Times New Roman" w:hAnsi="Times New Roman"/>
          <w:sz w:val="22"/>
          <w:szCs w:val="24"/>
          <w:lang w:val="en-US"/>
        </w:rPr>
        <w:t>. Finally</w:t>
      </w:r>
      <w:r w:rsidR="00251734">
        <w:rPr>
          <w:rFonts w:ascii="Times New Roman" w:hAnsi="Times New Roman"/>
          <w:sz w:val="22"/>
          <w:szCs w:val="24"/>
          <w:lang w:val="en-US"/>
        </w:rPr>
        <w:t>, Dubinsky et al (2018)</w:t>
      </w:r>
      <w:r w:rsidR="00011C0D">
        <w:rPr>
          <w:rFonts w:ascii="Times New Roman" w:hAnsi="Times New Roman"/>
          <w:sz w:val="22"/>
          <w:szCs w:val="24"/>
          <w:lang w:val="en-US"/>
        </w:rPr>
        <w:t xml:space="preserve"> empirically verify that the distribution of (Close to Close) Earnings Realized Moves tends to be</w:t>
      </w:r>
      <w:r w:rsidR="00511781">
        <w:rPr>
          <w:rFonts w:ascii="Times New Roman" w:hAnsi="Times New Roman"/>
          <w:sz w:val="22"/>
          <w:szCs w:val="24"/>
          <w:lang w:val="en-US"/>
        </w:rPr>
        <w:t xml:space="preserve"> similar to a normal one </w:t>
      </w:r>
      <w:r w:rsidR="004A56CD">
        <w:rPr>
          <w:rFonts w:ascii="Times New Roman" w:hAnsi="Times New Roman"/>
          <w:sz w:val="22"/>
          <w:szCs w:val="24"/>
          <w:lang w:val="en-US"/>
        </w:rPr>
        <w:t>albeit</w:t>
      </w:r>
      <w:r w:rsidR="00511781">
        <w:rPr>
          <w:rFonts w:ascii="Times New Roman" w:hAnsi="Times New Roman"/>
          <w:sz w:val="22"/>
          <w:szCs w:val="24"/>
          <w:lang w:val="en-US"/>
        </w:rPr>
        <w:t xml:space="preserve"> </w:t>
      </w:r>
      <w:r w:rsidR="00741452">
        <w:rPr>
          <w:rFonts w:ascii="Times New Roman" w:hAnsi="Times New Roman"/>
          <w:sz w:val="22"/>
          <w:szCs w:val="24"/>
          <w:lang w:val="en-US"/>
        </w:rPr>
        <w:t>with fatter tails</w:t>
      </w:r>
      <w:r w:rsidR="00B014B1">
        <w:rPr>
          <w:rFonts w:ascii="Times New Roman" w:hAnsi="Times New Roman"/>
          <w:sz w:val="22"/>
          <w:szCs w:val="24"/>
          <w:lang w:val="en-US"/>
        </w:rPr>
        <w:t xml:space="preserve">, </w:t>
      </w:r>
      <w:r w:rsidR="00FB558C">
        <w:rPr>
          <w:rFonts w:ascii="Times New Roman" w:hAnsi="Times New Roman"/>
          <w:sz w:val="22"/>
          <w:szCs w:val="24"/>
          <w:lang w:val="en-US"/>
        </w:rPr>
        <w:t xml:space="preserve">while that of Close to Open Earnings Realized Moves </w:t>
      </w:r>
      <w:r w:rsidR="00AB42B3">
        <w:rPr>
          <w:rFonts w:ascii="Times New Roman" w:hAnsi="Times New Roman"/>
          <w:sz w:val="22"/>
          <w:szCs w:val="24"/>
          <w:lang w:val="en-US"/>
        </w:rPr>
        <w:t xml:space="preserve">on average is 3 times as volatile </w:t>
      </w:r>
      <w:r w:rsidR="00D632F4">
        <w:rPr>
          <w:rFonts w:ascii="Times New Roman" w:hAnsi="Times New Roman"/>
          <w:sz w:val="22"/>
          <w:szCs w:val="24"/>
          <w:lang w:val="en-US"/>
        </w:rPr>
        <w:t>and hard to fit to a well-established symmetric statistical distribution.</w:t>
      </w:r>
    </w:p>
    <w:p w14:paraId="670F52A6" w14:textId="6A95FD59" w:rsidR="00E74310" w:rsidRDefault="00E74310" w:rsidP="00AE51AF">
      <w:pPr>
        <w:spacing w:line="360" w:lineRule="auto"/>
        <w:rPr>
          <w:rFonts w:ascii="Times New Roman" w:hAnsi="Times New Roman"/>
          <w:sz w:val="22"/>
          <w:szCs w:val="24"/>
          <w:lang w:val="en-US"/>
        </w:rPr>
      </w:pPr>
    </w:p>
    <w:p w14:paraId="4124127C" w14:textId="3947F0C0" w:rsidR="00E74310" w:rsidRDefault="00E74310" w:rsidP="00E74310">
      <w:pPr>
        <w:spacing w:line="360" w:lineRule="auto"/>
        <w:jc w:val="center"/>
        <w:rPr>
          <w:rFonts w:ascii="Times New Roman" w:hAnsi="Times New Roman"/>
          <w:b/>
          <w:sz w:val="32"/>
          <w:szCs w:val="36"/>
          <w:lang w:val="en-US"/>
        </w:rPr>
      </w:pPr>
      <w:r>
        <w:rPr>
          <w:rFonts w:ascii="Times New Roman" w:hAnsi="Times New Roman"/>
          <w:b/>
          <w:sz w:val="32"/>
          <w:szCs w:val="36"/>
          <w:lang w:val="en-US"/>
        </w:rPr>
        <w:t>Data</w:t>
      </w:r>
      <w:r w:rsidR="001B3EE7">
        <w:rPr>
          <w:rFonts w:ascii="Times New Roman" w:hAnsi="Times New Roman"/>
          <w:b/>
          <w:sz w:val="32"/>
          <w:szCs w:val="36"/>
          <w:lang w:val="en-US"/>
        </w:rPr>
        <w:t xml:space="preserve">, </w:t>
      </w:r>
      <w:r w:rsidR="005E4BEF">
        <w:rPr>
          <w:rFonts w:ascii="Times New Roman" w:hAnsi="Times New Roman"/>
          <w:b/>
          <w:sz w:val="32"/>
          <w:szCs w:val="36"/>
          <w:lang w:val="en-US"/>
        </w:rPr>
        <w:t>Preprocessing</w:t>
      </w:r>
      <w:r w:rsidR="00BB1F33">
        <w:rPr>
          <w:rFonts w:ascii="Times New Roman" w:hAnsi="Times New Roman"/>
          <w:b/>
          <w:sz w:val="32"/>
          <w:szCs w:val="36"/>
          <w:lang w:val="en-US"/>
        </w:rPr>
        <w:t xml:space="preserve"> and Feature Engineering</w:t>
      </w:r>
    </w:p>
    <w:p w14:paraId="322C131C" w14:textId="024CD5CE" w:rsidR="00E74310" w:rsidRDefault="00E74310" w:rsidP="00E74310">
      <w:pPr>
        <w:spacing w:line="360" w:lineRule="auto"/>
        <w:rPr>
          <w:rFonts w:ascii="Times New Roman" w:hAnsi="Times New Roman"/>
          <w:bCs/>
          <w:sz w:val="22"/>
          <w:szCs w:val="24"/>
          <w:lang w:val="en-US"/>
        </w:rPr>
      </w:pPr>
      <w:r>
        <w:rPr>
          <w:rFonts w:ascii="Times New Roman" w:hAnsi="Times New Roman"/>
          <w:bCs/>
          <w:sz w:val="22"/>
          <w:szCs w:val="24"/>
          <w:lang w:val="en-US"/>
        </w:rPr>
        <w:tab/>
        <w:t>Option data is obtained from the Option Metrics</w:t>
      </w:r>
      <w:r w:rsidR="00693FA5">
        <w:rPr>
          <w:rFonts w:ascii="Times New Roman" w:hAnsi="Times New Roman"/>
          <w:bCs/>
          <w:sz w:val="22"/>
          <w:szCs w:val="24"/>
          <w:lang w:val="en-US"/>
        </w:rPr>
        <w:t xml:space="preserve"> IvyDB</w:t>
      </w:r>
      <w:r>
        <w:rPr>
          <w:rFonts w:ascii="Times New Roman" w:hAnsi="Times New Roman"/>
          <w:bCs/>
          <w:sz w:val="22"/>
          <w:szCs w:val="24"/>
          <w:lang w:val="en-US"/>
        </w:rPr>
        <w:t xml:space="preserve"> Database available on WRDS. The Option Metrics Database </w:t>
      </w:r>
      <w:r w:rsidR="004F1C22">
        <w:rPr>
          <w:rFonts w:ascii="Times New Roman" w:hAnsi="Times New Roman"/>
          <w:bCs/>
          <w:sz w:val="22"/>
          <w:szCs w:val="24"/>
          <w:lang w:val="en-US"/>
        </w:rPr>
        <w:t>contains</w:t>
      </w:r>
      <w:r>
        <w:rPr>
          <w:rFonts w:ascii="Times New Roman" w:hAnsi="Times New Roman"/>
          <w:bCs/>
          <w:sz w:val="22"/>
          <w:szCs w:val="24"/>
          <w:lang w:val="en-US"/>
        </w:rPr>
        <w:t xml:space="preserve"> end of day</w:t>
      </w:r>
      <w:r w:rsidR="00FA3E88">
        <w:rPr>
          <w:rFonts w:ascii="Times New Roman" w:hAnsi="Times New Roman"/>
          <w:bCs/>
          <w:sz w:val="22"/>
          <w:szCs w:val="24"/>
          <w:lang w:val="en-US"/>
        </w:rPr>
        <w:t xml:space="preserve"> (EoD)</w:t>
      </w:r>
      <w:r>
        <w:rPr>
          <w:rFonts w:ascii="Times New Roman" w:hAnsi="Times New Roman"/>
          <w:bCs/>
          <w:sz w:val="22"/>
          <w:szCs w:val="24"/>
          <w:lang w:val="en-US"/>
        </w:rPr>
        <w:t xml:space="preserve"> bid and ask quotes for options on US </w:t>
      </w:r>
      <w:r w:rsidR="00C35407">
        <w:rPr>
          <w:rFonts w:ascii="Times New Roman" w:hAnsi="Times New Roman"/>
          <w:bCs/>
          <w:sz w:val="22"/>
          <w:szCs w:val="24"/>
          <w:lang w:val="en-US"/>
        </w:rPr>
        <w:t>publicly</w:t>
      </w:r>
      <w:r>
        <w:rPr>
          <w:rFonts w:ascii="Times New Roman" w:hAnsi="Times New Roman"/>
          <w:bCs/>
          <w:sz w:val="22"/>
          <w:szCs w:val="24"/>
          <w:lang w:val="en-US"/>
        </w:rPr>
        <w:t xml:space="preserve"> listed companies</w:t>
      </w:r>
      <w:r w:rsidR="004F1C22">
        <w:rPr>
          <w:rFonts w:ascii="Times New Roman" w:hAnsi="Times New Roman"/>
          <w:bCs/>
          <w:sz w:val="22"/>
          <w:szCs w:val="24"/>
          <w:lang w:val="en-US"/>
        </w:rPr>
        <w:t>. The sample covers the period 01.01.2014 – 31.12.2024.</w:t>
      </w:r>
    </w:p>
    <w:p w14:paraId="0E0D527D" w14:textId="77777777" w:rsidR="004F1C22" w:rsidRDefault="004F1C22" w:rsidP="00E74310">
      <w:pPr>
        <w:spacing w:line="360" w:lineRule="auto"/>
        <w:rPr>
          <w:rFonts w:ascii="Times New Roman" w:hAnsi="Times New Roman"/>
          <w:bCs/>
          <w:sz w:val="22"/>
          <w:szCs w:val="24"/>
          <w:lang w:val="en-US"/>
        </w:rPr>
      </w:pPr>
    </w:p>
    <w:p w14:paraId="2BF00E02" w14:textId="77777777" w:rsidR="004F1C22" w:rsidRDefault="004F1C22" w:rsidP="00E74310">
      <w:pPr>
        <w:spacing w:line="360" w:lineRule="auto"/>
        <w:rPr>
          <w:rFonts w:ascii="Times New Roman" w:hAnsi="Times New Roman"/>
          <w:bCs/>
          <w:sz w:val="22"/>
          <w:szCs w:val="24"/>
          <w:lang w:val="en-US"/>
        </w:rPr>
      </w:pPr>
    </w:p>
    <w:p w14:paraId="0DAF003D" w14:textId="77777777" w:rsidR="004F1C22" w:rsidRDefault="004F1C22" w:rsidP="00E74310">
      <w:pPr>
        <w:spacing w:line="360" w:lineRule="auto"/>
        <w:rPr>
          <w:rFonts w:ascii="Times New Roman" w:hAnsi="Times New Roman"/>
          <w:bCs/>
          <w:sz w:val="22"/>
          <w:szCs w:val="24"/>
          <w:lang w:val="en-US"/>
        </w:rPr>
      </w:pPr>
    </w:p>
    <w:p w14:paraId="24819611" w14:textId="77777777" w:rsidR="004F1C22" w:rsidRDefault="004F1C22" w:rsidP="00E74310">
      <w:pPr>
        <w:spacing w:line="360" w:lineRule="auto"/>
        <w:rPr>
          <w:rFonts w:ascii="Times New Roman" w:hAnsi="Times New Roman"/>
          <w:bCs/>
          <w:sz w:val="22"/>
          <w:szCs w:val="24"/>
          <w:lang w:val="en-US"/>
        </w:rPr>
      </w:pPr>
    </w:p>
    <w:p w14:paraId="73DC91F2" w14:textId="77777777" w:rsidR="004F1C22" w:rsidRDefault="004F1C22" w:rsidP="00E74310">
      <w:pPr>
        <w:spacing w:line="360" w:lineRule="auto"/>
        <w:rPr>
          <w:rFonts w:ascii="Times New Roman" w:hAnsi="Times New Roman"/>
          <w:bCs/>
          <w:sz w:val="22"/>
          <w:szCs w:val="24"/>
          <w:lang w:val="en-US"/>
        </w:rPr>
      </w:pPr>
    </w:p>
    <w:p w14:paraId="4B77AFFE" w14:textId="77777777" w:rsidR="004F1C22" w:rsidRDefault="004F1C22" w:rsidP="00E74310">
      <w:pPr>
        <w:spacing w:line="360" w:lineRule="auto"/>
        <w:rPr>
          <w:rFonts w:ascii="Times New Roman" w:hAnsi="Times New Roman"/>
          <w:bCs/>
          <w:sz w:val="22"/>
          <w:szCs w:val="24"/>
          <w:lang w:val="en-US"/>
        </w:rPr>
      </w:pPr>
    </w:p>
    <w:p w14:paraId="37CE2659" w14:textId="77777777" w:rsidR="004F1C22" w:rsidRDefault="004F1C22" w:rsidP="00E74310">
      <w:pPr>
        <w:spacing w:line="360" w:lineRule="auto"/>
        <w:rPr>
          <w:rFonts w:ascii="Times New Roman" w:hAnsi="Times New Roman"/>
          <w:bCs/>
          <w:sz w:val="22"/>
          <w:szCs w:val="24"/>
          <w:lang w:val="en-US"/>
        </w:rPr>
      </w:pPr>
    </w:p>
    <w:p w14:paraId="32F9F729" w14:textId="77777777" w:rsidR="004F1C22" w:rsidRDefault="004F1C22" w:rsidP="00E74310">
      <w:pPr>
        <w:spacing w:line="360" w:lineRule="auto"/>
        <w:rPr>
          <w:rFonts w:ascii="Times New Roman" w:hAnsi="Times New Roman"/>
          <w:bCs/>
          <w:sz w:val="22"/>
          <w:szCs w:val="24"/>
          <w:lang w:val="en-US"/>
        </w:rPr>
      </w:pPr>
    </w:p>
    <w:p w14:paraId="62B96B2A" w14:textId="5EB696E1" w:rsidR="004F1C22" w:rsidRDefault="004F1C22" w:rsidP="00E74310">
      <w:pPr>
        <w:spacing w:line="360" w:lineRule="auto"/>
        <w:rPr>
          <w:rFonts w:ascii="Times New Roman" w:hAnsi="Times New Roman"/>
          <w:bCs/>
          <w:sz w:val="22"/>
          <w:szCs w:val="24"/>
          <w:lang w:val="en-US"/>
        </w:rPr>
      </w:pPr>
    </w:p>
    <w:p w14:paraId="2724AC69" w14:textId="11125840" w:rsidR="004F1C22" w:rsidRPr="00E74310" w:rsidRDefault="004F1C22" w:rsidP="00E74310">
      <w:pPr>
        <w:spacing w:line="360" w:lineRule="auto"/>
        <w:rPr>
          <w:rFonts w:ascii="Times New Roman" w:hAnsi="Times New Roman"/>
          <w:bCs/>
          <w:sz w:val="22"/>
          <w:szCs w:val="24"/>
          <w:lang w:val="en-US"/>
        </w:rPr>
      </w:pPr>
    </w:p>
    <w:p w14:paraId="7E0D81E8" w14:textId="07D0450D" w:rsidR="00E74310" w:rsidRPr="00E74310" w:rsidRDefault="002713F3" w:rsidP="00E74310">
      <w:pPr>
        <w:spacing w:line="360" w:lineRule="auto"/>
        <w:jc w:val="center"/>
        <w:rPr>
          <w:rFonts w:ascii="Times New Roman" w:hAnsi="Times New Roman"/>
          <w:b/>
          <w:bCs/>
          <w:sz w:val="22"/>
          <w:szCs w:val="24"/>
          <w:lang w:val="en-US"/>
        </w:rPr>
      </w:pPr>
      <w:r w:rsidRPr="004F1C22">
        <w:rPr>
          <w:rFonts w:ascii="Times New Roman" w:hAnsi="Times New Roman"/>
          <w:bCs/>
          <w:noProof/>
          <w:sz w:val="22"/>
          <w:szCs w:val="24"/>
          <w:lang w:val="en-US"/>
        </w:rPr>
        <w:lastRenderedPageBreak/>
        <w:drawing>
          <wp:anchor distT="0" distB="0" distL="114300" distR="114300" simplePos="0" relativeHeight="251658240" behindDoc="0" locked="0" layoutInCell="1" allowOverlap="1" wp14:anchorId="3E4D0D67" wp14:editId="756D7256">
            <wp:simplePos x="0" y="0"/>
            <wp:positionH relativeFrom="margin">
              <wp:align>center</wp:align>
            </wp:positionH>
            <wp:positionV relativeFrom="paragraph">
              <wp:posOffset>-497840</wp:posOffset>
            </wp:positionV>
            <wp:extent cx="5563505" cy="3063240"/>
            <wp:effectExtent l="0" t="0" r="0" b="3810"/>
            <wp:wrapNone/>
            <wp:docPr id="195290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00672" name=""/>
                    <pic:cNvPicPr/>
                  </pic:nvPicPr>
                  <pic:blipFill>
                    <a:blip r:embed="rId7"/>
                    <a:stretch>
                      <a:fillRect/>
                    </a:stretch>
                  </pic:blipFill>
                  <pic:spPr>
                    <a:xfrm>
                      <a:off x="0" y="0"/>
                      <a:ext cx="5563505" cy="3063240"/>
                    </a:xfrm>
                    <a:prstGeom prst="rect">
                      <a:avLst/>
                    </a:prstGeom>
                  </pic:spPr>
                </pic:pic>
              </a:graphicData>
            </a:graphic>
            <wp14:sizeRelH relativeFrom="margin">
              <wp14:pctWidth>0</wp14:pctWidth>
            </wp14:sizeRelH>
            <wp14:sizeRelV relativeFrom="margin">
              <wp14:pctHeight>0</wp14:pctHeight>
            </wp14:sizeRelV>
          </wp:anchor>
        </w:drawing>
      </w:r>
    </w:p>
    <w:p w14:paraId="4C76CDAD" w14:textId="04BD45C3" w:rsidR="00CB1205" w:rsidRPr="00974DE5" w:rsidRDefault="00CB1205" w:rsidP="00AE51AF">
      <w:pPr>
        <w:spacing w:line="360" w:lineRule="auto"/>
        <w:rPr>
          <w:rFonts w:ascii="Times New Roman" w:hAnsi="Times New Roman"/>
          <w:sz w:val="22"/>
          <w:szCs w:val="24"/>
          <w:lang w:val="en-US"/>
        </w:rPr>
      </w:pPr>
      <w:r w:rsidRPr="00974DE5">
        <w:rPr>
          <w:rFonts w:ascii="Times New Roman" w:hAnsi="Times New Roman"/>
          <w:sz w:val="22"/>
          <w:szCs w:val="24"/>
          <w:lang w:val="en-US"/>
        </w:rPr>
        <w:tab/>
      </w:r>
    </w:p>
    <w:p w14:paraId="57865145" w14:textId="77777777" w:rsidR="002D10A2" w:rsidRPr="00974DE5" w:rsidRDefault="002D10A2" w:rsidP="00AE51AF">
      <w:pPr>
        <w:spacing w:line="360" w:lineRule="auto"/>
        <w:rPr>
          <w:rFonts w:ascii="Times New Roman" w:hAnsi="Times New Roman"/>
          <w:sz w:val="22"/>
          <w:szCs w:val="24"/>
          <w:lang w:val="en-US"/>
        </w:rPr>
      </w:pPr>
    </w:p>
    <w:p w14:paraId="36FB6810" w14:textId="77777777" w:rsidR="002D10A2" w:rsidRPr="00974DE5" w:rsidRDefault="002D10A2" w:rsidP="00AE51AF">
      <w:pPr>
        <w:spacing w:line="360" w:lineRule="auto"/>
        <w:rPr>
          <w:rFonts w:ascii="Times New Roman" w:hAnsi="Times New Roman"/>
          <w:sz w:val="22"/>
          <w:szCs w:val="24"/>
          <w:lang w:val="en-US"/>
        </w:rPr>
      </w:pPr>
    </w:p>
    <w:p w14:paraId="12110506" w14:textId="77777777" w:rsidR="002D10A2" w:rsidRPr="00974DE5" w:rsidRDefault="002D10A2" w:rsidP="00AE51AF">
      <w:pPr>
        <w:spacing w:line="360" w:lineRule="auto"/>
        <w:rPr>
          <w:rFonts w:ascii="Times New Roman" w:hAnsi="Times New Roman"/>
          <w:sz w:val="22"/>
          <w:szCs w:val="24"/>
          <w:lang w:val="en-US"/>
        </w:rPr>
      </w:pPr>
    </w:p>
    <w:p w14:paraId="7110C739" w14:textId="77777777" w:rsidR="002D10A2" w:rsidRPr="00974DE5" w:rsidRDefault="002D10A2" w:rsidP="00AE51AF">
      <w:pPr>
        <w:spacing w:line="360" w:lineRule="auto"/>
        <w:rPr>
          <w:rFonts w:ascii="Times New Roman" w:hAnsi="Times New Roman"/>
          <w:sz w:val="22"/>
          <w:szCs w:val="24"/>
          <w:lang w:val="en-US"/>
        </w:rPr>
      </w:pPr>
    </w:p>
    <w:p w14:paraId="459648FA" w14:textId="77777777" w:rsidR="002D10A2" w:rsidRPr="00974DE5" w:rsidRDefault="002D10A2" w:rsidP="00AE51AF">
      <w:pPr>
        <w:spacing w:line="360" w:lineRule="auto"/>
        <w:rPr>
          <w:rFonts w:ascii="Times New Roman" w:hAnsi="Times New Roman"/>
          <w:sz w:val="22"/>
          <w:szCs w:val="24"/>
          <w:lang w:val="en-US"/>
        </w:rPr>
      </w:pPr>
    </w:p>
    <w:p w14:paraId="41F262E3" w14:textId="77777777" w:rsidR="002D10A2" w:rsidRPr="00974DE5" w:rsidRDefault="002D10A2" w:rsidP="00AE51AF">
      <w:pPr>
        <w:spacing w:line="360" w:lineRule="auto"/>
        <w:rPr>
          <w:rFonts w:ascii="Times New Roman" w:hAnsi="Times New Roman"/>
          <w:sz w:val="22"/>
          <w:szCs w:val="24"/>
          <w:lang w:val="en-US"/>
        </w:rPr>
      </w:pPr>
    </w:p>
    <w:p w14:paraId="46B685C7" w14:textId="77777777" w:rsidR="002D10A2" w:rsidRPr="00974DE5" w:rsidRDefault="002D10A2" w:rsidP="00AE51AF">
      <w:pPr>
        <w:spacing w:line="360" w:lineRule="auto"/>
        <w:rPr>
          <w:rFonts w:ascii="Times New Roman" w:hAnsi="Times New Roman"/>
          <w:sz w:val="22"/>
          <w:szCs w:val="24"/>
          <w:lang w:val="en-US"/>
        </w:rPr>
      </w:pPr>
    </w:p>
    <w:p w14:paraId="67F6D4BA" w14:textId="77777777" w:rsidR="002D10A2" w:rsidRPr="00974DE5" w:rsidRDefault="002D10A2" w:rsidP="00AE51AF">
      <w:pPr>
        <w:spacing w:line="360" w:lineRule="auto"/>
        <w:rPr>
          <w:rFonts w:ascii="Times New Roman" w:hAnsi="Times New Roman"/>
          <w:sz w:val="22"/>
          <w:szCs w:val="24"/>
          <w:lang w:val="en-US"/>
        </w:rPr>
      </w:pPr>
    </w:p>
    <w:p w14:paraId="21C06EE4" w14:textId="77777777" w:rsidR="004F1C22" w:rsidRDefault="004F1C22" w:rsidP="004F1C22">
      <w:pPr>
        <w:spacing w:line="360" w:lineRule="auto"/>
        <w:rPr>
          <w:rFonts w:ascii="Times New Roman" w:hAnsi="Times New Roman"/>
          <w:i/>
          <w:iCs/>
          <w:sz w:val="22"/>
          <w:szCs w:val="24"/>
          <w:lang w:val="en-US"/>
        </w:rPr>
      </w:pPr>
    </w:p>
    <w:p w14:paraId="5D9F64FF" w14:textId="77777777" w:rsidR="004F1C22" w:rsidRPr="004F1C22" w:rsidRDefault="004F1C22" w:rsidP="004F1C22">
      <w:pPr>
        <w:spacing w:line="360" w:lineRule="auto"/>
        <w:rPr>
          <w:rFonts w:ascii="Times New Roman" w:hAnsi="Times New Roman"/>
          <w:i/>
          <w:iCs/>
          <w:sz w:val="22"/>
          <w:szCs w:val="24"/>
          <w:lang w:val="en-US"/>
        </w:rPr>
      </w:pPr>
    </w:p>
    <w:p w14:paraId="0FEFA5CE" w14:textId="022E3C59" w:rsidR="002D10A2" w:rsidRPr="004F1C22" w:rsidRDefault="004F1C22" w:rsidP="004F1C22">
      <w:pPr>
        <w:spacing w:line="360" w:lineRule="auto"/>
        <w:rPr>
          <w:rFonts w:ascii="Times New Roman" w:hAnsi="Times New Roman"/>
          <w:i/>
          <w:iCs/>
          <w:sz w:val="22"/>
          <w:szCs w:val="24"/>
          <w:lang w:val="en-US"/>
        </w:rPr>
      </w:pPr>
      <w:r w:rsidRPr="004F1C22">
        <w:rPr>
          <w:rFonts w:ascii="Times New Roman" w:hAnsi="Times New Roman"/>
          <w:i/>
          <w:iCs/>
          <w:sz w:val="22"/>
          <w:szCs w:val="24"/>
          <w:lang w:val="en-US"/>
        </w:rPr>
        <w:t xml:space="preserve">Figure </w:t>
      </w:r>
      <w:r>
        <w:rPr>
          <w:rFonts w:ascii="Times New Roman" w:hAnsi="Times New Roman"/>
          <w:i/>
          <w:iCs/>
          <w:sz w:val="22"/>
          <w:szCs w:val="24"/>
          <w:lang w:val="en-US"/>
        </w:rPr>
        <w:t>1</w:t>
      </w:r>
      <w:r w:rsidRPr="004F1C22">
        <w:rPr>
          <w:rFonts w:ascii="Times New Roman" w:hAnsi="Times New Roman"/>
          <w:i/>
          <w:iCs/>
          <w:sz w:val="22"/>
          <w:szCs w:val="24"/>
          <w:lang w:val="en-US"/>
        </w:rPr>
        <w:t xml:space="preserve">. </w:t>
      </w:r>
      <w:r>
        <w:rPr>
          <w:rFonts w:ascii="Times New Roman" w:hAnsi="Times New Roman"/>
          <w:i/>
          <w:iCs/>
          <w:sz w:val="22"/>
          <w:szCs w:val="24"/>
          <w:lang w:val="en-US"/>
        </w:rPr>
        <w:t>A representation</w:t>
      </w:r>
      <w:r w:rsidRPr="004F1C22">
        <w:rPr>
          <w:rFonts w:ascii="Times New Roman" w:hAnsi="Times New Roman"/>
          <w:i/>
          <w:iCs/>
          <w:sz w:val="22"/>
          <w:szCs w:val="24"/>
          <w:lang w:val="en-US"/>
        </w:rPr>
        <w:t xml:space="preserve"> of how the option dataset looks like for Visa (ticker: V) on 08.01.2014. The dataset is multi-indexed, meaning that each row represents </w:t>
      </w:r>
      <w:r>
        <w:rPr>
          <w:rFonts w:ascii="Times New Roman" w:hAnsi="Times New Roman"/>
          <w:i/>
          <w:iCs/>
          <w:sz w:val="22"/>
          <w:szCs w:val="24"/>
          <w:lang w:val="en-US"/>
        </w:rPr>
        <w:t>a unique combination of: Trade date – Expiration Date</w:t>
      </w:r>
      <w:r w:rsidR="00FA3E88">
        <w:rPr>
          <w:rFonts w:ascii="Times New Roman" w:hAnsi="Times New Roman"/>
          <w:i/>
          <w:iCs/>
          <w:sz w:val="22"/>
          <w:szCs w:val="24"/>
          <w:lang w:val="en-US"/>
        </w:rPr>
        <w:t xml:space="preserve"> </w:t>
      </w:r>
      <w:r>
        <w:rPr>
          <w:rFonts w:ascii="Times New Roman" w:hAnsi="Times New Roman"/>
          <w:i/>
          <w:iCs/>
          <w:sz w:val="22"/>
          <w:szCs w:val="24"/>
          <w:lang w:val="en-US"/>
        </w:rPr>
        <w:t>– Strike Price</w:t>
      </w:r>
      <w:r w:rsidR="00FA3E88">
        <w:rPr>
          <w:rFonts w:ascii="Times New Roman" w:hAnsi="Times New Roman"/>
          <w:i/>
          <w:iCs/>
          <w:sz w:val="22"/>
          <w:szCs w:val="24"/>
          <w:lang w:val="en-US"/>
        </w:rPr>
        <w:t xml:space="preserve"> – Option Type (Call/Put)</w:t>
      </w:r>
    </w:p>
    <w:p w14:paraId="7E27CA80" w14:textId="77777777" w:rsidR="002D10A2" w:rsidRDefault="002D10A2" w:rsidP="00AE51AF">
      <w:pPr>
        <w:spacing w:line="360" w:lineRule="auto"/>
        <w:rPr>
          <w:rFonts w:ascii="Times New Roman" w:hAnsi="Times New Roman"/>
          <w:sz w:val="22"/>
          <w:szCs w:val="24"/>
          <w:lang w:val="en-US"/>
        </w:rPr>
      </w:pPr>
    </w:p>
    <w:p w14:paraId="5AE29A03" w14:textId="77777777" w:rsidR="00693FA5" w:rsidRDefault="003255EF" w:rsidP="00AE51AF">
      <w:pPr>
        <w:spacing w:line="360" w:lineRule="auto"/>
        <w:rPr>
          <w:rFonts w:ascii="Times New Roman" w:hAnsi="Times New Roman"/>
          <w:sz w:val="22"/>
          <w:szCs w:val="24"/>
          <w:lang w:val="en-US"/>
        </w:rPr>
      </w:pPr>
      <w:r>
        <w:rPr>
          <w:rFonts w:ascii="Times New Roman" w:hAnsi="Times New Roman"/>
          <w:sz w:val="22"/>
          <w:szCs w:val="24"/>
          <w:lang w:val="en-US"/>
        </w:rPr>
        <w:t xml:space="preserve">One can see </w:t>
      </w:r>
      <w:r w:rsidR="00FF27CD">
        <w:rPr>
          <w:rFonts w:ascii="Times New Roman" w:hAnsi="Times New Roman"/>
          <w:sz w:val="22"/>
          <w:szCs w:val="24"/>
          <w:lang w:val="en-US"/>
        </w:rPr>
        <w:t>in</w:t>
      </w:r>
      <w:r w:rsidR="004F1C22">
        <w:rPr>
          <w:rFonts w:ascii="Times New Roman" w:hAnsi="Times New Roman"/>
          <w:sz w:val="22"/>
          <w:szCs w:val="24"/>
          <w:lang w:val="en-US"/>
        </w:rPr>
        <w:t xml:space="preserve"> Figure 1</w:t>
      </w:r>
      <w:r>
        <w:rPr>
          <w:rFonts w:ascii="Times New Roman" w:hAnsi="Times New Roman"/>
          <w:sz w:val="22"/>
          <w:szCs w:val="24"/>
          <w:lang w:val="en-US"/>
        </w:rPr>
        <w:t xml:space="preserve"> that</w:t>
      </w:r>
      <w:r w:rsidR="00A21FB2">
        <w:rPr>
          <w:rFonts w:ascii="Times New Roman" w:hAnsi="Times New Roman"/>
          <w:sz w:val="22"/>
          <w:szCs w:val="24"/>
          <w:lang w:val="en-US"/>
        </w:rPr>
        <w:t xml:space="preserve"> the Option Metrics </w:t>
      </w:r>
      <w:r w:rsidR="00091988">
        <w:rPr>
          <w:rFonts w:ascii="Times New Roman" w:hAnsi="Times New Roman"/>
          <w:sz w:val="22"/>
          <w:szCs w:val="24"/>
          <w:lang w:val="en-US"/>
        </w:rPr>
        <w:t xml:space="preserve">database </w:t>
      </w:r>
      <w:r>
        <w:rPr>
          <w:rFonts w:ascii="Times New Roman" w:hAnsi="Times New Roman"/>
          <w:sz w:val="22"/>
          <w:szCs w:val="24"/>
          <w:lang w:val="en-US"/>
        </w:rPr>
        <w:t>is a multi-indexed flatten series with 4 degrees of abstraction</w:t>
      </w:r>
      <w:r w:rsidR="00091988">
        <w:rPr>
          <w:rFonts w:ascii="Times New Roman" w:hAnsi="Times New Roman"/>
          <w:sz w:val="22"/>
          <w:szCs w:val="24"/>
          <w:lang w:val="en-US"/>
        </w:rPr>
        <w:t xml:space="preserve">. Therefore, on a given </w:t>
      </w:r>
      <w:r w:rsidR="00693FA5">
        <w:rPr>
          <w:rFonts w:ascii="Times New Roman" w:hAnsi="Times New Roman"/>
          <w:sz w:val="22"/>
          <w:szCs w:val="24"/>
          <w:lang w:val="en-US"/>
        </w:rPr>
        <w:t xml:space="preserve">trading </w:t>
      </w:r>
      <w:r w:rsidR="00091988">
        <w:rPr>
          <w:rFonts w:ascii="Times New Roman" w:hAnsi="Times New Roman"/>
          <w:sz w:val="22"/>
          <w:szCs w:val="24"/>
          <w:lang w:val="en-US"/>
        </w:rPr>
        <w:t>day there are multiple option chains present in the market</w:t>
      </w:r>
      <w:r>
        <w:rPr>
          <w:rFonts w:ascii="Times New Roman" w:hAnsi="Times New Roman"/>
          <w:sz w:val="22"/>
          <w:szCs w:val="24"/>
          <w:lang w:val="en-US"/>
        </w:rPr>
        <w:t xml:space="preserve"> (different expiration dates) and each option chain contains multiple strike prices</w:t>
      </w:r>
      <w:r w:rsidR="00693FA5">
        <w:rPr>
          <w:rFonts w:ascii="Times New Roman" w:hAnsi="Times New Roman"/>
          <w:sz w:val="22"/>
          <w:szCs w:val="24"/>
          <w:lang w:val="en-US"/>
        </w:rPr>
        <w:t xml:space="preserve"> (different strike prices)</w:t>
      </w:r>
      <w:r>
        <w:rPr>
          <w:rFonts w:ascii="Times New Roman" w:hAnsi="Times New Roman"/>
          <w:sz w:val="22"/>
          <w:szCs w:val="24"/>
          <w:lang w:val="en-US"/>
        </w:rPr>
        <w:t xml:space="preserve"> for each of which there is a call and a put present.</w:t>
      </w:r>
    </w:p>
    <w:p w14:paraId="068B8BAA" w14:textId="67B83FA4" w:rsidR="004F1C22" w:rsidRDefault="00693FA5" w:rsidP="00693FA5">
      <w:pPr>
        <w:spacing w:line="360" w:lineRule="auto"/>
        <w:ind w:firstLine="708"/>
        <w:rPr>
          <w:rFonts w:ascii="Times New Roman" w:hAnsi="Times New Roman"/>
          <w:sz w:val="22"/>
          <w:szCs w:val="24"/>
          <w:lang w:val="en-US"/>
        </w:rPr>
      </w:pPr>
      <w:r>
        <w:rPr>
          <w:rFonts w:ascii="Times New Roman" w:hAnsi="Times New Roman"/>
          <w:sz w:val="22"/>
          <w:szCs w:val="24"/>
          <w:lang w:val="en-US"/>
        </w:rPr>
        <w:t xml:space="preserve"> It is important to note that the full IvyDB Database</w:t>
      </w:r>
      <w:r w:rsidR="003155B4">
        <w:rPr>
          <w:rFonts w:ascii="Times New Roman" w:hAnsi="Times New Roman"/>
          <w:sz w:val="22"/>
          <w:szCs w:val="24"/>
          <w:lang w:val="en-US"/>
        </w:rPr>
        <w:t xml:space="preserve"> goes back to January 1996,</w:t>
      </w:r>
      <w:r>
        <w:rPr>
          <w:rFonts w:ascii="Times New Roman" w:hAnsi="Times New Roman"/>
          <w:sz w:val="22"/>
          <w:szCs w:val="24"/>
          <w:lang w:val="en-US"/>
        </w:rPr>
        <w:t xml:space="preserve"> is around 1.8 TB and contains option data of all US public companies which had listed options</w:t>
      </w:r>
      <w:r w:rsidR="003155B4">
        <w:rPr>
          <w:rFonts w:ascii="Times New Roman" w:hAnsi="Times New Roman"/>
          <w:sz w:val="22"/>
          <w:szCs w:val="24"/>
          <w:lang w:val="en-US"/>
        </w:rPr>
        <w:t xml:space="preserve">. The size of the dataset therefore necessitates certain design considerations for this paper. The first being that only options of companies with a market capitalization above USD 1 billion are queried – this is done in an attempt to reduce the amount of data that has to be downloaded as </w:t>
      </w:r>
      <w:r w:rsidR="007505E3">
        <w:rPr>
          <w:rFonts w:ascii="Times New Roman" w:hAnsi="Times New Roman"/>
          <w:sz w:val="22"/>
          <w:szCs w:val="24"/>
          <w:lang w:val="en-US"/>
        </w:rPr>
        <w:t>micro-cap</w:t>
      </w:r>
      <w:r w:rsidR="003155B4">
        <w:rPr>
          <w:rFonts w:ascii="Times New Roman" w:hAnsi="Times New Roman"/>
          <w:sz w:val="22"/>
          <w:szCs w:val="24"/>
          <w:lang w:val="en-US"/>
        </w:rPr>
        <w:t xml:space="preserve"> companies are unlikely to have liquid enough options that allow a trade</w:t>
      </w:r>
      <w:r w:rsidR="007505E3">
        <w:rPr>
          <w:rFonts w:ascii="Times New Roman" w:hAnsi="Times New Roman"/>
          <w:sz w:val="22"/>
          <w:szCs w:val="24"/>
          <w:lang w:val="en-US"/>
        </w:rPr>
        <w:t>r</w:t>
      </w:r>
      <w:r w:rsidR="003155B4">
        <w:rPr>
          <w:rFonts w:ascii="Times New Roman" w:hAnsi="Times New Roman"/>
          <w:sz w:val="22"/>
          <w:szCs w:val="24"/>
          <w:lang w:val="en-US"/>
        </w:rPr>
        <w:t xml:space="preserve"> to “sell” the earnings event. </w:t>
      </w:r>
      <w:r w:rsidR="007505E3">
        <w:rPr>
          <w:rFonts w:ascii="Times New Roman" w:hAnsi="Times New Roman"/>
          <w:sz w:val="22"/>
          <w:szCs w:val="24"/>
          <w:lang w:val="en-US"/>
        </w:rPr>
        <w:t xml:space="preserve">Secondly, </w:t>
      </w:r>
      <w:r w:rsidR="008D62AB">
        <w:rPr>
          <w:rFonts w:ascii="Times New Roman" w:hAnsi="Times New Roman"/>
          <w:sz w:val="22"/>
          <w:szCs w:val="24"/>
          <w:lang w:val="en-US"/>
        </w:rPr>
        <w:t xml:space="preserve">the sample period starts only from 2014, which is done partially to reduce the size of the data with which </w:t>
      </w:r>
      <w:r w:rsidR="00AA00F0">
        <w:rPr>
          <w:rFonts w:ascii="Times New Roman" w:hAnsi="Times New Roman"/>
          <w:sz w:val="22"/>
          <w:szCs w:val="24"/>
          <w:lang w:val="en-US"/>
        </w:rPr>
        <w:t>I</w:t>
      </w:r>
      <w:r w:rsidR="008D62AB">
        <w:rPr>
          <w:rFonts w:ascii="Times New Roman" w:hAnsi="Times New Roman"/>
          <w:sz w:val="22"/>
          <w:szCs w:val="24"/>
          <w:lang w:val="en-US"/>
        </w:rPr>
        <w:t xml:space="preserve"> work but also because</w:t>
      </w:r>
      <w:r w:rsidR="00D76A17">
        <w:rPr>
          <w:rFonts w:ascii="Times New Roman" w:hAnsi="Times New Roman"/>
          <w:sz w:val="22"/>
          <w:szCs w:val="24"/>
          <w:lang w:val="en-US"/>
        </w:rPr>
        <w:t xml:space="preserve"> fitting machine learning models on data so far in the past (this paper is written in 2026), is unlikely to generalize well </w:t>
      </w:r>
      <w:r w:rsidR="001639D9">
        <w:rPr>
          <w:rFonts w:ascii="Times New Roman" w:hAnsi="Times New Roman"/>
          <w:sz w:val="22"/>
          <w:szCs w:val="24"/>
          <w:lang w:val="en-US"/>
        </w:rPr>
        <w:t>to out of sample performance in the present more than a decade later.</w:t>
      </w:r>
    </w:p>
    <w:p w14:paraId="7D166BB6" w14:textId="0E080DF8" w:rsidR="00D60FCA" w:rsidRDefault="00D60FCA" w:rsidP="00D60FCA">
      <w:pPr>
        <w:spacing w:line="360" w:lineRule="auto"/>
        <w:rPr>
          <w:rFonts w:ascii="Times New Roman" w:hAnsi="Times New Roman"/>
          <w:sz w:val="22"/>
          <w:szCs w:val="24"/>
          <w:lang w:val="en-US"/>
        </w:rPr>
      </w:pPr>
      <w:r>
        <w:rPr>
          <w:rFonts w:ascii="Times New Roman" w:hAnsi="Times New Roman"/>
          <w:sz w:val="22"/>
          <w:szCs w:val="24"/>
          <w:lang w:val="en-US"/>
        </w:rPr>
        <w:tab/>
        <w:t xml:space="preserve">The data-acquisition looks as follows. </w:t>
      </w:r>
      <w:r w:rsidR="007A3D16">
        <w:rPr>
          <w:rFonts w:ascii="Times New Roman" w:hAnsi="Times New Roman"/>
          <w:sz w:val="22"/>
          <w:szCs w:val="24"/>
          <w:lang w:val="en-US"/>
        </w:rPr>
        <w:t>To only isolate companies above the</w:t>
      </w:r>
      <w:r w:rsidR="00057F73">
        <w:rPr>
          <w:rFonts w:ascii="Times New Roman" w:hAnsi="Times New Roman"/>
          <w:sz w:val="22"/>
          <w:szCs w:val="24"/>
          <w:lang w:val="en-US"/>
        </w:rPr>
        <w:t xml:space="preserve"> USD</w:t>
      </w:r>
      <w:r w:rsidR="007A3D16">
        <w:rPr>
          <w:rFonts w:ascii="Times New Roman" w:hAnsi="Times New Roman"/>
          <w:sz w:val="22"/>
          <w:szCs w:val="24"/>
          <w:lang w:val="en-US"/>
        </w:rPr>
        <w:t xml:space="preserve"> 1 billion threshold, I downloaded the whole CRSP (CCM) Database</w:t>
      </w:r>
      <w:r w:rsidR="0017534A">
        <w:rPr>
          <w:rFonts w:ascii="Times New Roman" w:hAnsi="Times New Roman"/>
          <w:sz w:val="22"/>
          <w:szCs w:val="24"/>
          <w:lang w:val="en-US"/>
        </w:rPr>
        <w:t xml:space="preserve"> with</w:t>
      </w:r>
      <w:r w:rsidR="007A3D16">
        <w:rPr>
          <w:rFonts w:ascii="Times New Roman" w:hAnsi="Times New Roman"/>
          <w:sz w:val="22"/>
          <w:szCs w:val="24"/>
          <w:lang w:val="en-US"/>
        </w:rPr>
        <w:t xml:space="preserve"> </w:t>
      </w:r>
      <w:r w:rsidR="005F65E0">
        <w:rPr>
          <w:rFonts w:ascii="Times New Roman" w:hAnsi="Times New Roman"/>
          <w:sz w:val="22"/>
          <w:szCs w:val="24"/>
          <w:lang w:val="en-US"/>
        </w:rPr>
        <w:t xml:space="preserve">daily </w:t>
      </w:r>
      <w:r w:rsidR="007A3D16">
        <w:rPr>
          <w:rFonts w:ascii="Times New Roman" w:hAnsi="Times New Roman"/>
          <w:sz w:val="22"/>
          <w:szCs w:val="24"/>
          <w:lang w:val="en-US"/>
        </w:rPr>
        <w:t xml:space="preserve">closing prices and the number of shares outstanding </w:t>
      </w:r>
      <w:r w:rsidR="0017534A">
        <w:rPr>
          <w:rFonts w:ascii="Times New Roman" w:hAnsi="Times New Roman"/>
          <w:sz w:val="22"/>
          <w:szCs w:val="24"/>
          <w:lang w:val="en-US"/>
        </w:rPr>
        <w:t>for each US listed company for the sample period (01.01.2014 – 31.12.2024)</w:t>
      </w:r>
      <w:r w:rsidR="00CE5F7E">
        <w:rPr>
          <w:rFonts w:ascii="Times New Roman" w:hAnsi="Times New Roman"/>
          <w:sz w:val="22"/>
          <w:szCs w:val="24"/>
          <w:lang w:val="en-US"/>
        </w:rPr>
        <w:t>.</w:t>
      </w:r>
      <w:r w:rsidR="00057F73">
        <w:rPr>
          <w:rFonts w:ascii="Times New Roman" w:hAnsi="Times New Roman"/>
          <w:sz w:val="22"/>
          <w:szCs w:val="24"/>
          <w:lang w:val="en-US"/>
        </w:rPr>
        <w:t xml:space="preserve"> </w:t>
      </w:r>
      <w:r w:rsidR="00CE5F7E">
        <w:rPr>
          <w:rFonts w:ascii="Times New Roman" w:hAnsi="Times New Roman"/>
          <w:sz w:val="22"/>
          <w:szCs w:val="24"/>
          <w:lang w:val="en-US"/>
        </w:rPr>
        <w:t>I</w:t>
      </w:r>
      <w:r w:rsidR="00057F73">
        <w:rPr>
          <w:rFonts w:ascii="Times New Roman" w:hAnsi="Times New Roman"/>
          <w:sz w:val="22"/>
          <w:szCs w:val="24"/>
          <w:lang w:val="en-US"/>
        </w:rPr>
        <w:t xml:space="preserve"> save the tickers of all such companies whose Market Capitalization (Closing Price * Number of Shares Outstanding) exceeded</w:t>
      </w:r>
      <w:r w:rsidR="00CE5F7E">
        <w:rPr>
          <w:rFonts w:ascii="Times New Roman" w:hAnsi="Times New Roman"/>
          <w:sz w:val="22"/>
          <w:szCs w:val="24"/>
          <w:lang w:val="en-US"/>
        </w:rPr>
        <w:t xml:space="preserve"> the </w:t>
      </w:r>
      <w:r w:rsidR="00AC5143">
        <w:rPr>
          <w:rFonts w:ascii="Times New Roman" w:hAnsi="Times New Roman"/>
          <w:sz w:val="22"/>
          <w:szCs w:val="24"/>
          <w:lang w:val="en-US"/>
        </w:rPr>
        <w:t xml:space="preserve">1 billion mark at any point in time during the sample period i.e. a company would be included in the ticker list </w:t>
      </w:r>
      <w:r w:rsidR="00AB7610">
        <w:rPr>
          <w:rFonts w:ascii="Times New Roman" w:hAnsi="Times New Roman"/>
          <w:sz w:val="22"/>
          <w:szCs w:val="24"/>
          <w:lang w:val="en-US"/>
        </w:rPr>
        <w:t>if</w:t>
      </w:r>
      <w:r w:rsidR="00E41FC6">
        <w:rPr>
          <w:rFonts w:ascii="Times New Roman" w:hAnsi="Times New Roman"/>
          <w:sz w:val="22"/>
          <w:szCs w:val="24"/>
          <w:lang w:val="en-US"/>
        </w:rPr>
        <w:t xml:space="preserve"> there was</w:t>
      </w:r>
      <w:r w:rsidR="00AC5143">
        <w:rPr>
          <w:rFonts w:ascii="Times New Roman" w:hAnsi="Times New Roman"/>
          <w:sz w:val="22"/>
          <w:szCs w:val="24"/>
          <w:lang w:val="en-US"/>
        </w:rPr>
        <w:t xml:space="preserve"> a</w:t>
      </w:r>
      <w:r w:rsidR="00E41FC6">
        <w:rPr>
          <w:rFonts w:ascii="Times New Roman" w:hAnsi="Times New Roman"/>
          <w:sz w:val="22"/>
          <w:szCs w:val="24"/>
          <w:lang w:val="en-US"/>
        </w:rPr>
        <w:t>t least one</w:t>
      </w:r>
      <w:r w:rsidR="00AC5143">
        <w:rPr>
          <w:rFonts w:ascii="Times New Roman" w:hAnsi="Times New Roman"/>
          <w:sz w:val="22"/>
          <w:szCs w:val="24"/>
          <w:lang w:val="en-US"/>
        </w:rPr>
        <w:t xml:space="preserve"> day</w:t>
      </w:r>
      <w:r w:rsidR="002F404B">
        <w:rPr>
          <w:rFonts w:ascii="Times New Roman" w:hAnsi="Times New Roman"/>
          <w:sz w:val="22"/>
          <w:szCs w:val="24"/>
          <w:lang w:val="en-US"/>
        </w:rPr>
        <w:t xml:space="preserve"> (t = 0)</w:t>
      </w:r>
      <w:r w:rsidR="00AC5143">
        <w:rPr>
          <w:rFonts w:ascii="Times New Roman" w:hAnsi="Times New Roman"/>
          <w:sz w:val="22"/>
          <w:szCs w:val="24"/>
          <w:lang w:val="en-US"/>
        </w:rPr>
        <w:t xml:space="preserve"> </w:t>
      </w:r>
      <w:r w:rsidR="00E41FC6">
        <w:rPr>
          <w:rFonts w:ascii="Times New Roman" w:hAnsi="Times New Roman"/>
          <w:sz w:val="22"/>
          <w:szCs w:val="24"/>
          <w:lang w:val="en-US"/>
        </w:rPr>
        <w:t xml:space="preserve">where </w:t>
      </w:r>
      <w:r w:rsidR="00AC5143">
        <w:rPr>
          <w:rFonts w:ascii="Times New Roman" w:hAnsi="Times New Roman"/>
          <w:sz w:val="22"/>
          <w:szCs w:val="24"/>
          <w:lang w:val="en-US"/>
        </w:rPr>
        <w:t xml:space="preserve">its market capitalization was above USD 1 billion. This amounted to </w:t>
      </w:r>
      <w:r w:rsidR="001403EE">
        <w:rPr>
          <w:rFonts w:ascii="Times New Roman" w:hAnsi="Times New Roman"/>
          <w:sz w:val="22"/>
          <w:szCs w:val="24"/>
          <w:lang w:val="en-US"/>
        </w:rPr>
        <w:t>2270 tickers</w:t>
      </w:r>
      <w:r w:rsidR="002C662A">
        <w:rPr>
          <w:rFonts w:ascii="Times New Roman" w:hAnsi="Times New Roman"/>
          <w:sz w:val="22"/>
          <w:szCs w:val="24"/>
          <w:lang w:val="en-US"/>
        </w:rPr>
        <w:t>.</w:t>
      </w:r>
    </w:p>
    <w:p w14:paraId="656EDBEF" w14:textId="2EE7CCEB" w:rsidR="002C662A" w:rsidRDefault="002C662A" w:rsidP="00D60FCA">
      <w:pPr>
        <w:spacing w:line="360" w:lineRule="auto"/>
        <w:rPr>
          <w:rFonts w:ascii="Times New Roman" w:hAnsi="Times New Roman"/>
          <w:sz w:val="22"/>
          <w:szCs w:val="24"/>
          <w:lang w:val="en-US"/>
        </w:rPr>
      </w:pPr>
      <w:r>
        <w:rPr>
          <w:rFonts w:ascii="Times New Roman" w:hAnsi="Times New Roman"/>
          <w:sz w:val="22"/>
          <w:szCs w:val="24"/>
          <w:lang w:val="en-US"/>
        </w:rPr>
        <w:lastRenderedPageBreak/>
        <w:tab/>
        <w:t xml:space="preserve">The </w:t>
      </w:r>
      <w:r w:rsidR="008A7AA7">
        <w:rPr>
          <w:rFonts w:ascii="Times New Roman" w:hAnsi="Times New Roman"/>
          <w:sz w:val="22"/>
          <w:szCs w:val="24"/>
          <w:lang w:val="en-US"/>
        </w:rPr>
        <w:t xml:space="preserve">2270 tickers were split into batches of 227 and each batch was </w:t>
      </w:r>
      <w:r w:rsidR="003E2035">
        <w:rPr>
          <w:rFonts w:ascii="Times New Roman" w:hAnsi="Times New Roman"/>
          <w:sz w:val="22"/>
          <w:szCs w:val="24"/>
          <w:lang w:val="en-US"/>
        </w:rPr>
        <w:t>downloaded</w:t>
      </w:r>
      <w:r w:rsidR="008A7AA7">
        <w:rPr>
          <w:rFonts w:ascii="Times New Roman" w:hAnsi="Times New Roman"/>
          <w:sz w:val="22"/>
          <w:szCs w:val="24"/>
          <w:lang w:val="en-US"/>
        </w:rPr>
        <w:t xml:space="preserve"> from the WRDS portal with </w:t>
      </w:r>
      <w:r w:rsidR="008106D3">
        <w:rPr>
          <w:rFonts w:ascii="Times New Roman" w:hAnsi="Times New Roman"/>
          <w:sz w:val="22"/>
          <w:szCs w:val="24"/>
          <w:lang w:val="en-US"/>
        </w:rPr>
        <w:t xml:space="preserve">the restriction that options with Days Until Expiration (DTE) &gt; 60 are excluded – this is done because the trading strategy proposed in this paper focuses on short term options with DTE less than a month. </w:t>
      </w:r>
      <w:r w:rsidR="00A54046">
        <w:rPr>
          <w:rFonts w:ascii="Times New Roman" w:hAnsi="Times New Roman"/>
          <w:sz w:val="22"/>
          <w:szCs w:val="24"/>
          <w:lang w:val="en-US"/>
        </w:rPr>
        <w:t>Subsequently, after each batch is downloaded</w:t>
      </w:r>
      <w:r w:rsidR="008F5E01">
        <w:rPr>
          <w:rFonts w:ascii="Times New Roman" w:hAnsi="Times New Roman"/>
          <w:sz w:val="22"/>
          <w:szCs w:val="24"/>
          <w:lang w:val="en-US"/>
        </w:rPr>
        <w:t>,</w:t>
      </w:r>
      <w:r w:rsidR="00A54046">
        <w:rPr>
          <w:rFonts w:ascii="Times New Roman" w:hAnsi="Times New Roman"/>
          <w:sz w:val="22"/>
          <w:szCs w:val="24"/>
          <w:lang w:val="en-US"/>
        </w:rPr>
        <w:t xml:space="preserve"> </w:t>
      </w:r>
      <w:r w:rsidR="002F522A">
        <w:rPr>
          <w:rFonts w:ascii="Times New Roman" w:hAnsi="Times New Roman"/>
          <w:sz w:val="22"/>
          <w:szCs w:val="24"/>
          <w:lang w:val="en-US"/>
        </w:rPr>
        <w:t>the output</w:t>
      </w:r>
      <w:r w:rsidR="00A54046">
        <w:rPr>
          <w:rFonts w:ascii="Times New Roman" w:hAnsi="Times New Roman"/>
          <w:sz w:val="22"/>
          <w:szCs w:val="24"/>
          <w:lang w:val="en-US"/>
        </w:rPr>
        <w:t xml:space="preserve"> is a .csv file of 10GB or more, </w:t>
      </w:r>
      <w:r w:rsidR="0098019D">
        <w:rPr>
          <w:rFonts w:ascii="Times New Roman" w:hAnsi="Times New Roman"/>
          <w:sz w:val="22"/>
          <w:szCs w:val="24"/>
          <w:lang w:val="en-US"/>
        </w:rPr>
        <w:t>therefore,</w:t>
      </w:r>
      <w:r w:rsidR="008F5E01">
        <w:rPr>
          <w:rFonts w:ascii="Times New Roman" w:hAnsi="Times New Roman"/>
          <w:sz w:val="22"/>
          <w:szCs w:val="24"/>
          <w:lang w:val="en-US"/>
        </w:rPr>
        <w:t xml:space="preserve"> to be </w:t>
      </w:r>
      <w:r w:rsidR="002F522A">
        <w:rPr>
          <w:rFonts w:ascii="Times New Roman" w:hAnsi="Times New Roman"/>
          <w:sz w:val="22"/>
          <w:szCs w:val="24"/>
          <w:lang w:val="en-US"/>
        </w:rPr>
        <w:t>manageable</w:t>
      </w:r>
      <w:r w:rsidR="00A54046">
        <w:rPr>
          <w:rFonts w:ascii="Times New Roman" w:hAnsi="Times New Roman"/>
          <w:sz w:val="22"/>
          <w:szCs w:val="24"/>
          <w:lang w:val="en-US"/>
        </w:rPr>
        <w:t xml:space="preserve"> </w:t>
      </w:r>
      <w:r w:rsidR="002F522A">
        <w:rPr>
          <w:rFonts w:ascii="Times New Roman" w:hAnsi="Times New Roman"/>
          <w:sz w:val="22"/>
          <w:szCs w:val="24"/>
          <w:lang w:val="en-US"/>
        </w:rPr>
        <w:t>each batch</w:t>
      </w:r>
      <w:r w:rsidR="00A54046">
        <w:rPr>
          <w:rFonts w:ascii="Times New Roman" w:hAnsi="Times New Roman"/>
          <w:sz w:val="22"/>
          <w:szCs w:val="24"/>
          <w:lang w:val="en-US"/>
        </w:rPr>
        <w:t xml:space="preserve"> is ingested into the computer </w:t>
      </w:r>
      <w:r w:rsidR="002F522A">
        <w:rPr>
          <w:rFonts w:ascii="Times New Roman" w:hAnsi="Times New Roman"/>
          <w:sz w:val="22"/>
          <w:szCs w:val="24"/>
          <w:lang w:val="en-US"/>
        </w:rPr>
        <w:t xml:space="preserve">memory </w:t>
      </w:r>
      <w:r w:rsidR="00A54046">
        <w:rPr>
          <w:rFonts w:ascii="Times New Roman" w:hAnsi="Times New Roman"/>
          <w:sz w:val="22"/>
          <w:szCs w:val="24"/>
          <w:lang w:val="en-US"/>
        </w:rPr>
        <w:t xml:space="preserve">in chunks of 500 000 rows and each chunk is </w:t>
      </w:r>
      <w:r w:rsidR="004E0891">
        <w:rPr>
          <w:rFonts w:ascii="Times New Roman" w:hAnsi="Times New Roman"/>
          <w:sz w:val="22"/>
          <w:szCs w:val="24"/>
          <w:lang w:val="en-US"/>
        </w:rPr>
        <w:t xml:space="preserve">then </w:t>
      </w:r>
      <w:r w:rsidR="00372429">
        <w:rPr>
          <w:rFonts w:ascii="Times New Roman" w:hAnsi="Times New Roman"/>
          <w:sz w:val="22"/>
          <w:szCs w:val="24"/>
          <w:lang w:val="en-US"/>
        </w:rPr>
        <w:t xml:space="preserve">mapped </w:t>
      </w:r>
      <w:r w:rsidR="002F522A">
        <w:rPr>
          <w:rFonts w:ascii="Times New Roman" w:hAnsi="Times New Roman"/>
          <w:sz w:val="22"/>
          <w:szCs w:val="24"/>
          <w:lang w:val="en-US"/>
        </w:rPr>
        <w:t>to ticker unique csv</w:t>
      </w:r>
      <w:r w:rsidR="00372429">
        <w:rPr>
          <w:rFonts w:ascii="Times New Roman" w:hAnsi="Times New Roman"/>
          <w:sz w:val="22"/>
          <w:szCs w:val="24"/>
          <w:lang w:val="en-US"/>
        </w:rPr>
        <w:t>s</w:t>
      </w:r>
      <w:r w:rsidR="002F522A">
        <w:rPr>
          <w:rFonts w:ascii="Times New Roman" w:hAnsi="Times New Roman"/>
          <w:sz w:val="22"/>
          <w:szCs w:val="24"/>
          <w:lang w:val="en-US"/>
        </w:rPr>
        <w:t xml:space="preserve"> for each company</w:t>
      </w:r>
      <w:r w:rsidR="00C0504A">
        <w:rPr>
          <w:rFonts w:ascii="Times New Roman" w:hAnsi="Times New Roman"/>
          <w:sz w:val="22"/>
          <w:szCs w:val="24"/>
          <w:lang w:val="en-US"/>
        </w:rPr>
        <w:t xml:space="preserve"> present</w:t>
      </w:r>
      <w:r w:rsidR="002F522A">
        <w:rPr>
          <w:rFonts w:ascii="Times New Roman" w:hAnsi="Times New Roman"/>
          <w:sz w:val="22"/>
          <w:szCs w:val="24"/>
          <w:lang w:val="en-US"/>
        </w:rPr>
        <w:t>. Basically,</w:t>
      </w:r>
      <w:r w:rsidR="00F051FA">
        <w:rPr>
          <w:rFonts w:ascii="Times New Roman" w:hAnsi="Times New Roman"/>
          <w:sz w:val="22"/>
          <w:szCs w:val="24"/>
          <w:lang w:val="en-US"/>
        </w:rPr>
        <w:t xml:space="preserve"> </w:t>
      </w:r>
      <w:r w:rsidR="00372429">
        <w:rPr>
          <w:rFonts w:ascii="Times New Roman" w:hAnsi="Times New Roman"/>
          <w:sz w:val="22"/>
          <w:szCs w:val="24"/>
          <w:lang w:val="en-US"/>
        </w:rPr>
        <w:t xml:space="preserve">at the end of this procedure I am left with 2270 csv files, each containing all the option data for a given company. </w:t>
      </w:r>
    </w:p>
    <w:p w14:paraId="62793FB6" w14:textId="50862AA8" w:rsidR="00EC4370" w:rsidRDefault="00EC4370" w:rsidP="00D60FCA">
      <w:pPr>
        <w:spacing w:line="360" w:lineRule="auto"/>
        <w:rPr>
          <w:rFonts w:ascii="Times New Roman" w:hAnsi="Times New Roman"/>
          <w:sz w:val="22"/>
          <w:szCs w:val="24"/>
          <w:lang w:val="en-US"/>
        </w:rPr>
      </w:pPr>
      <w:r>
        <w:rPr>
          <w:rFonts w:ascii="Times New Roman" w:hAnsi="Times New Roman"/>
          <w:sz w:val="22"/>
          <w:szCs w:val="24"/>
          <w:lang w:val="en-US"/>
        </w:rPr>
        <w:tab/>
      </w:r>
      <w:r w:rsidR="00B53B22">
        <w:rPr>
          <w:rFonts w:ascii="Times New Roman" w:hAnsi="Times New Roman"/>
          <w:sz w:val="22"/>
          <w:szCs w:val="24"/>
          <w:lang w:val="en-US"/>
        </w:rPr>
        <w:t>Earnings announcement</w:t>
      </w:r>
      <w:r w:rsidR="00420BBD">
        <w:rPr>
          <w:rFonts w:ascii="Times New Roman" w:hAnsi="Times New Roman"/>
          <w:sz w:val="22"/>
          <w:szCs w:val="24"/>
          <w:lang w:val="en-US"/>
        </w:rPr>
        <w:t xml:space="preserve"> dates are downloaded from the I/B/E/S database on WRDS. The resulting file contains the announcement date and time for each quarterly earnings report </w:t>
      </w:r>
      <w:r w:rsidR="00D663E4">
        <w:rPr>
          <w:rFonts w:ascii="Times New Roman" w:hAnsi="Times New Roman"/>
          <w:sz w:val="22"/>
          <w:szCs w:val="24"/>
          <w:lang w:val="en-US"/>
        </w:rPr>
        <w:t xml:space="preserve">for each US </w:t>
      </w:r>
      <w:r w:rsidR="00C35407">
        <w:rPr>
          <w:rFonts w:ascii="Times New Roman" w:hAnsi="Times New Roman"/>
          <w:sz w:val="22"/>
          <w:szCs w:val="24"/>
          <w:lang w:val="en-US"/>
        </w:rPr>
        <w:t>publicly</w:t>
      </w:r>
      <w:r w:rsidR="00D663E4">
        <w:rPr>
          <w:rFonts w:ascii="Times New Roman" w:hAnsi="Times New Roman"/>
          <w:sz w:val="22"/>
          <w:szCs w:val="24"/>
          <w:lang w:val="en-US"/>
        </w:rPr>
        <w:t xml:space="preserve"> listed company</w:t>
      </w:r>
      <w:r w:rsidR="00F14998">
        <w:rPr>
          <w:rFonts w:ascii="Times New Roman" w:hAnsi="Times New Roman"/>
          <w:sz w:val="22"/>
          <w:szCs w:val="24"/>
          <w:lang w:val="en-US"/>
        </w:rPr>
        <w:t xml:space="preserve"> for the period 01.01.2014 – 31.12.2024. </w:t>
      </w:r>
    </w:p>
    <w:p w14:paraId="535E760F" w14:textId="2EF9F970" w:rsidR="001E6506" w:rsidRDefault="001E6506" w:rsidP="00D60FCA">
      <w:pPr>
        <w:spacing w:line="360" w:lineRule="auto"/>
        <w:rPr>
          <w:rFonts w:ascii="Times New Roman" w:hAnsi="Times New Roman"/>
          <w:sz w:val="22"/>
          <w:szCs w:val="24"/>
          <w:lang w:val="en-US"/>
        </w:rPr>
      </w:pPr>
      <w:r>
        <w:rPr>
          <w:rFonts w:ascii="Times New Roman" w:hAnsi="Times New Roman"/>
          <w:sz w:val="22"/>
          <w:szCs w:val="24"/>
          <w:lang w:val="en-US"/>
        </w:rPr>
        <w:tab/>
        <w:t>Afterwards, each option csv file (all 2270 of them)</w:t>
      </w:r>
      <w:r w:rsidR="00791FC3">
        <w:rPr>
          <w:rFonts w:ascii="Times New Roman" w:hAnsi="Times New Roman"/>
          <w:sz w:val="22"/>
          <w:szCs w:val="24"/>
          <w:lang w:val="en-US"/>
        </w:rPr>
        <w:t xml:space="preserve"> </w:t>
      </w:r>
      <w:r w:rsidR="00297489">
        <w:rPr>
          <w:rFonts w:ascii="Times New Roman" w:hAnsi="Times New Roman"/>
          <w:sz w:val="22"/>
          <w:szCs w:val="24"/>
          <w:lang w:val="en-US"/>
        </w:rPr>
        <w:t>undergoes</w:t>
      </w:r>
      <w:r w:rsidR="00791FC3">
        <w:rPr>
          <w:rFonts w:ascii="Times New Roman" w:hAnsi="Times New Roman"/>
          <w:sz w:val="22"/>
          <w:szCs w:val="24"/>
          <w:lang w:val="en-US"/>
        </w:rPr>
        <w:t xml:space="preserve"> further preprocessing. </w:t>
      </w:r>
      <w:r w:rsidR="00B52958">
        <w:rPr>
          <w:rFonts w:ascii="Times New Roman" w:hAnsi="Times New Roman"/>
          <w:sz w:val="22"/>
          <w:szCs w:val="24"/>
          <w:lang w:val="en-US"/>
        </w:rPr>
        <w:t xml:space="preserve">Firstly, </w:t>
      </w:r>
      <w:r w:rsidR="00926747">
        <w:rPr>
          <w:rFonts w:ascii="Times New Roman" w:hAnsi="Times New Roman"/>
          <w:sz w:val="22"/>
          <w:szCs w:val="24"/>
          <w:lang w:val="en-US"/>
        </w:rPr>
        <w:t>the strike price is divided by 1000 – this is necessary as strike prices in the IvyDB database are multiplied by 1000</w:t>
      </w:r>
      <w:r w:rsidR="004D5EE9">
        <w:rPr>
          <w:rFonts w:ascii="Times New Roman" w:hAnsi="Times New Roman"/>
          <w:sz w:val="22"/>
          <w:szCs w:val="24"/>
          <w:lang w:val="en-US"/>
        </w:rPr>
        <w:t xml:space="preserve"> of their actual value</w:t>
      </w:r>
      <w:r w:rsidR="00926747">
        <w:rPr>
          <w:rFonts w:ascii="Times New Roman" w:hAnsi="Times New Roman"/>
          <w:sz w:val="22"/>
          <w:szCs w:val="24"/>
          <w:lang w:val="en-US"/>
        </w:rPr>
        <w:t xml:space="preserve">. </w:t>
      </w:r>
      <w:r w:rsidR="004D5EE9">
        <w:rPr>
          <w:rFonts w:ascii="Times New Roman" w:hAnsi="Times New Roman"/>
          <w:sz w:val="22"/>
          <w:szCs w:val="24"/>
          <w:lang w:val="en-US"/>
        </w:rPr>
        <w:t>Secondly</w:t>
      </w:r>
      <w:r w:rsidR="00AB7396">
        <w:rPr>
          <w:rFonts w:ascii="Times New Roman" w:hAnsi="Times New Roman"/>
          <w:sz w:val="22"/>
          <w:szCs w:val="24"/>
          <w:lang w:val="en-US"/>
        </w:rPr>
        <w:t xml:space="preserve">, meta data columns regarding exercise style, index flag and issuer </w:t>
      </w:r>
      <w:r w:rsidR="00D35275">
        <w:rPr>
          <w:rFonts w:ascii="Times New Roman" w:hAnsi="Times New Roman"/>
          <w:sz w:val="22"/>
          <w:szCs w:val="24"/>
          <w:lang w:val="en-US"/>
        </w:rPr>
        <w:t>are</w:t>
      </w:r>
      <w:r w:rsidR="00AB7396">
        <w:rPr>
          <w:rFonts w:ascii="Times New Roman" w:hAnsi="Times New Roman"/>
          <w:sz w:val="22"/>
          <w:szCs w:val="24"/>
          <w:lang w:val="en-US"/>
        </w:rPr>
        <w:t xml:space="preserve"> dropped. Thirdly, </w:t>
      </w:r>
      <w:r w:rsidR="00410917">
        <w:rPr>
          <w:rFonts w:ascii="Times New Roman" w:hAnsi="Times New Roman"/>
          <w:sz w:val="22"/>
          <w:szCs w:val="24"/>
          <w:lang w:val="en-US"/>
        </w:rPr>
        <w:t xml:space="preserve">event </w:t>
      </w:r>
      <w:r w:rsidR="00D93F3D">
        <w:rPr>
          <w:rFonts w:ascii="Times New Roman" w:hAnsi="Times New Roman"/>
          <w:sz w:val="22"/>
          <w:szCs w:val="24"/>
          <w:lang w:val="en-US"/>
        </w:rPr>
        <w:t xml:space="preserve">windows are constructed </w:t>
      </w:r>
      <w:r w:rsidR="001761B1">
        <w:rPr>
          <w:rFonts w:ascii="Times New Roman" w:hAnsi="Times New Roman"/>
          <w:sz w:val="22"/>
          <w:szCs w:val="24"/>
          <w:lang w:val="en-US"/>
        </w:rPr>
        <w:t xml:space="preserve">around the earnings report dates, with the caveat that if an earnings announcement </w:t>
      </w:r>
      <w:r w:rsidR="0025222C">
        <w:rPr>
          <w:rFonts w:ascii="Times New Roman" w:hAnsi="Times New Roman"/>
          <w:sz w:val="22"/>
          <w:szCs w:val="24"/>
          <w:lang w:val="en-US"/>
        </w:rPr>
        <w:t>falls during regular trading hours (09:30 – 16:</w:t>
      </w:r>
      <w:r w:rsidR="007F0836">
        <w:rPr>
          <w:rFonts w:ascii="Times New Roman" w:hAnsi="Times New Roman"/>
          <w:sz w:val="22"/>
          <w:szCs w:val="24"/>
          <w:lang w:val="en-US"/>
        </w:rPr>
        <w:t>0</w:t>
      </w:r>
      <w:r w:rsidR="0025222C">
        <w:rPr>
          <w:rFonts w:ascii="Times New Roman" w:hAnsi="Times New Roman"/>
          <w:sz w:val="22"/>
          <w:szCs w:val="24"/>
          <w:lang w:val="en-US"/>
        </w:rPr>
        <w:t>0)</w:t>
      </w:r>
      <w:r w:rsidR="007F0836">
        <w:rPr>
          <w:rFonts w:ascii="Times New Roman" w:hAnsi="Times New Roman"/>
          <w:sz w:val="22"/>
          <w:szCs w:val="24"/>
          <w:lang w:val="en-US"/>
        </w:rPr>
        <w:t xml:space="preserve"> it is dropped from the dataset. </w:t>
      </w:r>
      <w:r w:rsidR="00231995">
        <w:rPr>
          <w:rFonts w:ascii="Times New Roman" w:hAnsi="Times New Roman"/>
          <w:sz w:val="22"/>
          <w:szCs w:val="24"/>
          <w:lang w:val="en-US"/>
        </w:rPr>
        <w:t>Since earnings announcements can be reported either Before Market Hours or After Market Hours</w:t>
      </w:r>
      <w:r w:rsidR="00694CE7">
        <w:rPr>
          <w:rFonts w:ascii="Times New Roman" w:hAnsi="Times New Roman"/>
          <w:sz w:val="22"/>
          <w:szCs w:val="24"/>
          <w:lang w:val="en-US"/>
        </w:rPr>
        <w:t xml:space="preserve">, the event window follows </w:t>
      </w:r>
      <w:r w:rsidR="00AE18BA">
        <w:rPr>
          <w:rFonts w:ascii="Times New Roman" w:hAnsi="Times New Roman"/>
          <w:sz w:val="22"/>
          <w:szCs w:val="24"/>
          <w:lang w:val="en-US"/>
        </w:rPr>
        <w:t xml:space="preserve">the logic that t = 0 is always </w:t>
      </w:r>
      <w:r w:rsidR="00861180">
        <w:rPr>
          <w:rFonts w:ascii="Times New Roman" w:hAnsi="Times New Roman"/>
          <w:sz w:val="22"/>
          <w:szCs w:val="24"/>
          <w:lang w:val="en-US"/>
        </w:rPr>
        <w:t xml:space="preserve">the last trading day before the event was announced. Explained simply, if Microsoft announces earnings tonight after market close, t = 0 </w:t>
      </w:r>
      <w:r w:rsidR="0008561E">
        <w:rPr>
          <w:rFonts w:ascii="Times New Roman" w:hAnsi="Times New Roman"/>
          <w:sz w:val="22"/>
          <w:szCs w:val="24"/>
          <w:lang w:val="en-US"/>
        </w:rPr>
        <w:t xml:space="preserve">is today, as positioned can be entered up until the close of the market today. However, if Microsoft releases earnings </w:t>
      </w:r>
      <w:r w:rsidR="006A2A50">
        <w:rPr>
          <w:rFonts w:ascii="Times New Roman" w:hAnsi="Times New Roman"/>
          <w:sz w:val="22"/>
          <w:szCs w:val="24"/>
          <w:lang w:val="en-US"/>
        </w:rPr>
        <w:t xml:space="preserve">tomorrow before market open, t = 0 is today as </w:t>
      </w:r>
      <w:r w:rsidR="009E4AFF">
        <w:rPr>
          <w:rFonts w:ascii="Times New Roman" w:hAnsi="Times New Roman"/>
          <w:sz w:val="22"/>
          <w:szCs w:val="24"/>
          <w:lang w:val="en-US"/>
        </w:rPr>
        <w:t xml:space="preserve">the last time that </w:t>
      </w:r>
      <w:r w:rsidR="006A2A50">
        <w:rPr>
          <w:rFonts w:ascii="Times New Roman" w:hAnsi="Times New Roman"/>
          <w:sz w:val="22"/>
          <w:szCs w:val="24"/>
          <w:lang w:val="en-US"/>
        </w:rPr>
        <w:t>positions regarding this earnings event</w:t>
      </w:r>
      <w:r w:rsidR="009E4AFF">
        <w:rPr>
          <w:rFonts w:ascii="Times New Roman" w:hAnsi="Times New Roman"/>
          <w:sz w:val="22"/>
          <w:szCs w:val="24"/>
          <w:lang w:val="en-US"/>
        </w:rPr>
        <w:t xml:space="preserve"> (Short ATM Straddles)</w:t>
      </w:r>
      <w:r w:rsidR="006A2A50">
        <w:rPr>
          <w:rFonts w:ascii="Times New Roman" w:hAnsi="Times New Roman"/>
          <w:sz w:val="22"/>
          <w:szCs w:val="24"/>
          <w:lang w:val="en-US"/>
        </w:rPr>
        <w:t xml:space="preserve"> can be</w:t>
      </w:r>
      <w:r w:rsidR="009E4AFF">
        <w:rPr>
          <w:rFonts w:ascii="Times New Roman" w:hAnsi="Times New Roman"/>
          <w:sz w:val="22"/>
          <w:szCs w:val="24"/>
          <w:lang w:val="en-US"/>
        </w:rPr>
        <w:t xml:space="preserve"> entered is the market close tonight. </w:t>
      </w:r>
      <w:r w:rsidR="00272579">
        <w:rPr>
          <w:rFonts w:ascii="Times New Roman" w:hAnsi="Times New Roman"/>
          <w:sz w:val="22"/>
          <w:szCs w:val="24"/>
          <w:lang w:val="en-US"/>
        </w:rPr>
        <w:t xml:space="preserve">Using this </w:t>
      </w:r>
      <w:r w:rsidR="00D521B5">
        <w:rPr>
          <w:rFonts w:ascii="Times New Roman" w:hAnsi="Times New Roman"/>
          <w:sz w:val="22"/>
          <w:szCs w:val="24"/>
          <w:lang w:val="en-US"/>
        </w:rPr>
        <w:t>logic,</w:t>
      </w:r>
      <w:r w:rsidR="00272579">
        <w:rPr>
          <w:rFonts w:ascii="Times New Roman" w:hAnsi="Times New Roman"/>
          <w:sz w:val="22"/>
          <w:szCs w:val="24"/>
          <w:lang w:val="en-US"/>
        </w:rPr>
        <w:t xml:space="preserve"> I construct an event window that counts in t the business days before or after the </w:t>
      </w:r>
      <w:r w:rsidR="00B42CB5">
        <w:rPr>
          <w:rFonts w:ascii="Times New Roman" w:hAnsi="Times New Roman"/>
          <w:sz w:val="22"/>
          <w:szCs w:val="24"/>
          <w:lang w:val="en-US"/>
        </w:rPr>
        <w:t>event. The event window on which this paper focuses is t [-15, 1], where t = 1</w:t>
      </w:r>
      <w:r w:rsidR="00014A68">
        <w:rPr>
          <w:rFonts w:ascii="Times New Roman" w:hAnsi="Times New Roman"/>
          <w:sz w:val="22"/>
          <w:szCs w:val="24"/>
          <w:lang w:val="en-US"/>
        </w:rPr>
        <w:t xml:space="preserve"> represents the close </w:t>
      </w:r>
      <w:r w:rsidR="00003373">
        <w:rPr>
          <w:rFonts w:ascii="Times New Roman" w:hAnsi="Times New Roman"/>
          <w:sz w:val="22"/>
          <w:szCs w:val="24"/>
          <w:lang w:val="en-US"/>
        </w:rPr>
        <w:t xml:space="preserve">of the first trading day after the announcement, observations for days outside the </w:t>
      </w:r>
      <w:r w:rsidR="008938CF">
        <w:rPr>
          <w:rFonts w:ascii="Times New Roman" w:hAnsi="Times New Roman"/>
          <w:sz w:val="22"/>
          <w:szCs w:val="24"/>
          <w:lang w:val="en-US"/>
        </w:rPr>
        <w:t>range</w:t>
      </w:r>
      <w:r w:rsidR="00003373">
        <w:rPr>
          <w:rFonts w:ascii="Times New Roman" w:hAnsi="Times New Roman"/>
          <w:sz w:val="22"/>
          <w:szCs w:val="24"/>
          <w:lang w:val="en-US"/>
        </w:rPr>
        <w:t xml:space="preserve"> are dropped. </w:t>
      </w:r>
      <w:r w:rsidR="00A071B2">
        <w:rPr>
          <w:rFonts w:ascii="Times New Roman" w:hAnsi="Times New Roman"/>
          <w:sz w:val="22"/>
          <w:szCs w:val="24"/>
          <w:lang w:val="en-US"/>
        </w:rPr>
        <w:t>For the days within the event window, all rows whose option expiration date are at or before t = 0 are also removed.</w:t>
      </w:r>
      <w:r w:rsidR="00F8441A">
        <w:rPr>
          <w:rFonts w:ascii="Times New Roman" w:hAnsi="Times New Roman"/>
          <w:sz w:val="22"/>
          <w:szCs w:val="24"/>
          <w:lang w:val="en-US"/>
        </w:rPr>
        <w:t xml:space="preserve"> Finally, if an event window </w:t>
      </w:r>
      <w:r w:rsidR="0030595B">
        <w:rPr>
          <w:rFonts w:ascii="Times New Roman" w:hAnsi="Times New Roman"/>
          <w:sz w:val="22"/>
          <w:szCs w:val="24"/>
          <w:lang w:val="en-US"/>
        </w:rPr>
        <w:t xml:space="preserve">has missing values for t = 0 or that there are more than 2 </w:t>
      </w:r>
      <w:r w:rsidR="00403825">
        <w:rPr>
          <w:rFonts w:ascii="Times New Roman" w:hAnsi="Times New Roman"/>
          <w:sz w:val="22"/>
          <w:szCs w:val="24"/>
          <w:lang w:val="en-US"/>
        </w:rPr>
        <w:t xml:space="preserve">days within t [-15, 1] which are </w:t>
      </w:r>
      <w:r w:rsidR="00427AE6">
        <w:rPr>
          <w:rFonts w:ascii="Times New Roman" w:hAnsi="Times New Roman"/>
          <w:sz w:val="22"/>
          <w:szCs w:val="24"/>
          <w:lang w:val="en-US"/>
        </w:rPr>
        <w:t>absent, the whole earnings event window is removed from the panel data.</w:t>
      </w:r>
    </w:p>
    <w:p w14:paraId="794FF3EC" w14:textId="3F88E61C" w:rsidR="00CA2642" w:rsidRDefault="00CA2642" w:rsidP="00D60FCA">
      <w:pPr>
        <w:spacing w:line="360" w:lineRule="auto"/>
        <w:rPr>
          <w:rFonts w:ascii="Times New Roman" w:hAnsi="Times New Roman"/>
          <w:sz w:val="22"/>
          <w:szCs w:val="24"/>
          <w:lang w:val="en-US"/>
        </w:rPr>
      </w:pPr>
      <w:r>
        <w:rPr>
          <w:rFonts w:ascii="Times New Roman" w:hAnsi="Times New Roman"/>
          <w:sz w:val="22"/>
          <w:szCs w:val="24"/>
          <w:lang w:val="en-US"/>
        </w:rPr>
        <w:tab/>
        <w:t xml:space="preserve">Furthermore, a couple of additional </w:t>
      </w:r>
      <w:r w:rsidR="00964BDF">
        <w:rPr>
          <w:rFonts w:ascii="Times New Roman" w:hAnsi="Times New Roman"/>
          <w:sz w:val="22"/>
          <w:szCs w:val="24"/>
          <w:lang w:val="en-US"/>
        </w:rPr>
        <w:t>columns are created for each option csv – Day-To-Expiration (DTE) computed as calendar days between the date and expiration date, After Market – a binary variable</w:t>
      </w:r>
      <w:r w:rsidR="00AB0BE3">
        <w:rPr>
          <w:rFonts w:ascii="Times New Roman" w:hAnsi="Times New Roman"/>
          <w:sz w:val="22"/>
          <w:szCs w:val="24"/>
          <w:lang w:val="en-US"/>
        </w:rPr>
        <w:t xml:space="preserve"> 1 if the nearest earnings announcement happens After Trading Hours and 0 otherwise, Day Of The Week – the day o</w:t>
      </w:r>
      <w:r w:rsidR="00643023">
        <w:rPr>
          <w:rFonts w:ascii="Times New Roman" w:hAnsi="Times New Roman"/>
          <w:sz w:val="22"/>
          <w:szCs w:val="24"/>
          <w:lang w:val="en-US"/>
        </w:rPr>
        <w:t>f the week which corresponds to t=0, encoded as 0 = Monday to 4 = Friday.</w:t>
      </w:r>
      <w:r w:rsidR="00AB0BE3">
        <w:rPr>
          <w:rFonts w:ascii="Times New Roman" w:hAnsi="Times New Roman"/>
          <w:sz w:val="22"/>
          <w:szCs w:val="24"/>
          <w:lang w:val="en-US"/>
        </w:rPr>
        <w:t xml:space="preserve"> </w:t>
      </w:r>
    </w:p>
    <w:p w14:paraId="4005D42F" w14:textId="1F30D2FB" w:rsidR="007708AA" w:rsidRDefault="007708AA" w:rsidP="00D60FCA">
      <w:pPr>
        <w:spacing w:line="360" w:lineRule="auto"/>
        <w:rPr>
          <w:rFonts w:ascii="Times New Roman" w:hAnsi="Times New Roman"/>
          <w:sz w:val="22"/>
          <w:szCs w:val="24"/>
          <w:lang w:val="en-US"/>
        </w:rPr>
      </w:pPr>
      <w:r>
        <w:rPr>
          <w:rFonts w:ascii="Times New Roman" w:hAnsi="Times New Roman"/>
          <w:sz w:val="22"/>
          <w:szCs w:val="24"/>
          <w:lang w:val="en-US"/>
        </w:rPr>
        <w:tab/>
      </w:r>
      <w:r w:rsidR="005905E0">
        <w:rPr>
          <w:rFonts w:ascii="Times New Roman" w:hAnsi="Times New Roman"/>
          <w:sz w:val="22"/>
          <w:szCs w:val="24"/>
          <w:lang w:val="en-US"/>
        </w:rPr>
        <w:t>Using th</w:t>
      </w:r>
      <w:r w:rsidR="00BE16D1">
        <w:rPr>
          <w:rFonts w:ascii="Times New Roman" w:hAnsi="Times New Roman"/>
          <w:sz w:val="22"/>
          <w:szCs w:val="24"/>
          <w:lang w:val="en-US"/>
        </w:rPr>
        <w:t xml:space="preserve">is preprocessing approach </w:t>
      </w:r>
      <w:r w:rsidR="00AB6CDB">
        <w:rPr>
          <w:rFonts w:ascii="Times New Roman" w:hAnsi="Times New Roman"/>
          <w:sz w:val="22"/>
          <w:szCs w:val="24"/>
          <w:lang w:val="en-US"/>
        </w:rPr>
        <w:t>the overall option data is</w:t>
      </w:r>
      <w:r w:rsidR="00E61FB3">
        <w:rPr>
          <w:rFonts w:ascii="Times New Roman" w:hAnsi="Times New Roman"/>
          <w:sz w:val="22"/>
          <w:szCs w:val="24"/>
          <w:lang w:val="en-US"/>
        </w:rPr>
        <w:t xml:space="preserve"> </w:t>
      </w:r>
      <w:r w:rsidR="00EE380A">
        <w:rPr>
          <w:rFonts w:ascii="Times New Roman" w:hAnsi="Times New Roman"/>
          <w:sz w:val="22"/>
          <w:szCs w:val="24"/>
          <w:lang w:val="en-US"/>
        </w:rPr>
        <w:t>drastically</w:t>
      </w:r>
      <w:r w:rsidR="00AB6CDB">
        <w:rPr>
          <w:rFonts w:ascii="Times New Roman" w:hAnsi="Times New Roman"/>
          <w:sz w:val="22"/>
          <w:szCs w:val="24"/>
          <w:lang w:val="en-US"/>
        </w:rPr>
        <w:t xml:space="preserve"> </w:t>
      </w:r>
      <w:r w:rsidR="007A661D">
        <w:rPr>
          <w:rFonts w:ascii="Times New Roman" w:hAnsi="Times New Roman"/>
          <w:sz w:val="22"/>
          <w:szCs w:val="24"/>
          <w:lang w:val="en-US"/>
        </w:rPr>
        <w:t>reduced in</w:t>
      </w:r>
      <w:r w:rsidR="00E61FB3">
        <w:rPr>
          <w:rFonts w:ascii="Times New Roman" w:hAnsi="Times New Roman"/>
          <w:sz w:val="22"/>
          <w:szCs w:val="24"/>
          <w:lang w:val="en-US"/>
        </w:rPr>
        <w:t xml:space="preserve"> size</w:t>
      </w:r>
      <w:r w:rsidR="00E62F3D">
        <w:rPr>
          <w:rFonts w:ascii="Times New Roman" w:hAnsi="Times New Roman"/>
          <w:sz w:val="22"/>
          <w:szCs w:val="24"/>
          <w:lang w:val="en-US"/>
        </w:rPr>
        <w:t xml:space="preserve"> to </w:t>
      </w:r>
      <w:r w:rsidR="00AB6CDB">
        <w:rPr>
          <w:rFonts w:ascii="Times New Roman" w:hAnsi="Times New Roman"/>
          <w:sz w:val="22"/>
          <w:szCs w:val="24"/>
          <w:lang w:val="en-US"/>
        </w:rPr>
        <w:t xml:space="preserve"> 13.7GB with the average </w:t>
      </w:r>
      <w:r w:rsidR="00E61FB3">
        <w:rPr>
          <w:rFonts w:ascii="Times New Roman" w:hAnsi="Times New Roman"/>
          <w:sz w:val="22"/>
          <w:szCs w:val="24"/>
          <w:lang w:val="en-US"/>
        </w:rPr>
        <w:t xml:space="preserve">of the 2270 </w:t>
      </w:r>
      <w:r w:rsidR="00AB6CDB">
        <w:rPr>
          <w:rFonts w:ascii="Times New Roman" w:hAnsi="Times New Roman"/>
          <w:sz w:val="22"/>
          <w:szCs w:val="24"/>
          <w:lang w:val="en-US"/>
        </w:rPr>
        <w:t>option-ticker csv file</w:t>
      </w:r>
      <w:r w:rsidR="00E61FB3">
        <w:rPr>
          <w:rFonts w:ascii="Times New Roman" w:hAnsi="Times New Roman"/>
          <w:sz w:val="22"/>
          <w:szCs w:val="24"/>
          <w:lang w:val="en-US"/>
        </w:rPr>
        <w:t>s</w:t>
      </w:r>
      <w:r w:rsidR="00AB6CDB">
        <w:rPr>
          <w:rFonts w:ascii="Times New Roman" w:hAnsi="Times New Roman"/>
          <w:sz w:val="22"/>
          <w:szCs w:val="24"/>
          <w:lang w:val="en-US"/>
        </w:rPr>
        <w:t xml:space="preserve"> cons</w:t>
      </w:r>
      <w:r w:rsidR="00A95EE9">
        <w:rPr>
          <w:rFonts w:ascii="Times New Roman" w:hAnsi="Times New Roman"/>
          <w:sz w:val="22"/>
          <w:szCs w:val="24"/>
          <w:lang w:val="en-US"/>
        </w:rPr>
        <w:t>isting</w:t>
      </w:r>
      <w:r w:rsidR="00AB6CDB">
        <w:rPr>
          <w:rFonts w:ascii="Times New Roman" w:hAnsi="Times New Roman"/>
          <w:sz w:val="22"/>
          <w:szCs w:val="24"/>
          <w:lang w:val="en-US"/>
        </w:rPr>
        <w:t xml:space="preserve"> of 73 628 rows</w:t>
      </w:r>
      <w:r w:rsidR="006B21A7">
        <w:rPr>
          <w:rFonts w:ascii="Times New Roman" w:hAnsi="Times New Roman"/>
          <w:sz w:val="22"/>
          <w:szCs w:val="24"/>
          <w:lang w:val="en-US"/>
        </w:rPr>
        <w:t xml:space="preserve">. </w:t>
      </w:r>
      <w:r w:rsidR="00DC51DF">
        <w:rPr>
          <w:rFonts w:ascii="Times New Roman" w:hAnsi="Times New Roman"/>
          <w:sz w:val="22"/>
          <w:szCs w:val="24"/>
          <w:lang w:val="en-US"/>
        </w:rPr>
        <w:t xml:space="preserve">Additionally, I also download </w:t>
      </w:r>
      <w:r w:rsidR="00BF2889">
        <w:rPr>
          <w:rFonts w:ascii="Times New Roman" w:hAnsi="Times New Roman"/>
          <w:sz w:val="22"/>
          <w:szCs w:val="24"/>
          <w:lang w:val="en-US"/>
        </w:rPr>
        <w:t xml:space="preserve">a daily VIX timeseries </w:t>
      </w:r>
      <w:r w:rsidR="00FC10D8">
        <w:rPr>
          <w:rFonts w:ascii="Times New Roman" w:hAnsi="Times New Roman"/>
          <w:sz w:val="22"/>
          <w:szCs w:val="24"/>
          <w:lang w:val="en-US"/>
        </w:rPr>
        <w:t>from the LSEG Datastream</w:t>
      </w:r>
      <w:r w:rsidR="00B60F7B">
        <w:rPr>
          <w:rFonts w:ascii="Times New Roman" w:hAnsi="Times New Roman"/>
          <w:sz w:val="22"/>
          <w:szCs w:val="24"/>
          <w:lang w:val="en-US"/>
        </w:rPr>
        <w:t xml:space="preserve"> on WRDS, a risk-free rate series </w:t>
      </w:r>
      <w:r w:rsidR="00B60F7B">
        <w:rPr>
          <w:rFonts w:ascii="Times New Roman" w:hAnsi="Times New Roman"/>
          <w:sz w:val="22"/>
          <w:szCs w:val="24"/>
          <w:lang w:val="en-US"/>
        </w:rPr>
        <w:lastRenderedPageBreak/>
        <w:t>from the CRSP Risk Free – 4 week (Nominal)</w:t>
      </w:r>
      <w:r w:rsidR="003B6F72">
        <w:rPr>
          <w:rFonts w:ascii="Times New Roman" w:hAnsi="Times New Roman"/>
          <w:sz w:val="22"/>
          <w:szCs w:val="24"/>
          <w:lang w:val="en-US"/>
        </w:rPr>
        <w:t xml:space="preserve"> and SP500 daily close times</w:t>
      </w:r>
      <w:r w:rsidR="00BE6458">
        <w:rPr>
          <w:rFonts w:ascii="Times New Roman" w:hAnsi="Times New Roman"/>
          <w:sz w:val="22"/>
          <w:szCs w:val="24"/>
          <w:lang w:val="en-US"/>
        </w:rPr>
        <w:t>eries</w:t>
      </w:r>
      <w:r w:rsidR="003B6F72">
        <w:rPr>
          <w:rFonts w:ascii="Times New Roman" w:hAnsi="Times New Roman"/>
          <w:sz w:val="22"/>
          <w:szCs w:val="24"/>
          <w:lang w:val="en-US"/>
        </w:rPr>
        <w:t xml:space="preserve"> from CRSP</w:t>
      </w:r>
      <w:r w:rsidR="00DA5756">
        <w:rPr>
          <w:rFonts w:ascii="Times New Roman" w:hAnsi="Times New Roman"/>
          <w:sz w:val="22"/>
          <w:szCs w:val="24"/>
          <w:lang w:val="en-US"/>
        </w:rPr>
        <w:t xml:space="preserve"> which are </w:t>
      </w:r>
      <w:r w:rsidR="00E55C5F">
        <w:rPr>
          <w:rFonts w:ascii="Times New Roman" w:hAnsi="Times New Roman"/>
          <w:sz w:val="22"/>
          <w:szCs w:val="24"/>
          <w:lang w:val="en-US"/>
        </w:rPr>
        <w:t>used for feature engineering.</w:t>
      </w:r>
    </w:p>
    <w:p w14:paraId="290F5E91" w14:textId="3800C452" w:rsidR="00F87247" w:rsidRDefault="00F87247" w:rsidP="00D60FCA">
      <w:pPr>
        <w:spacing w:line="360" w:lineRule="auto"/>
        <w:rPr>
          <w:rFonts w:ascii="Times New Roman" w:hAnsi="Times New Roman"/>
          <w:sz w:val="22"/>
          <w:szCs w:val="24"/>
          <w:lang w:val="en-US"/>
        </w:rPr>
      </w:pPr>
      <w:r>
        <w:rPr>
          <w:rFonts w:ascii="Times New Roman" w:hAnsi="Times New Roman"/>
          <w:sz w:val="22"/>
          <w:szCs w:val="24"/>
          <w:lang w:val="en-US"/>
        </w:rPr>
        <w:tab/>
      </w:r>
      <w:r w:rsidR="00E503A7">
        <w:rPr>
          <w:rFonts w:ascii="Times New Roman" w:hAnsi="Times New Roman"/>
          <w:sz w:val="22"/>
          <w:szCs w:val="24"/>
          <w:lang w:val="en-US"/>
        </w:rPr>
        <w:t>A total of 24 features (explanatory variables) are calculated for each earnings announcement event</w:t>
      </w:r>
      <w:r w:rsidR="00CF2D79">
        <w:rPr>
          <w:rFonts w:ascii="Times New Roman" w:hAnsi="Times New Roman"/>
          <w:sz w:val="22"/>
          <w:szCs w:val="24"/>
          <w:lang w:val="en-US"/>
        </w:rPr>
        <w:t>, since some of the features have a lookback of 8 earnings events</w:t>
      </w:r>
      <w:r w:rsidR="00443BB7">
        <w:rPr>
          <w:rFonts w:ascii="Times New Roman" w:hAnsi="Times New Roman"/>
          <w:sz w:val="22"/>
          <w:szCs w:val="24"/>
          <w:lang w:val="en-US"/>
        </w:rPr>
        <w:t>, feature calculations start with event</w:t>
      </w:r>
      <w:r w:rsidR="00F36FAF">
        <w:rPr>
          <w:rFonts w:ascii="Times New Roman" w:hAnsi="Times New Roman"/>
          <w:sz w:val="22"/>
          <w:szCs w:val="24"/>
          <w:lang w:val="en-US"/>
        </w:rPr>
        <w:t>s</w:t>
      </w:r>
      <w:r w:rsidR="00443BB7">
        <w:rPr>
          <w:rFonts w:ascii="Times New Roman" w:hAnsi="Times New Roman"/>
          <w:sz w:val="22"/>
          <w:szCs w:val="24"/>
          <w:lang w:val="en-US"/>
        </w:rPr>
        <w:t xml:space="preserve"> from 01.01.2016</w:t>
      </w:r>
      <w:r w:rsidR="00280A3C">
        <w:rPr>
          <w:rFonts w:ascii="Times New Roman" w:hAnsi="Times New Roman"/>
          <w:sz w:val="22"/>
          <w:szCs w:val="24"/>
          <w:lang w:val="en-US"/>
        </w:rPr>
        <w:t>:</w:t>
      </w:r>
    </w:p>
    <w:p w14:paraId="3B8D1A02" w14:textId="47DD365D" w:rsidR="00CC0C74" w:rsidRDefault="00CC0C74" w:rsidP="00D60FCA">
      <w:pPr>
        <w:spacing w:line="360" w:lineRule="auto"/>
        <w:rPr>
          <w:rFonts w:ascii="Times New Roman" w:hAnsi="Times New Roman"/>
          <w:sz w:val="22"/>
          <w:szCs w:val="24"/>
          <w:lang w:val="en-US"/>
        </w:rPr>
      </w:pPr>
    </w:p>
    <w:p w14:paraId="1455A28B" w14:textId="079D4924" w:rsidR="00280A3C" w:rsidRDefault="00CC0C74" w:rsidP="00CC0C74">
      <w:pPr>
        <w:pStyle w:val="ListParagraph"/>
        <w:numPr>
          <w:ilvl w:val="0"/>
          <w:numId w:val="2"/>
        </w:numPr>
        <w:spacing w:line="360" w:lineRule="auto"/>
        <w:rPr>
          <w:rFonts w:ascii="Times New Roman" w:hAnsi="Times New Roman"/>
          <w:b/>
          <w:bCs/>
          <w:sz w:val="22"/>
          <w:szCs w:val="24"/>
          <w:lang w:val="en-US"/>
        </w:rPr>
      </w:pPr>
      <w:r w:rsidRPr="003B3663">
        <w:rPr>
          <w:rFonts w:ascii="Times New Roman" w:hAnsi="Times New Roman"/>
          <w:b/>
          <w:bCs/>
          <w:sz w:val="22"/>
          <w:szCs w:val="24"/>
          <w:lang w:val="en-US"/>
        </w:rPr>
        <w:t>Hawkes Process</w:t>
      </w:r>
    </w:p>
    <w:p w14:paraId="43B7CF08" w14:textId="0C7B5EC9" w:rsidR="007E6EDA" w:rsidRDefault="007E6EDA" w:rsidP="007E6EDA">
      <w:pPr>
        <w:pStyle w:val="ListParagraph"/>
        <w:spacing w:line="360" w:lineRule="auto"/>
        <w:rPr>
          <w:rFonts w:ascii="Times New Roman" w:hAnsi="Times New Roman"/>
          <w:b/>
          <w:bCs/>
          <w:sz w:val="22"/>
          <w:szCs w:val="24"/>
          <w:lang w:val="en-US"/>
        </w:rPr>
      </w:pPr>
      <w:r>
        <w:rPr>
          <w:rFonts w:ascii="Times New Roman" w:hAnsi="Times New Roman"/>
          <w:noProof/>
          <w:sz w:val="22"/>
          <w:szCs w:val="24"/>
          <w:lang w:val="en-US"/>
        </w:rPr>
        <w:drawing>
          <wp:anchor distT="0" distB="0" distL="114300" distR="114300" simplePos="0" relativeHeight="251659264" behindDoc="1" locked="0" layoutInCell="1" allowOverlap="1" wp14:anchorId="0EB98B51" wp14:editId="4633BC5E">
            <wp:simplePos x="0" y="0"/>
            <wp:positionH relativeFrom="column">
              <wp:posOffset>442595</wp:posOffset>
            </wp:positionH>
            <wp:positionV relativeFrom="paragraph">
              <wp:posOffset>42545</wp:posOffset>
            </wp:positionV>
            <wp:extent cx="3436620" cy="481508"/>
            <wp:effectExtent l="0" t="0" r="0" b="0"/>
            <wp:wrapNone/>
            <wp:docPr id="56728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86041" name="Picture 567286041"/>
                    <pic:cNvPicPr/>
                  </pic:nvPicPr>
                  <pic:blipFill>
                    <a:blip r:embed="rId8"/>
                    <a:stretch>
                      <a:fillRect/>
                    </a:stretch>
                  </pic:blipFill>
                  <pic:spPr>
                    <a:xfrm>
                      <a:off x="0" y="0"/>
                      <a:ext cx="3436620" cy="481508"/>
                    </a:xfrm>
                    <a:prstGeom prst="rect">
                      <a:avLst/>
                    </a:prstGeom>
                  </pic:spPr>
                </pic:pic>
              </a:graphicData>
            </a:graphic>
            <wp14:sizeRelH relativeFrom="margin">
              <wp14:pctWidth>0</wp14:pctWidth>
            </wp14:sizeRelH>
            <wp14:sizeRelV relativeFrom="margin">
              <wp14:pctHeight>0</wp14:pctHeight>
            </wp14:sizeRelV>
          </wp:anchor>
        </w:drawing>
      </w:r>
    </w:p>
    <w:p w14:paraId="554FF2A3" w14:textId="1934A97F" w:rsidR="007E6EDA" w:rsidRDefault="007E6EDA" w:rsidP="007E6EDA">
      <w:pPr>
        <w:pStyle w:val="ListParagraph"/>
        <w:spacing w:line="360" w:lineRule="auto"/>
        <w:rPr>
          <w:rFonts w:ascii="Times New Roman" w:hAnsi="Times New Roman"/>
          <w:b/>
          <w:bCs/>
          <w:sz w:val="22"/>
          <w:szCs w:val="24"/>
          <w:lang w:val="en-US"/>
        </w:rPr>
      </w:pPr>
    </w:p>
    <w:p w14:paraId="0E79046F" w14:textId="77777777" w:rsidR="007E6EDA" w:rsidRPr="003B3663" w:rsidRDefault="007E6EDA" w:rsidP="007E6EDA">
      <w:pPr>
        <w:pStyle w:val="ListParagraph"/>
        <w:spacing w:line="360" w:lineRule="auto"/>
        <w:rPr>
          <w:rFonts w:ascii="Times New Roman" w:hAnsi="Times New Roman"/>
          <w:b/>
          <w:bCs/>
          <w:sz w:val="22"/>
          <w:szCs w:val="24"/>
          <w:lang w:val="en-US"/>
        </w:rPr>
      </w:pPr>
    </w:p>
    <w:p w14:paraId="20484E5E" w14:textId="4E9468D4" w:rsidR="00F87247" w:rsidRDefault="00CC0C74" w:rsidP="00F423CC">
      <w:pPr>
        <w:spacing w:line="360" w:lineRule="auto"/>
        <w:ind w:firstLine="360"/>
        <w:rPr>
          <w:rFonts w:ascii="Times New Roman" w:hAnsi="Times New Roman"/>
          <w:sz w:val="22"/>
          <w:szCs w:val="24"/>
          <w:lang w:val="en-US"/>
        </w:rPr>
      </w:pPr>
      <w:r>
        <w:rPr>
          <w:rFonts w:ascii="Times New Roman" w:hAnsi="Times New Roman"/>
          <w:sz w:val="22"/>
          <w:szCs w:val="24"/>
          <w:lang w:val="en-US"/>
        </w:rPr>
        <w:t>Following the findings of Bacry et al(2015), I use th</w:t>
      </w:r>
      <w:r w:rsidR="00B62079">
        <w:rPr>
          <w:rFonts w:ascii="Times New Roman" w:hAnsi="Times New Roman"/>
          <w:sz w:val="22"/>
          <w:szCs w:val="24"/>
          <w:lang w:val="en-US"/>
        </w:rPr>
        <w:t xml:space="preserve">e discretization of the Hawkes Process to </w:t>
      </w:r>
      <w:r w:rsidR="00C91AC6">
        <w:rPr>
          <w:rFonts w:ascii="Times New Roman" w:hAnsi="Times New Roman"/>
          <w:sz w:val="22"/>
          <w:szCs w:val="24"/>
          <w:lang w:val="en-US"/>
        </w:rPr>
        <w:t>capture</w:t>
      </w:r>
      <w:r w:rsidR="00B62079">
        <w:rPr>
          <w:rFonts w:ascii="Times New Roman" w:hAnsi="Times New Roman"/>
          <w:sz w:val="22"/>
          <w:szCs w:val="24"/>
          <w:lang w:val="en-US"/>
        </w:rPr>
        <w:t xml:space="preserve"> the self-exciting nature of volatility</w:t>
      </w:r>
      <w:r w:rsidR="00C91AC6">
        <w:rPr>
          <w:rFonts w:ascii="Times New Roman" w:hAnsi="Times New Roman"/>
          <w:sz w:val="22"/>
          <w:szCs w:val="24"/>
          <w:lang w:val="en-US"/>
        </w:rPr>
        <w:t xml:space="preserve"> and the phenomenon of volatility clustering, the main difference is that in the current paper I use daily data, while in the original paper the authors use tick data. </w:t>
      </w:r>
      <w:r w:rsidR="00607C25">
        <w:rPr>
          <w:rFonts w:ascii="Times New Roman" w:hAnsi="Times New Roman"/>
          <w:sz w:val="22"/>
          <w:szCs w:val="24"/>
          <w:lang w:val="en-US"/>
        </w:rPr>
        <w:t>I use 42 daily bars of lookback to calculate the Hawkes Process.</w:t>
      </w:r>
      <w:r w:rsidR="00C91AC6">
        <w:rPr>
          <w:rFonts w:ascii="Times New Roman" w:hAnsi="Times New Roman"/>
          <w:sz w:val="22"/>
          <w:szCs w:val="24"/>
          <w:lang w:val="en-US"/>
        </w:rPr>
        <w:t>The value of the Hawkes Process at t = 0, is saved as an explanatory variable.</w:t>
      </w:r>
    </w:p>
    <w:p w14:paraId="0D223BD0" w14:textId="77777777" w:rsidR="00FA7702" w:rsidRDefault="00FA7702" w:rsidP="00CC0C74">
      <w:pPr>
        <w:spacing w:line="360" w:lineRule="auto"/>
        <w:ind w:left="720"/>
        <w:rPr>
          <w:rFonts w:ascii="Times New Roman" w:hAnsi="Times New Roman"/>
          <w:sz w:val="22"/>
          <w:szCs w:val="24"/>
          <w:lang w:val="en-US"/>
        </w:rPr>
      </w:pPr>
    </w:p>
    <w:p w14:paraId="0E0FE251" w14:textId="1D191713" w:rsidR="00FA7702" w:rsidRPr="00FA7702" w:rsidRDefault="00FA7702" w:rsidP="00FA7702">
      <w:pPr>
        <w:pStyle w:val="ListParagraph"/>
        <w:numPr>
          <w:ilvl w:val="0"/>
          <w:numId w:val="2"/>
        </w:numPr>
        <w:spacing w:line="360" w:lineRule="auto"/>
        <w:rPr>
          <w:rFonts w:ascii="Times New Roman" w:hAnsi="Times New Roman"/>
          <w:sz w:val="22"/>
          <w:szCs w:val="24"/>
          <w:lang w:val="en-US"/>
        </w:rPr>
      </w:pPr>
      <w:r w:rsidRPr="003B3663">
        <w:rPr>
          <w:rFonts w:ascii="Times New Roman" w:hAnsi="Times New Roman"/>
          <w:b/>
          <w:bCs/>
          <w:sz w:val="22"/>
          <w:szCs w:val="24"/>
          <w:lang w:val="en-US"/>
        </w:rPr>
        <w:t>Reversibility Index</w:t>
      </w:r>
      <w:r w:rsidR="00577CBF" w:rsidRPr="003B3663">
        <w:rPr>
          <w:rFonts w:ascii="Times New Roman" w:hAnsi="Times New Roman"/>
          <w:b/>
          <w:bCs/>
          <w:sz w:val="22"/>
          <w:szCs w:val="24"/>
          <w:lang w:val="en-US"/>
        </w:rPr>
        <w:t xml:space="preserve"> </w:t>
      </w:r>
      <w:r w:rsidR="00CD5945" w:rsidRPr="003B3663">
        <w:rPr>
          <w:rFonts w:ascii="Times New Roman" w:hAnsi="Times New Roman"/>
          <w:b/>
          <w:bCs/>
          <w:sz w:val="22"/>
          <w:szCs w:val="24"/>
          <w:lang w:val="en-US"/>
        </w:rPr>
        <w:t>(R)</w:t>
      </w:r>
      <w:r w:rsidRPr="003B3663">
        <w:rPr>
          <w:rFonts w:ascii="Times New Roman" w:hAnsi="Times New Roman"/>
          <w:b/>
          <w:bCs/>
          <w:sz w:val="22"/>
          <w:szCs w:val="24"/>
          <w:lang w:val="en-US"/>
        </w:rPr>
        <w:t>:</w:t>
      </w:r>
      <w:r>
        <w:rPr>
          <w:rFonts w:ascii="Times New Roman" w:hAnsi="Times New Roman"/>
          <w:sz w:val="22"/>
          <w:szCs w:val="24"/>
          <w:lang w:val="en-US"/>
        </w:rPr>
        <w:t xml:space="preserve"> </w:t>
      </w:r>
      <w:r>
        <w:rPr>
          <w:rFonts w:ascii="Times New Roman" w:hAnsi="Times New Roman"/>
          <w:noProof/>
          <w:sz w:val="22"/>
          <w:szCs w:val="24"/>
          <w:lang w:val="en-US"/>
        </w:rPr>
        <w:drawing>
          <wp:inline distT="0" distB="0" distL="0" distR="0" wp14:anchorId="53B2463D" wp14:editId="6B933728">
            <wp:extent cx="4723809" cy="838095"/>
            <wp:effectExtent l="0" t="0" r="635" b="635"/>
            <wp:docPr id="456698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98259" name="Picture 456698259"/>
                    <pic:cNvPicPr/>
                  </pic:nvPicPr>
                  <pic:blipFill>
                    <a:blip r:embed="rId9"/>
                    <a:stretch>
                      <a:fillRect/>
                    </a:stretch>
                  </pic:blipFill>
                  <pic:spPr>
                    <a:xfrm>
                      <a:off x="0" y="0"/>
                      <a:ext cx="4723809" cy="838095"/>
                    </a:xfrm>
                    <a:prstGeom prst="rect">
                      <a:avLst/>
                    </a:prstGeom>
                  </pic:spPr>
                </pic:pic>
              </a:graphicData>
            </a:graphic>
          </wp:inline>
        </w:drawing>
      </w:r>
    </w:p>
    <w:p w14:paraId="778516C2" w14:textId="407319B0" w:rsidR="00C96CE7" w:rsidRDefault="006E21F5" w:rsidP="006D5A0C">
      <w:pPr>
        <w:spacing w:line="360" w:lineRule="auto"/>
        <w:ind w:firstLine="360"/>
        <w:rPr>
          <w:rFonts w:ascii="Times New Roman" w:hAnsi="Times New Roman"/>
          <w:sz w:val="22"/>
          <w:szCs w:val="24"/>
          <w:lang w:val="en-US"/>
        </w:rPr>
      </w:pPr>
      <w:r>
        <w:rPr>
          <w:rFonts w:ascii="Times New Roman" w:hAnsi="Times New Roman"/>
          <w:sz w:val="22"/>
          <w:szCs w:val="24"/>
          <w:lang w:val="en-US"/>
        </w:rPr>
        <w:t>I</w:t>
      </w:r>
      <w:r w:rsidR="00FA7702">
        <w:rPr>
          <w:rFonts w:ascii="Times New Roman" w:hAnsi="Times New Roman"/>
          <w:sz w:val="22"/>
          <w:szCs w:val="24"/>
          <w:lang w:val="en-US"/>
        </w:rPr>
        <w:t xml:space="preserve">n the paper I use d = 42 (lookback of 2 months) and l = 3 (dimension of the entropy embedding). </w:t>
      </w:r>
      <w:r w:rsidR="000034B7">
        <w:rPr>
          <w:rFonts w:ascii="Times New Roman" w:hAnsi="Times New Roman"/>
          <w:sz w:val="22"/>
          <w:szCs w:val="24"/>
          <w:lang w:val="en-US"/>
        </w:rPr>
        <w:t>This feature is inspired by the implementation of Zanin et al (2018)</w:t>
      </w:r>
      <w:r w:rsidR="00D76DB5">
        <w:rPr>
          <w:rFonts w:ascii="Times New Roman" w:hAnsi="Times New Roman"/>
          <w:sz w:val="22"/>
          <w:szCs w:val="24"/>
          <w:lang w:val="en-US"/>
        </w:rPr>
        <w:t xml:space="preserve">, who </w:t>
      </w:r>
      <w:r w:rsidR="00B97EFB">
        <w:rPr>
          <w:rFonts w:ascii="Times New Roman" w:hAnsi="Times New Roman"/>
          <w:sz w:val="22"/>
          <w:szCs w:val="24"/>
          <w:lang w:val="en-US"/>
        </w:rPr>
        <w:t xml:space="preserve">argue that time irreversibility is a signature of systems operating out of equilibrium, which basically implies that when the Reversibility Index </w:t>
      </w:r>
      <w:r w:rsidR="00D57D7E">
        <w:rPr>
          <w:rFonts w:ascii="Times New Roman" w:hAnsi="Times New Roman"/>
          <w:sz w:val="22"/>
          <w:szCs w:val="24"/>
          <w:lang w:val="en-US"/>
        </w:rPr>
        <w:t xml:space="preserve">is high movements are less likely to be random hence the market is efficient. Clearly, such an explanatory variable is of great importance to a </w:t>
      </w:r>
      <w:r w:rsidR="00033FDA">
        <w:rPr>
          <w:rFonts w:ascii="Times New Roman" w:hAnsi="Times New Roman"/>
          <w:sz w:val="22"/>
          <w:szCs w:val="24"/>
          <w:lang w:val="en-US"/>
        </w:rPr>
        <w:t>trading system</w:t>
      </w:r>
      <w:r w:rsidR="0058284B">
        <w:rPr>
          <w:rFonts w:ascii="Times New Roman" w:hAnsi="Times New Roman"/>
          <w:sz w:val="22"/>
          <w:szCs w:val="24"/>
          <w:lang w:val="en-US"/>
        </w:rPr>
        <w:t>, which “bets” on smaller than implied moves over earnings.</w:t>
      </w:r>
      <w:r w:rsidR="00676E30">
        <w:rPr>
          <w:rFonts w:ascii="Times New Roman" w:hAnsi="Times New Roman"/>
          <w:sz w:val="22"/>
          <w:szCs w:val="24"/>
          <w:lang w:val="en-US"/>
        </w:rPr>
        <w:t xml:space="preserve"> The value of the Reversibility Index at t =0 is saved.</w:t>
      </w:r>
    </w:p>
    <w:p w14:paraId="070A0A94" w14:textId="77777777" w:rsidR="006D5A0C" w:rsidRDefault="006D5A0C" w:rsidP="006D5A0C">
      <w:pPr>
        <w:spacing w:line="360" w:lineRule="auto"/>
        <w:ind w:firstLine="360"/>
        <w:rPr>
          <w:rFonts w:ascii="Times New Roman" w:hAnsi="Times New Roman"/>
          <w:sz w:val="22"/>
          <w:szCs w:val="24"/>
          <w:lang w:val="en-US"/>
        </w:rPr>
      </w:pPr>
    </w:p>
    <w:p w14:paraId="15069607" w14:textId="77777777" w:rsidR="00DC05DA" w:rsidRDefault="00DC05DA" w:rsidP="00CC0C74">
      <w:pPr>
        <w:spacing w:line="360" w:lineRule="auto"/>
        <w:ind w:left="720"/>
        <w:rPr>
          <w:rFonts w:ascii="Times New Roman" w:hAnsi="Times New Roman"/>
          <w:sz w:val="22"/>
          <w:szCs w:val="24"/>
          <w:lang w:val="en-US"/>
        </w:rPr>
      </w:pPr>
    </w:p>
    <w:p w14:paraId="736F0624" w14:textId="7F67FFA3" w:rsidR="006377C3" w:rsidRPr="00BE6A32" w:rsidRDefault="006377C3" w:rsidP="006377C3">
      <w:pPr>
        <w:pStyle w:val="ListParagraph"/>
        <w:numPr>
          <w:ilvl w:val="0"/>
          <w:numId w:val="2"/>
        </w:numPr>
        <w:spacing w:line="360" w:lineRule="auto"/>
        <w:rPr>
          <w:rFonts w:ascii="Times New Roman" w:hAnsi="Times New Roman"/>
          <w:b/>
          <w:bCs/>
          <w:sz w:val="22"/>
          <w:szCs w:val="24"/>
          <w:lang w:val="en-US"/>
        </w:rPr>
      </w:pPr>
      <w:r w:rsidRPr="00BE6A32">
        <w:rPr>
          <w:rFonts w:ascii="Times New Roman" w:hAnsi="Times New Roman"/>
          <w:b/>
          <w:bCs/>
          <w:sz w:val="22"/>
          <w:szCs w:val="24"/>
          <w:lang w:val="en-US"/>
        </w:rPr>
        <w:t>Relative Strength Index (RSI)</w:t>
      </w:r>
    </w:p>
    <w:p w14:paraId="15D675BE" w14:textId="252FBB39" w:rsidR="006377C3" w:rsidRPr="006377C3" w:rsidRDefault="00DC05DA" w:rsidP="006377C3">
      <w:pPr>
        <w:pStyle w:val="ListParagraph"/>
        <w:spacing w:line="360" w:lineRule="auto"/>
        <w:rPr>
          <w:rFonts w:ascii="Times New Roman" w:hAnsi="Times New Roman"/>
          <w:sz w:val="22"/>
          <w:szCs w:val="24"/>
          <w:lang w:val="en-US"/>
        </w:rPr>
      </w:pPr>
      <w:r>
        <w:rPr>
          <w:rFonts w:ascii="Times New Roman" w:hAnsi="Times New Roman"/>
          <w:noProof/>
          <w:sz w:val="22"/>
          <w:szCs w:val="24"/>
          <w:lang w:val="en-US"/>
        </w:rPr>
        <w:lastRenderedPageBreak/>
        <w:drawing>
          <wp:inline distT="0" distB="0" distL="0" distR="0" wp14:anchorId="332E3FD7" wp14:editId="7FFFB88C">
            <wp:extent cx="4009524" cy="2238095"/>
            <wp:effectExtent l="0" t="0" r="0" b="0"/>
            <wp:docPr id="4202957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95730" name="Picture 420295730"/>
                    <pic:cNvPicPr/>
                  </pic:nvPicPr>
                  <pic:blipFill>
                    <a:blip r:embed="rId10"/>
                    <a:stretch>
                      <a:fillRect/>
                    </a:stretch>
                  </pic:blipFill>
                  <pic:spPr>
                    <a:xfrm>
                      <a:off x="0" y="0"/>
                      <a:ext cx="4009524" cy="2238095"/>
                    </a:xfrm>
                    <a:prstGeom prst="rect">
                      <a:avLst/>
                    </a:prstGeom>
                  </pic:spPr>
                </pic:pic>
              </a:graphicData>
            </a:graphic>
          </wp:inline>
        </w:drawing>
      </w:r>
    </w:p>
    <w:p w14:paraId="21D3D345" w14:textId="565CB24A" w:rsidR="00DC5ADD" w:rsidRDefault="00DC5ADD" w:rsidP="00D60FCA">
      <w:pPr>
        <w:spacing w:line="360" w:lineRule="auto"/>
        <w:rPr>
          <w:rFonts w:ascii="Times New Roman" w:hAnsi="Times New Roman"/>
          <w:sz w:val="22"/>
          <w:szCs w:val="24"/>
          <w:lang w:val="en-US"/>
        </w:rPr>
      </w:pPr>
      <w:r>
        <w:rPr>
          <w:rFonts w:ascii="Times New Roman" w:hAnsi="Times New Roman"/>
          <w:sz w:val="22"/>
          <w:szCs w:val="24"/>
          <w:lang w:val="en-US"/>
        </w:rPr>
        <w:tab/>
      </w:r>
    </w:p>
    <w:p w14:paraId="2801EB05" w14:textId="176E8ADF" w:rsidR="005F7844" w:rsidRDefault="005F7844" w:rsidP="00D60FCA">
      <w:pPr>
        <w:spacing w:line="360" w:lineRule="auto"/>
        <w:rPr>
          <w:rFonts w:ascii="Times New Roman" w:hAnsi="Times New Roman"/>
          <w:sz w:val="22"/>
          <w:szCs w:val="24"/>
          <w:lang w:val="en-US"/>
        </w:rPr>
      </w:pPr>
      <w:r>
        <w:rPr>
          <w:rFonts w:ascii="Times New Roman" w:hAnsi="Times New Roman"/>
          <w:sz w:val="22"/>
          <w:szCs w:val="24"/>
          <w:lang w:val="en-US"/>
        </w:rPr>
        <w:tab/>
      </w:r>
      <w:r w:rsidR="00DC05DA">
        <w:rPr>
          <w:rFonts w:ascii="Times New Roman" w:hAnsi="Times New Roman"/>
          <w:sz w:val="22"/>
          <w:szCs w:val="24"/>
          <w:lang w:val="en-US"/>
        </w:rPr>
        <w:t>The RSI is an implementation of the concepts introduced by Wilder (1978)</w:t>
      </w:r>
      <w:r w:rsidR="007F725B">
        <w:rPr>
          <w:rFonts w:ascii="Times New Roman" w:hAnsi="Times New Roman"/>
          <w:sz w:val="22"/>
          <w:szCs w:val="24"/>
          <w:lang w:val="en-US"/>
        </w:rPr>
        <w:t xml:space="preserve">. The idea is that the RSI </w:t>
      </w:r>
      <w:r w:rsidR="00364F9B">
        <w:rPr>
          <w:rFonts w:ascii="Times New Roman" w:hAnsi="Times New Roman"/>
          <w:sz w:val="22"/>
          <w:szCs w:val="24"/>
          <w:lang w:val="en-US"/>
        </w:rPr>
        <w:t>maps momentum to a normalized [0, 100] range</w:t>
      </w:r>
      <w:r w:rsidR="00BB6F9D">
        <w:rPr>
          <w:rFonts w:ascii="Times New Roman" w:hAnsi="Times New Roman"/>
          <w:sz w:val="22"/>
          <w:szCs w:val="24"/>
          <w:lang w:val="en-US"/>
        </w:rPr>
        <w:t xml:space="preserve">, creating a velocity metric which is independent of the absolute price level of the stock. </w:t>
      </w:r>
      <w:r w:rsidR="005F5AF1">
        <w:rPr>
          <w:rFonts w:ascii="Times New Roman" w:hAnsi="Times New Roman"/>
          <w:sz w:val="22"/>
          <w:szCs w:val="24"/>
          <w:lang w:val="en-US"/>
        </w:rPr>
        <w:t>The RSI is calculated using a lookback of 14 daily candles, which is what Wilder (1978) uses and the value at t = 0 is used as an explanatory variable in the model.</w:t>
      </w:r>
    </w:p>
    <w:p w14:paraId="138C7C89" w14:textId="77777777" w:rsidR="001A278A" w:rsidRDefault="001A278A" w:rsidP="00D60FCA">
      <w:pPr>
        <w:spacing w:line="360" w:lineRule="auto"/>
        <w:rPr>
          <w:rFonts w:ascii="Times New Roman" w:hAnsi="Times New Roman"/>
          <w:sz w:val="22"/>
          <w:szCs w:val="24"/>
          <w:lang w:val="en-US"/>
        </w:rPr>
      </w:pPr>
    </w:p>
    <w:p w14:paraId="7A7085CC" w14:textId="67C5FC29" w:rsidR="001A278A" w:rsidRDefault="001A278A" w:rsidP="001A278A">
      <w:pPr>
        <w:pStyle w:val="ListParagraph"/>
        <w:numPr>
          <w:ilvl w:val="0"/>
          <w:numId w:val="2"/>
        </w:numPr>
        <w:spacing w:line="360" w:lineRule="auto"/>
        <w:rPr>
          <w:rFonts w:ascii="Times New Roman" w:hAnsi="Times New Roman"/>
          <w:b/>
          <w:bCs/>
          <w:sz w:val="22"/>
          <w:szCs w:val="24"/>
          <w:lang w:val="en-US"/>
        </w:rPr>
      </w:pPr>
      <w:r w:rsidRPr="001A278A">
        <w:rPr>
          <w:rFonts w:ascii="Times New Roman" w:hAnsi="Times New Roman"/>
          <w:b/>
          <w:bCs/>
          <w:sz w:val="22"/>
          <w:szCs w:val="24"/>
          <w:lang w:val="en-US"/>
        </w:rPr>
        <w:t>Volatility Ratio</w:t>
      </w:r>
    </w:p>
    <w:p w14:paraId="4A31F87A" w14:textId="13E42B7B" w:rsidR="006F42D2" w:rsidRPr="006F42D2" w:rsidRDefault="006F42D2" w:rsidP="006F42D2">
      <w:pPr>
        <w:spacing w:line="360" w:lineRule="auto"/>
        <w:ind w:left="360"/>
        <w:rPr>
          <w:rFonts w:ascii="Times New Roman" w:hAnsi="Times New Roman"/>
          <w:b/>
          <w:bCs/>
          <w:sz w:val="22"/>
          <w:szCs w:val="24"/>
          <w:lang w:val="en-US"/>
        </w:rPr>
      </w:pPr>
      <w:r>
        <w:rPr>
          <w:rFonts w:ascii="Times New Roman" w:hAnsi="Times New Roman"/>
          <w:b/>
          <w:bCs/>
          <w:noProof/>
          <w:sz w:val="22"/>
          <w:szCs w:val="24"/>
          <w:lang w:val="en-US"/>
        </w:rPr>
        <w:drawing>
          <wp:inline distT="0" distB="0" distL="0" distR="0" wp14:anchorId="3364C13C" wp14:editId="3224599B">
            <wp:extent cx="5561905" cy="1247619"/>
            <wp:effectExtent l="0" t="0" r="1270" b="0"/>
            <wp:docPr id="16601501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50124" name="Picture 1660150124"/>
                    <pic:cNvPicPr/>
                  </pic:nvPicPr>
                  <pic:blipFill>
                    <a:blip r:embed="rId11"/>
                    <a:stretch>
                      <a:fillRect/>
                    </a:stretch>
                  </pic:blipFill>
                  <pic:spPr>
                    <a:xfrm>
                      <a:off x="0" y="0"/>
                      <a:ext cx="5561905" cy="1247619"/>
                    </a:xfrm>
                    <a:prstGeom prst="rect">
                      <a:avLst/>
                    </a:prstGeom>
                  </pic:spPr>
                </pic:pic>
              </a:graphicData>
            </a:graphic>
          </wp:inline>
        </w:drawing>
      </w:r>
    </w:p>
    <w:p w14:paraId="5DCD3500" w14:textId="77777777" w:rsidR="002D10A2" w:rsidRPr="00974DE5" w:rsidRDefault="002D10A2" w:rsidP="00AE51AF">
      <w:pPr>
        <w:spacing w:line="360" w:lineRule="auto"/>
        <w:rPr>
          <w:rFonts w:ascii="Times New Roman" w:hAnsi="Times New Roman"/>
          <w:sz w:val="22"/>
          <w:szCs w:val="24"/>
          <w:lang w:val="en-US"/>
        </w:rPr>
      </w:pPr>
    </w:p>
    <w:p w14:paraId="70122914" w14:textId="2E4BA21E" w:rsidR="002D10A2" w:rsidRDefault="006F42D2" w:rsidP="00AE51AF">
      <w:pPr>
        <w:spacing w:line="360" w:lineRule="auto"/>
        <w:rPr>
          <w:rFonts w:ascii="Times New Roman" w:hAnsi="Times New Roman"/>
          <w:sz w:val="22"/>
          <w:szCs w:val="24"/>
          <w:lang w:val="en-US"/>
        </w:rPr>
      </w:pPr>
      <w:r>
        <w:rPr>
          <w:rFonts w:ascii="Times New Roman" w:hAnsi="Times New Roman"/>
          <w:sz w:val="22"/>
          <w:szCs w:val="24"/>
          <w:lang w:val="en-US"/>
        </w:rPr>
        <w:tab/>
        <w:t xml:space="preserve">The Volatility Ratio represents the ratio between the standard deviation of </w:t>
      </w:r>
      <w:r w:rsidR="00210432">
        <w:rPr>
          <w:rFonts w:ascii="Times New Roman" w:hAnsi="Times New Roman"/>
          <w:sz w:val="22"/>
          <w:szCs w:val="24"/>
          <w:lang w:val="en-US"/>
        </w:rPr>
        <w:t xml:space="preserve">positive returns in the sample divided by the standard deviation of negative returns in the sample. This feature is inspired by Baekaert &amp; Wu (2000), who document that downside volatility </w:t>
      </w:r>
      <w:r w:rsidR="00052ED5">
        <w:rPr>
          <w:rFonts w:ascii="Times New Roman" w:hAnsi="Times New Roman"/>
          <w:sz w:val="22"/>
          <w:szCs w:val="24"/>
          <w:lang w:val="en-US"/>
        </w:rPr>
        <w:t xml:space="preserve">reacts more sharply to negative returns than upside volatility to positive ones, implying that there I asymmetry in how the market incorporates </w:t>
      </w:r>
      <w:r w:rsidR="004E19F7">
        <w:rPr>
          <w:rFonts w:ascii="Times New Roman" w:hAnsi="Times New Roman"/>
          <w:sz w:val="22"/>
          <w:szCs w:val="24"/>
          <w:lang w:val="en-US"/>
        </w:rPr>
        <w:t>opposi</w:t>
      </w:r>
      <w:r w:rsidR="007D348E">
        <w:rPr>
          <w:rFonts w:ascii="Times New Roman" w:hAnsi="Times New Roman"/>
          <w:sz w:val="22"/>
          <w:szCs w:val="24"/>
          <w:lang w:val="en-US"/>
        </w:rPr>
        <w:t>ng</w:t>
      </w:r>
      <w:r w:rsidR="004E19F7">
        <w:rPr>
          <w:rFonts w:ascii="Times New Roman" w:hAnsi="Times New Roman"/>
          <w:sz w:val="22"/>
          <w:szCs w:val="24"/>
          <w:lang w:val="en-US"/>
        </w:rPr>
        <w:t xml:space="preserve"> shocks. Hence, such a measure is of interest to this paper, as it might contain information </w:t>
      </w:r>
      <w:r w:rsidR="009B49A1">
        <w:rPr>
          <w:rFonts w:ascii="Times New Roman" w:hAnsi="Times New Roman"/>
          <w:sz w:val="22"/>
          <w:szCs w:val="24"/>
          <w:lang w:val="en-US"/>
        </w:rPr>
        <w:t xml:space="preserve">about the state of the market, which might influence the profitability of selling earnings. </w:t>
      </w:r>
      <w:r w:rsidR="00D53235">
        <w:rPr>
          <w:rFonts w:ascii="Times New Roman" w:hAnsi="Times New Roman"/>
          <w:sz w:val="22"/>
          <w:szCs w:val="24"/>
          <w:lang w:val="en-US"/>
        </w:rPr>
        <w:t xml:space="preserve">The Ratio is calculated with a lookback of 42 trading days and its value at t = 0 is used as an </w:t>
      </w:r>
      <w:r w:rsidR="00E05906">
        <w:rPr>
          <w:rFonts w:ascii="Times New Roman" w:hAnsi="Times New Roman"/>
          <w:sz w:val="22"/>
          <w:szCs w:val="24"/>
          <w:lang w:val="en-US"/>
        </w:rPr>
        <w:t>explanatory</w:t>
      </w:r>
      <w:r w:rsidR="00D53235">
        <w:rPr>
          <w:rFonts w:ascii="Times New Roman" w:hAnsi="Times New Roman"/>
          <w:sz w:val="22"/>
          <w:szCs w:val="24"/>
          <w:lang w:val="en-US"/>
        </w:rPr>
        <w:t xml:space="preserve"> variable.</w:t>
      </w:r>
    </w:p>
    <w:p w14:paraId="02F9EF2A" w14:textId="77777777" w:rsidR="0016734C" w:rsidRDefault="0016734C" w:rsidP="00AE51AF">
      <w:pPr>
        <w:spacing w:line="360" w:lineRule="auto"/>
        <w:rPr>
          <w:rFonts w:ascii="Times New Roman" w:hAnsi="Times New Roman"/>
          <w:sz w:val="22"/>
          <w:szCs w:val="24"/>
          <w:lang w:val="en-US"/>
        </w:rPr>
      </w:pPr>
    </w:p>
    <w:p w14:paraId="715E74DB" w14:textId="71F6EBFF" w:rsidR="0016734C" w:rsidRDefault="0016734C" w:rsidP="0016734C">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t>Idiosyncratic Volatility</w:t>
      </w:r>
    </w:p>
    <w:p w14:paraId="307CF520" w14:textId="1AFE5DD2" w:rsidR="0016734C" w:rsidRPr="0016734C" w:rsidRDefault="00E25668" w:rsidP="00E25668">
      <w:pPr>
        <w:pStyle w:val="ListParagraph"/>
        <w:spacing w:line="360" w:lineRule="auto"/>
        <w:rPr>
          <w:rFonts w:ascii="Times New Roman" w:hAnsi="Times New Roman"/>
          <w:b/>
          <w:bCs/>
          <w:sz w:val="22"/>
          <w:szCs w:val="24"/>
          <w:lang w:val="en-US"/>
        </w:rPr>
      </w:pPr>
      <w:r>
        <w:rPr>
          <w:rFonts w:ascii="Times New Roman" w:hAnsi="Times New Roman"/>
          <w:b/>
          <w:bCs/>
          <w:noProof/>
          <w:sz w:val="22"/>
          <w:szCs w:val="24"/>
          <w:lang w:val="en-US"/>
        </w:rPr>
        <w:lastRenderedPageBreak/>
        <w:drawing>
          <wp:inline distT="0" distB="0" distL="0" distR="0" wp14:anchorId="2B6209D2" wp14:editId="019FBBDE">
            <wp:extent cx="5006340" cy="1548724"/>
            <wp:effectExtent l="0" t="0" r="3810" b="0"/>
            <wp:docPr id="4879002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00272" name="Picture 487900272"/>
                    <pic:cNvPicPr/>
                  </pic:nvPicPr>
                  <pic:blipFill>
                    <a:blip r:embed="rId12"/>
                    <a:stretch>
                      <a:fillRect/>
                    </a:stretch>
                  </pic:blipFill>
                  <pic:spPr>
                    <a:xfrm>
                      <a:off x="0" y="0"/>
                      <a:ext cx="5020772" cy="1553189"/>
                    </a:xfrm>
                    <a:prstGeom prst="rect">
                      <a:avLst/>
                    </a:prstGeom>
                  </pic:spPr>
                </pic:pic>
              </a:graphicData>
            </a:graphic>
          </wp:inline>
        </w:drawing>
      </w:r>
    </w:p>
    <w:p w14:paraId="6AC406BD" w14:textId="178CEB63" w:rsidR="006F42D2" w:rsidRDefault="00E25668" w:rsidP="00AE51AF">
      <w:pPr>
        <w:spacing w:line="360" w:lineRule="auto"/>
        <w:rPr>
          <w:rFonts w:ascii="Times New Roman" w:hAnsi="Times New Roman"/>
          <w:sz w:val="22"/>
          <w:szCs w:val="24"/>
          <w:lang w:val="en-US"/>
        </w:rPr>
      </w:pPr>
      <w:r>
        <w:rPr>
          <w:rFonts w:ascii="Times New Roman" w:hAnsi="Times New Roman"/>
          <w:sz w:val="22"/>
          <w:szCs w:val="24"/>
          <w:lang w:val="en-US"/>
        </w:rPr>
        <w:tab/>
        <w:t xml:space="preserve">This is the Idiosyncratic volatility calculated </w:t>
      </w:r>
      <w:r w:rsidR="004F6695">
        <w:rPr>
          <w:rFonts w:ascii="Times New Roman" w:hAnsi="Times New Roman"/>
          <w:sz w:val="22"/>
          <w:szCs w:val="24"/>
          <w:lang w:val="en-US"/>
        </w:rPr>
        <w:t>based on the realized variance of the stock returns, the market (SP500) and their CAPM beta over the last 42 trading days. The value of the idiosyncratic volatility at t = 0</w:t>
      </w:r>
      <w:r w:rsidR="00763037">
        <w:rPr>
          <w:rFonts w:ascii="Times New Roman" w:hAnsi="Times New Roman"/>
          <w:sz w:val="22"/>
          <w:szCs w:val="24"/>
          <w:lang w:val="en-US"/>
        </w:rPr>
        <w:t xml:space="preserve"> is used as an explanatory variable.</w:t>
      </w:r>
    </w:p>
    <w:p w14:paraId="2F8F99D8" w14:textId="77777777" w:rsidR="006247FE" w:rsidRDefault="006247FE" w:rsidP="00AE51AF">
      <w:pPr>
        <w:spacing w:line="360" w:lineRule="auto"/>
        <w:rPr>
          <w:rFonts w:ascii="Times New Roman" w:hAnsi="Times New Roman"/>
          <w:sz w:val="22"/>
          <w:szCs w:val="24"/>
          <w:lang w:val="en-US"/>
        </w:rPr>
      </w:pPr>
    </w:p>
    <w:p w14:paraId="31F4D39B" w14:textId="70F6F007" w:rsidR="006247FE" w:rsidRDefault="006247FE" w:rsidP="006247FE">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t>Abnormal Volume Calls</w:t>
      </w:r>
    </w:p>
    <w:p w14:paraId="1207EC36" w14:textId="1EC4036B" w:rsidR="006247FE" w:rsidRPr="00874DA2" w:rsidRDefault="006247FE" w:rsidP="00874DA2">
      <w:pPr>
        <w:spacing w:line="360" w:lineRule="auto"/>
        <w:ind w:left="360"/>
        <w:rPr>
          <w:rFonts w:ascii="Times New Roman" w:hAnsi="Times New Roman"/>
          <w:b/>
          <w:bCs/>
          <w:sz w:val="22"/>
          <w:szCs w:val="24"/>
          <w:lang w:val="en-US"/>
        </w:rPr>
      </w:pPr>
      <w:r>
        <w:rPr>
          <w:noProof/>
          <w:lang w:val="en-US"/>
        </w:rPr>
        <w:drawing>
          <wp:inline distT="0" distB="0" distL="0" distR="0" wp14:anchorId="60C3D585" wp14:editId="751DFA37">
            <wp:extent cx="3257143" cy="504762"/>
            <wp:effectExtent l="0" t="0" r="635" b="0"/>
            <wp:docPr id="13322399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39909" name="Picture 1332239909"/>
                    <pic:cNvPicPr/>
                  </pic:nvPicPr>
                  <pic:blipFill>
                    <a:blip r:embed="rId13"/>
                    <a:stretch>
                      <a:fillRect/>
                    </a:stretch>
                  </pic:blipFill>
                  <pic:spPr>
                    <a:xfrm>
                      <a:off x="0" y="0"/>
                      <a:ext cx="3257143" cy="504762"/>
                    </a:xfrm>
                    <a:prstGeom prst="rect">
                      <a:avLst/>
                    </a:prstGeom>
                  </pic:spPr>
                </pic:pic>
              </a:graphicData>
            </a:graphic>
          </wp:inline>
        </w:drawing>
      </w:r>
    </w:p>
    <w:p w14:paraId="1CABA9E6" w14:textId="77777777" w:rsidR="006F42D2" w:rsidRPr="00974DE5" w:rsidRDefault="006F42D2" w:rsidP="00AE51AF">
      <w:pPr>
        <w:spacing w:line="360" w:lineRule="auto"/>
        <w:rPr>
          <w:rFonts w:ascii="Times New Roman" w:hAnsi="Times New Roman"/>
          <w:sz w:val="22"/>
          <w:szCs w:val="24"/>
          <w:lang w:val="en-US"/>
        </w:rPr>
      </w:pPr>
    </w:p>
    <w:p w14:paraId="3837753D" w14:textId="3EEE37BC" w:rsidR="00354ABC" w:rsidRDefault="009E4665" w:rsidP="00AE51AF">
      <w:pPr>
        <w:spacing w:line="360" w:lineRule="auto"/>
        <w:rPr>
          <w:rFonts w:ascii="Times New Roman" w:hAnsi="Times New Roman"/>
          <w:sz w:val="22"/>
          <w:szCs w:val="24"/>
          <w:lang w:val="en-US"/>
        </w:rPr>
      </w:pPr>
      <w:r>
        <w:rPr>
          <w:rFonts w:ascii="Times New Roman" w:hAnsi="Times New Roman"/>
          <w:sz w:val="22"/>
          <w:szCs w:val="24"/>
          <w:lang w:val="en-US"/>
        </w:rPr>
        <w:tab/>
      </w:r>
      <w:r w:rsidR="00E32C3B">
        <w:rPr>
          <w:rFonts w:ascii="Times New Roman" w:hAnsi="Times New Roman"/>
          <w:sz w:val="22"/>
          <w:szCs w:val="24"/>
          <w:lang w:val="en-US"/>
        </w:rPr>
        <w:t xml:space="preserve">The Abnormal Call Volume is a comparison between the average volume in the last 5 business days before t = 0 and the Call Volume traded at t = 0. </w:t>
      </w:r>
      <w:r w:rsidR="00874DA2">
        <w:rPr>
          <w:rFonts w:ascii="Times New Roman" w:hAnsi="Times New Roman"/>
          <w:sz w:val="22"/>
          <w:szCs w:val="24"/>
          <w:lang w:val="en-US"/>
        </w:rPr>
        <w:t xml:space="preserve">According to Easley, O’Hara and Srinivas (1998) a spike in the volume traded calls </w:t>
      </w:r>
      <w:r w:rsidR="008651C0">
        <w:rPr>
          <w:rFonts w:ascii="Times New Roman" w:hAnsi="Times New Roman"/>
          <w:sz w:val="22"/>
          <w:szCs w:val="24"/>
          <w:lang w:val="en-US"/>
        </w:rPr>
        <w:t xml:space="preserve">of </w:t>
      </w:r>
      <w:r w:rsidR="00874DA2">
        <w:rPr>
          <w:rFonts w:ascii="Times New Roman" w:hAnsi="Times New Roman"/>
          <w:sz w:val="22"/>
          <w:szCs w:val="24"/>
          <w:lang w:val="en-US"/>
        </w:rPr>
        <w:t>can have a significant predictive power for future stock price increases. Therefore, in this paper such a measure could be useful as it might signal upside pressure before the earnings event. The value at t = 0 is used.</w:t>
      </w:r>
    </w:p>
    <w:p w14:paraId="0EC00897" w14:textId="77777777" w:rsidR="00874DA2" w:rsidRDefault="00874DA2" w:rsidP="00AE51AF">
      <w:pPr>
        <w:spacing w:line="360" w:lineRule="auto"/>
        <w:rPr>
          <w:rFonts w:ascii="Times New Roman" w:hAnsi="Times New Roman"/>
          <w:sz w:val="22"/>
          <w:szCs w:val="24"/>
          <w:lang w:val="en-US"/>
        </w:rPr>
      </w:pPr>
    </w:p>
    <w:p w14:paraId="0862F710" w14:textId="7A2E1E4B" w:rsidR="00874DA2" w:rsidRDefault="00874DA2" w:rsidP="00874DA2">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t>Abnormal Volume Puts</w:t>
      </w:r>
    </w:p>
    <w:p w14:paraId="68F6BD48" w14:textId="766241B2" w:rsidR="00874DA2" w:rsidRDefault="00874DA2" w:rsidP="00874DA2">
      <w:pPr>
        <w:spacing w:line="360" w:lineRule="auto"/>
        <w:ind w:firstLine="360"/>
        <w:rPr>
          <w:rFonts w:ascii="Times New Roman" w:hAnsi="Times New Roman"/>
          <w:b/>
          <w:bCs/>
          <w:sz w:val="22"/>
          <w:szCs w:val="24"/>
          <w:lang w:val="en-US"/>
        </w:rPr>
      </w:pPr>
      <w:r>
        <w:rPr>
          <w:rFonts w:ascii="Times New Roman" w:hAnsi="Times New Roman"/>
          <w:b/>
          <w:bCs/>
          <w:noProof/>
          <w:sz w:val="22"/>
          <w:szCs w:val="24"/>
          <w:lang w:val="en-US"/>
        </w:rPr>
        <w:drawing>
          <wp:inline distT="0" distB="0" distL="0" distR="0" wp14:anchorId="327F51BC" wp14:editId="68A60239">
            <wp:extent cx="3219048" cy="504762"/>
            <wp:effectExtent l="0" t="0" r="635" b="0"/>
            <wp:docPr id="4609530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53048" name="Picture 460953048"/>
                    <pic:cNvPicPr/>
                  </pic:nvPicPr>
                  <pic:blipFill>
                    <a:blip r:embed="rId14"/>
                    <a:stretch>
                      <a:fillRect/>
                    </a:stretch>
                  </pic:blipFill>
                  <pic:spPr>
                    <a:xfrm>
                      <a:off x="0" y="0"/>
                      <a:ext cx="3219048" cy="504762"/>
                    </a:xfrm>
                    <a:prstGeom prst="rect">
                      <a:avLst/>
                    </a:prstGeom>
                  </pic:spPr>
                </pic:pic>
              </a:graphicData>
            </a:graphic>
          </wp:inline>
        </w:drawing>
      </w:r>
    </w:p>
    <w:p w14:paraId="252163FD" w14:textId="70201B9E" w:rsidR="00874DA2" w:rsidRDefault="00874DA2" w:rsidP="00874DA2">
      <w:pPr>
        <w:spacing w:line="360" w:lineRule="auto"/>
        <w:rPr>
          <w:rFonts w:ascii="Times New Roman" w:hAnsi="Times New Roman"/>
          <w:sz w:val="22"/>
          <w:szCs w:val="24"/>
          <w:lang w:val="en-US"/>
        </w:rPr>
      </w:pPr>
      <w:r>
        <w:rPr>
          <w:rFonts w:ascii="Times New Roman" w:hAnsi="Times New Roman"/>
          <w:sz w:val="22"/>
          <w:szCs w:val="24"/>
          <w:lang w:val="en-US"/>
        </w:rPr>
        <w:tab/>
        <w:t>Same concept as the Abnormal Put Volume, again Easley et al (1998) suggest that spikes in such a measure could indicate informed traders who have ‘bad news’ about a stock. The value at t = 0 is used.</w:t>
      </w:r>
    </w:p>
    <w:p w14:paraId="36412401" w14:textId="288A7652" w:rsidR="00E2051A" w:rsidRDefault="00E2051A" w:rsidP="00874DA2">
      <w:pPr>
        <w:spacing w:line="360" w:lineRule="auto"/>
        <w:rPr>
          <w:rFonts w:ascii="Times New Roman" w:hAnsi="Times New Roman"/>
          <w:sz w:val="22"/>
          <w:szCs w:val="24"/>
          <w:lang w:val="en-US"/>
        </w:rPr>
      </w:pPr>
    </w:p>
    <w:p w14:paraId="43BB0CC7" w14:textId="10B3AC84" w:rsidR="00E2051A" w:rsidRDefault="00E2051A" w:rsidP="00E2051A">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t>Aftermarket Dummy</w:t>
      </w:r>
    </w:p>
    <w:p w14:paraId="5E627255" w14:textId="43C45841" w:rsidR="00E2051A" w:rsidRDefault="00E2051A" w:rsidP="00E61180">
      <w:pPr>
        <w:spacing w:line="360" w:lineRule="auto"/>
        <w:ind w:left="360" w:firstLine="348"/>
        <w:rPr>
          <w:rFonts w:ascii="Times New Roman" w:hAnsi="Times New Roman"/>
          <w:sz w:val="22"/>
          <w:szCs w:val="24"/>
          <w:lang w:val="en-US"/>
        </w:rPr>
      </w:pPr>
      <w:r>
        <w:rPr>
          <w:rFonts w:ascii="Times New Roman" w:hAnsi="Times New Roman"/>
          <w:sz w:val="22"/>
          <w:szCs w:val="24"/>
          <w:lang w:val="en-US"/>
        </w:rPr>
        <w:t>A binary variable: 1 if</w:t>
      </w:r>
      <w:r w:rsidR="00EE1A6C">
        <w:rPr>
          <w:rFonts w:ascii="Times New Roman" w:hAnsi="Times New Roman"/>
          <w:sz w:val="22"/>
          <w:szCs w:val="24"/>
          <w:lang w:val="en-US"/>
        </w:rPr>
        <w:t xml:space="preserve"> the earnings release </w:t>
      </w:r>
      <w:r w:rsidR="007C079D">
        <w:rPr>
          <w:rFonts w:ascii="Times New Roman" w:hAnsi="Times New Roman"/>
          <w:sz w:val="22"/>
          <w:szCs w:val="24"/>
          <w:lang w:val="en-US"/>
        </w:rPr>
        <w:t xml:space="preserve"> at t = 0 </w:t>
      </w:r>
      <w:r w:rsidR="00EE1A6C">
        <w:rPr>
          <w:rFonts w:ascii="Times New Roman" w:hAnsi="Times New Roman"/>
          <w:sz w:val="22"/>
          <w:szCs w:val="24"/>
          <w:lang w:val="en-US"/>
        </w:rPr>
        <w:t>was announced After Trading Hours and 0 if i</w:t>
      </w:r>
      <w:r w:rsidR="005A1974">
        <w:rPr>
          <w:rFonts w:ascii="Times New Roman" w:hAnsi="Times New Roman"/>
          <w:sz w:val="22"/>
          <w:szCs w:val="24"/>
          <w:lang w:val="en-US"/>
        </w:rPr>
        <w:t>t occurred Before Trading Hours.</w:t>
      </w:r>
      <w:r w:rsidR="005D65CF">
        <w:rPr>
          <w:rFonts w:ascii="Times New Roman" w:hAnsi="Times New Roman"/>
          <w:sz w:val="22"/>
          <w:szCs w:val="24"/>
          <w:lang w:val="en-US"/>
        </w:rPr>
        <w:t xml:space="preserve"> This variable is included based on Bacry et al’s (2015) research</w:t>
      </w:r>
      <w:r w:rsidR="001D3AF5">
        <w:rPr>
          <w:rFonts w:ascii="Times New Roman" w:hAnsi="Times New Roman"/>
          <w:sz w:val="22"/>
          <w:szCs w:val="24"/>
          <w:lang w:val="en-US"/>
        </w:rPr>
        <w:t xml:space="preserve"> which claims that price discovery in earnings released After Market Hours is more saturated in liquidity-moving traders such as portfolio managers, while those in the early morning tend to reflect more primitive information and tend to be less noisy. </w:t>
      </w:r>
    </w:p>
    <w:p w14:paraId="51618AA1" w14:textId="77777777" w:rsidR="001D4813" w:rsidRDefault="001D4813" w:rsidP="00E2051A">
      <w:pPr>
        <w:spacing w:line="360" w:lineRule="auto"/>
        <w:ind w:left="360"/>
        <w:rPr>
          <w:rFonts w:ascii="Times New Roman" w:hAnsi="Times New Roman"/>
          <w:sz w:val="22"/>
          <w:szCs w:val="24"/>
          <w:lang w:val="en-US"/>
        </w:rPr>
      </w:pPr>
    </w:p>
    <w:p w14:paraId="76FDB177" w14:textId="77777777" w:rsidR="001D4813" w:rsidRDefault="001D4813" w:rsidP="00E2051A">
      <w:pPr>
        <w:spacing w:line="360" w:lineRule="auto"/>
        <w:ind w:left="360"/>
        <w:rPr>
          <w:rFonts w:ascii="Times New Roman" w:hAnsi="Times New Roman"/>
          <w:sz w:val="22"/>
          <w:szCs w:val="24"/>
          <w:lang w:val="en-US"/>
        </w:rPr>
      </w:pPr>
    </w:p>
    <w:p w14:paraId="51F3E0D3" w14:textId="77777777" w:rsidR="001D4813" w:rsidRDefault="001D4813" w:rsidP="00E2051A">
      <w:pPr>
        <w:spacing w:line="360" w:lineRule="auto"/>
        <w:ind w:left="360"/>
        <w:rPr>
          <w:rFonts w:ascii="Times New Roman" w:hAnsi="Times New Roman"/>
          <w:sz w:val="22"/>
          <w:szCs w:val="24"/>
          <w:lang w:val="en-US"/>
        </w:rPr>
      </w:pPr>
    </w:p>
    <w:p w14:paraId="568D5734" w14:textId="698F409F" w:rsidR="001D4813" w:rsidRDefault="001D4813" w:rsidP="001D4813">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lastRenderedPageBreak/>
        <w:t>ATM Call Open Interest Ratio</w:t>
      </w:r>
    </w:p>
    <w:p w14:paraId="51FC211F" w14:textId="2A0C14F7" w:rsidR="001D4813" w:rsidRPr="001D4813" w:rsidRDefault="001D4813" w:rsidP="001D4813">
      <w:pPr>
        <w:pStyle w:val="ListParagraph"/>
        <w:spacing w:line="360" w:lineRule="auto"/>
        <w:rPr>
          <w:rFonts w:ascii="Times New Roman" w:hAnsi="Times New Roman"/>
          <w:b/>
          <w:bCs/>
          <w:sz w:val="22"/>
          <w:szCs w:val="24"/>
          <w:lang w:val="en-US"/>
        </w:rPr>
      </w:pPr>
      <w:r>
        <w:rPr>
          <w:rFonts w:ascii="Times New Roman" w:hAnsi="Times New Roman"/>
          <w:b/>
          <w:bCs/>
          <w:noProof/>
          <w:sz w:val="22"/>
          <w:szCs w:val="24"/>
          <w:lang w:val="en-US"/>
        </w:rPr>
        <w:drawing>
          <wp:inline distT="0" distB="0" distL="0" distR="0" wp14:anchorId="2C8D1A61" wp14:editId="0DF2FD02">
            <wp:extent cx="2657143" cy="276190"/>
            <wp:effectExtent l="0" t="0" r="0" b="0"/>
            <wp:docPr id="2486716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71689" name="Picture 248671689"/>
                    <pic:cNvPicPr/>
                  </pic:nvPicPr>
                  <pic:blipFill>
                    <a:blip r:embed="rId15"/>
                    <a:stretch>
                      <a:fillRect/>
                    </a:stretch>
                  </pic:blipFill>
                  <pic:spPr>
                    <a:xfrm>
                      <a:off x="0" y="0"/>
                      <a:ext cx="2657143" cy="276190"/>
                    </a:xfrm>
                    <a:prstGeom prst="rect">
                      <a:avLst/>
                    </a:prstGeom>
                  </pic:spPr>
                </pic:pic>
              </a:graphicData>
            </a:graphic>
          </wp:inline>
        </w:drawing>
      </w:r>
    </w:p>
    <w:p w14:paraId="2D36A7D1" w14:textId="63DBE500" w:rsidR="00874DA2" w:rsidRDefault="00E61180" w:rsidP="00874DA2">
      <w:pPr>
        <w:spacing w:line="360" w:lineRule="auto"/>
        <w:rPr>
          <w:rFonts w:ascii="Times New Roman" w:hAnsi="Times New Roman"/>
          <w:sz w:val="22"/>
          <w:szCs w:val="24"/>
          <w:lang w:val="en-US"/>
        </w:rPr>
      </w:pPr>
      <w:r>
        <w:rPr>
          <w:rFonts w:ascii="Times New Roman" w:hAnsi="Times New Roman"/>
          <w:sz w:val="22"/>
          <w:szCs w:val="24"/>
          <w:lang w:val="en-US"/>
        </w:rPr>
        <w:tab/>
        <w:t>Th</w:t>
      </w:r>
      <w:r w:rsidR="00FB0769">
        <w:rPr>
          <w:rFonts w:ascii="Times New Roman" w:hAnsi="Times New Roman"/>
          <w:sz w:val="22"/>
          <w:szCs w:val="24"/>
          <w:lang w:val="en-US"/>
        </w:rPr>
        <w:t>is variable is computed as the ratio between the Open Interest of the At-The-Money Call at  t =0 (ATM here is defined as the strike price K, whose absolute distance from the stock price at close is the smallest) divided by the total open interest</w:t>
      </w:r>
      <w:r w:rsidR="005F1238">
        <w:rPr>
          <w:rFonts w:ascii="Times New Roman" w:hAnsi="Times New Roman"/>
          <w:sz w:val="22"/>
          <w:szCs w:val="24"/>
          <w:lang w:val="en-US"/>
        </w:rPr>
        <w:t xml:space="preserve"> of the entire options chain. The options chain, which is selected for the calculations is referred to as ‘The Front Month’ and it is the nearest option expiration at t = 0. The idea for this feature comes from Fodor, Krieger &amp; Doran (2011) who document that large increases in </w:t>
      </w:r>
      <w:r w:rsidR="00283EF9">
        <w:rPr>
          <w:rFonts w:ascii="Times New Roman" w:hAnsi="Times New Roman"/>
          <w:sz w:val="22"/>
          <w:szCs w:val="24"/>
          <w:lang w:val="en-US"/>
        </w:rPr>
        <w:t xml:space="preserve">call open interest tend to be followed by significant equity returns. </w:t>
      </w:r>
      <w:r w:rsidR="002B5172">
        <w:rPr>
          <w:rFonts w:ascii="Times New Roman" w:hAnsi="Times New Roman"/>
          <w:sz w:val="22"/>
          <w:szCs w:val="24"/>
          <w:lang w:val="en-US"/>
        </w:rPr>
        <w:t>The ATM Call Open Interest ratio is computed at t = 0.</w:t>
      </w:r>
    </w:p>
    <w:p w14:paraId="19E7B884" w14:textId="588680C5" w:rsidR="001A321C" w:rsidRDefault="001A321C" w:rsidP="00874DA2">
      <w:pPr>
        <w:spacing w:line="360" w:lineRule="auto"/>
        <w:rPr>
          <w:rFonts w:ascii="Times New Roman" w:hAnsi="Times New Roman"/>
          <w:sz w:val="22"/>
          <w:szCs w:val="24"/>
          <w:lang w:val="en-US"/>
        </w:rPr>
      </w:pPr>
    </w:p>
    <w:p w14:paraId="109E9700" w14:textId="51AE95FA" w:rsidR="001A321C" w:rsidRDefault="001A321C" w:rsidP="001A321C">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t>ATM Put Open Interest Ratio</w:t>
      </w:r>
    </w:p>
    <w:p w14:paraId="076A66C8" w14:textId="6EE9A88E" w:rsidR="001A321C" w:rsidRPr="001A321C" w:rsidRDefault="001A321C" w:rsidP="001A321C">
      <w:pPr>
        <w:spacing w:line="360" w:lineRule="auto"/>
        <w:ind w:left="360"/>
        <w:rPr>
          <w:rFonts w:ascii="Times New Roman" w:hAnsi="Times New Roman"/>
          <w:b/>
          <w:bCs/>
          <w:sz w:val="22"/>
          <w:szCs w:val="24"/>
          <w:lang w:val="en-US"/>
        </w:rPr>
      </w:pPr>
      <w:r>
        <w:rPr>
          <w:rFonts w:ascii="Times New Roman" w:hAnsi="Times New Roman"/>
          <w:b/>
          <w:bCs/>
          <w:noProof/>
          <w:sz w:val="22"/>
          <w:szCs w:val="24"/>
          <w:lang w:val="en-US"/>
        </w:rPr>
        <w:drawing>
          <wp:anchor distT="0" distB="0" distL="114300" distR="114300" simplePos="0" relativeHeight="251660288" behindDoc="1" locked="0" layoutInCell="1" allowOverlap="1" wp14:anchorId="50E0084F" wp14:editId="281717D6">
            <wp:simplePos x="0" y="0"/>
            <wp:positionH relativeFrom="column">
              <wp:posOffset>433705</wp:posOffset>
            </wp:positionH>
            <wp:positionV relativeFrom="paragraph">
              <wp:posOffset>7620</wp:posOffset>
            </wp:positionV>
            <wp:extent cx="2638095" cy="276190"/>
            <wp:effectExtent l="0" t="0" r="0" b="0"/>
            <wp:wrapNone/>
            <wp:docPr id="8185287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28799" name="Picture 818528799"/>
                    <pic:cNvPicPr/>
                  </pic:nvPicPr>
                  <pic:blipFill>
                    <a:blip r:embed="rId16"/>
                    <a:stretch>
                      <a:fillRect/>
                    </a:stretch>
                  </pic:blipFill>
                  <pic:spPr>
                    <a:xfrm>
                      <a:off x="0" y="0"/>
                      <a:ext cx="2638095" cy="276190"/>
                    </a:xfrm>
                    <a:prstGeom prst="rect">
                      <a:avLst/>
                    </a:prstGeom>
                  </pic:spPr>
                </pic:pic>
              </a:graphicData>
            </a:graphic>
          </wp:anchor>
        </w:drawing>
      </w:r>
    </w:p>
    <w:p w14:paraId="29254AFB" w14:textId="77777777" w:rsidR="009E4665" w:rsidRDefault="009E4665" w:rsidP="00AE51AF">
      <w:pPr>
        <w:spacing w:line="360" w:lineRule="auto"/>
        <w:rPr>
          <w:rFonts w:ascii="Times New Roman" w:hAnsi="Times New Roman"/>
          <w:sz w:val="22"/>
          <w:szCs w:val="24"/>
          <w:lang w:val="en-US"/>
        </w:rPr>
      </w:pPr>
    </w:p>
    <w:p w14:paraId="539AFD80" w14:textId="718A5807" w:rsidR="001A321C" w:rsidRDefault="001A321C" w:rsidP="00F8096B">
      <w:pPr>
        <w:spacing w:line="360" w:lineRule="auto"/>
        <w:ind w:firstLine="360"/>
        <w:rPr>
          <w:rFonts w:ascii="Times New Roman" w:hAnsi="Times New Roman"/>
          <w:sz w:val="22"/>
          <w:szCs w:val="24"/>
          <w:lang w:val="en-US"/>
        </w:rPr>
      </w:pPr>
      <w:r>
        <w:rPr>
          <w:rFonts w:ascii="Times New Roman" w:hAnsi="Times New Roman"/>
          <w:sz w:val="22"/>
          <w:szCs w:val="24"/>
          <w:lang w:val="en-US"/>
        </w:rPr>
        <w:t>The ATM Put Open Interest Ratio follows the same logic as that for the ATM Call Open Interest Ratio (Feature #9). The theoretical grounds for its use are provided again by Fodor, Krieger &amp; Doran (2011)</w:t>
      </w:r>
      <w:r w:rsidR="006823BE">
        <w:rPr>
          <w:rFonts w:ascii="Times New Roman" w:hAnsi="Times New Roman"/>
          <w:sz w:val="22"/>
          <w:szCs w:val="24"/>
          <w:lang w:val="en-US"/>
        </w:rPr>
        <w:t xml:space="preserve"> who find a negative relationship between Open Interest Changes and forward stock returns. </w:t>
      </w:r>
      <w:r w:rsidR="009430CE">
        <w:rPr>
          <w:rFonts w:ascii="Times New Roman" w:hAnsi="Times New Roman"/>
          <w:sz w:val="22"/>
          <w:szCs w:val="24"/>
          <w:lang w:val="en-US"/>
        </w:rPr>
        <w:t>Additionally, there is also the</w:t>
      </w:r>
      <w:r w:rsidR="009D0A81">
        <w:rPr>
          <w:rFonts w:ascii="Times New Roman" w:hAnsi="Times New Roman"/>
          <w:sz w:val="22"/>
          <w:szCs w:val="24"/>
          <w:lang w:val="en-US"/>
        </w:rPr>
        <w:t xml:space="preserve"> hypothesis to consider that </w:t>
      </w:r>
      <w:r w:rsidR="001E29EA">
        <w:rPr>
          <w:rFonts w:ascii="Times New Roman" w:hAnsi="Times New Roman"/>
          <w:sz w:val="22"/>
          <w:szCs w:val="24"/>
          <w:lang w:val="en-US"/>
        </w:rPr>
        <w:t xml:space="preserve">retail traders (uninformed traders) tend to buy Out-Of-The-Money (OTM) options in the days </w:t>
      </w:r>
      <w:r w:rsidR="005A75EF">
        <w:rPr>
          <w:rFonts w:ascii="Times New Roman" w:hAnsi="Times New Roman"/>
          <w:sz w:val="22"/>
          <w:szCs w:val="24"/>
          <w:lang w:val="en-US"/>
        </w:rPr>
        <w:t>preceding</w:t>
      </w:r>
      <w:r w:rsidR="001E29EA">
        <w:rPr>
          <w:rFonts w:ascii="Times New Roman" w:hAnsi="Times New Roman"/>
          <w:sz w:val="22"/>
          <w:szCs w:val="24"/>
          <w:lang w:val="en-US"/>
        </w:rPr>
        <w:t xml:space="preserve"> earnings announcements</w:t>
      </w:r>
      <w:r w:rsidR="00884234">
        <w:rPr>
          <w:rFonts w:ascii="Times New Roman" w:hAnsi="Times New Roman"/>
          <w:sz w:val="22"/>
          <w:szCs w:val="24"/>
          <w:lang w:val="en-US"/>
        </w:rPr>
        <w:t xml:space="preserve"> expecting a big move</w:t>
      </w:r>
      <w:r w:rsidR="008E121C">
        <w:rPr>
          <w:rFonts w:ascii="Times New Roman" w:hAnsi="Times New Roman"/>
          <w:sz w:val="22"/>
          <w:szCs w:val="24"/>
          <w:lang w:val="en-US"/>
        </w:rPr>
        <w:t>, hence such a feature as proposed here would be able to capture</w:t>
      </w:r>
      <w:r w:rsidR="00BC1088">
        <w:rPr>
          <w:rFonts w:ascii="Times New Roman" w:hAnsi="Times New Roman"/>
          <w:sz w:val="22"/>
          <w:szCs w:val="24"/>
          <w:lang w:val="en-US"/>
        </w:rPr>
        <w:t xml:space="preserve"> excess retail positioning which would likely overestimate the earnings realized move. </w:t>
      </w:r>
      <w:r w:rsidR="00F051A1">
        <w:rPr>
          <w:rFonts w:ascii="Times New Roman" w:hAnsi="Times New Roman"/>
          <w:sz w:val="22"/>
          <w:szCs w:val="24"/>
          <w:lang w:val="en-US"/>
        </w:rPr>
        <w:t>Again the ATM Open Interest Ratio is computed at t = 0.</w:t>
      </w:r>
    </w:p>
    <w:p w14:paraId="66A74A51" w14:textId="77777777" w:rsidR="00E47B62" w:rsidRDefault="00E47B62" w:rsidP="00F8096B">
      <w:pPr>
        <w:spacing w:line="360" w:lineRule="auto"/>
        <w:ind w:firstLine="360"/>
        <w:rPr>
          <w:rFonts w:ascii="Times New Roman" w:hAnsi="Times New Roman"/>
          <w:b/>
          <w:bCs/>
          <w:sz w:val="22"/>
          <w:szCs w:val="24"/>
          <w:lang w:val="en-US"/>
        </w:rPr>
      </w:pPr>
    </w:p>
    <w:p w14:paraId="7F70E349" w14:textId="022F4CF7" w:rsidR="00E47B62" w:rsidRDefault="00E47B62" w:rsidP="00E47B62">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t>Call / Put Open Interest Ratio</w:t>
      </w:r>
    </w:p>
    <w:p w14:paraId="386E2EBB" w14:textId="6BA8638A" w:rsidR="00E47B62" w:rsidRPr="00E47B62" w:rsidRDefault="00E47B62" w:rsidP="00E47B62">
      <w:pPr>
        <w:spacing w:line="360" w:lineRule="auto"/>
        <w:ind w:left="360"/>
        <w:rPr>
          <w:rFonts w:ascii="Times New Roman" w:hAnsi="Times New Roman"/>
          <w:b/>
          <w:bCs/>
          <w:sz w:val="22"/>
          <w:szCs w:val="24"/>
          <w:lang w:val="en-US"/>
        </w:rPr>
      </w:pPr>
      <w:r>
        <w:rPr>
          <w:rFonts w:ascii="Times New Roman" w:hAnsi="Times New Roman"/>
          <w:b/>
          <w:bCs/>
          <w:noProof/>
          <w:sz w:val="22"/>
          <w:szCs w:val="24"/>
          <w:lang w:val="en-US"/>
        </w:rPr>
        <w:drawing>
          <wp:anchor distT="0" distB="0" distL="114300" distR="114300" simplePos="0" relativeHeight="251661312" behindDoc="1" locked="0" layoutInCell="1" allowOverlap="1" wp14:anchorId="5E1322E1" wp14:editId="27ED45BB">
            <wp:simplePos x="0" y="0"/>
            <wp:positionH relativeFrom="column">
              <wp:posOffset>464185</wp:posOffset>
            </wp:positionH>
            <wp:positionV relativeFrom="paragraph">
              <wp:posOffset>11430</wp:posOffset>
            </wp:positionV>
            <wp:extent cx="1913890" cy="266065"/>
            <wp:effectExtent l="0" t="0" r="0" b="635"/>
            <wp:wrapNone/>
            <wp:docPr id="9297983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98304" name="Picture 929798304"/>
                    <pic:cNvPicPr/>
                  </pic:nvPicPr>
                  <pic:blipFill>
                    <a:blip r:embed="rId17"/>
                    <a:stretch>
                      <a:fillRect/>
                    </a:stretch>
                  </pic:blipFill>
                  <pic:spPr>
                    <a:xfrm>
                      <a:off x="0" y="0"/>
                      <a:ext cx="1913890" cy="266065"/>
                    </a:xfrm>
                    <a:prstGeom prst="rect">
                      <a:avLst/>
                    </a:prstGeom>
                  </pic:spPr>
                </pic:pic>
              </a:graphicData>
            </a:graphic>
          </wp:anchor>
        </w:drawing>
      </w:r>
    </w:p>
    <w:p w14:paraId="2538F3E1" w14:textId="77777777" w:rsidR="001A321C" w:rsidRDefault="001A321C" w:rsidP="001A321C">
      <w:pPr>
        <w:spacing w:line="360" w:lineRule="auto"/>
        <w:ind w:left="360"/>
        <w:rPr>
          <w:rFonts w:ascii="Times New Roman" w:hAnsi="Times New Roman"/>
          <w:sz w:val="22"/>
          <w:szCs w:val="24"/>
          <w:lang w:val="en-US"/>
        </w:rPr>
      </w:pPr>
    </w:p>
    <w:p w14:paraId="73C6190F" w14:textId="13D791DB" w:rsidR="001A321C" w:rsidRDefault="00E47B62" w:rsidP="004430F3">
      <w:pPr>
        <w:spacing w:line="360" w:lineRule="auto"/>
        <w:ind w:firstLine="360"/>
        <w:rPr>
          <w:rFonts w:ascii="Times New Roman" w:hAnsi="Times New Roman"/>
          <w:sz w:val="22"/>
          <w:szCs w:val="24"/>
          <w:lang w:val="en-US"/>
        </w:rPr>
      </w:pPr>
      <w:r>
        <w:rPr>
          <w:rFonts w:ascii="Times New Roman" w:hAnsi="Times New Roman"/>
          <w:sz w:val="22"/>
          <w:szCs w:val="24"/>
          <w:lang w:val="en-US"/>
        </w:rPr>
        <w:t>To wrap up the option orderbook features</w:t>
      </w:r>
      <w:r w:rsidR="00DB6F62">
        <w:rPr>
          <w:rFonts w:ascii="Times New Roman" w:hAnsi="Times New Roman"/>
          <w:sz w:val="22"/>
          <w:szCs w:val="24"/>
          <w:lang w:val="en-US"/>
        </w:rPr>
        <w:t>,</w:t>
      </w:r>
      <w:r w:rsidR="00FF3350">
        <w:rPr>
          <w:rFonts w:ascii="Times New Roman" w:hAnsi="Times New Roman"/>
          <w:sz w:val="22"/>
          <w:szCs w:val="24"/>
          <w:lang w:val="en-US"/>
        </w:rPr>
        <w:t xml:space="preserve"> this explanatory variable</w:t>
      </w:r>
      <w:r w:rsidR="00DB6F62">
        <w:rPr>
          <w:rFonts w:ascii="Times New Roman" w:hAnsi="Times New Roman"/>
          <w:sz w:val="22"/>
          <w:szCs w:val="24"/>
          <w:lang w:val="en-US"/>
        </w:rPr>
        <w:t xml:space="preserve"> takes the sum of the Open Interest for both Calls and Put at t = 0 for the nearest expiration and computes the</w:t>
      </w:r>
      <w:r w:rsidR="000E19C2">
        <w:rPr>
          <w:rFonts w:ascii="Times New Roman" w:hAnsi="Times New Roman"/>
          <w:sz w:val="22"/>
          <w:szCs w:val="24"/>
          <w:lang w:val="en-US"/>
        </w:rPr>
        <w:t xml:space="preserve"> ratio between them</w:t>
      </w:r>
      <w:r w:rsidR="004A2A35">
        <w:rPr>
          <w:rFonts w:ascii="Times New Roman" w:hAnsi="Times New Roman"/>
          <w:sz w:val="22"/>
          <w:szCs w:val="24"/>
          <w:lang w:val="en-US"/>
        </w:rPr>
        <w:t xml:space="preserve">. </w:t>
      </w:r>
      <w:r w:rsidR="00BB2183">
        <w:rPr>
          <w:rFonts w:ascii="Times New Roman" w:hAnsi="Times New Roman"/>
          <w:sz w:val="22"/>
          <w:szCs w:val="24"/>
          <w:lang w:val="en-US"/>
        </w:rPr>
        <w:t>As mentioned in Feature #9 and #10</w:t>
      </w:r>
      <w:r w:rsidR="00742BC7">
        <w:rPr>
          <w:rFonts w:ascii="Times New Roman" w:hAnsi="Times New Roman"/>
          <w:sz w:val="22"/>
          <w:szCs w:val="24"/>
          <w:lang w:val="en-US"/>
        </w:rPr>
        <w:t xml:space="preserve">, an imbalance between calls and puts could signal significant positioning by the market for a large bullish or a bearish move, either of which would be </w:t>
      </w:r>
      <w:r w:rsidR="00A03A31">
        <w:rPr>
          <w:rFonts w:ascii="Times New Roman" w:hAnsi="Times New Roman"/>
          <w:sz w:val="22"/>
          <w:szCs w:val="24"/>
          <w:lang w:val="en-US"/>
        </w:rPr>
        <w:t>detrimental to this paper’s strategy or selling ATM Straddles.</w:t>
      </w:r>
    </w:p>
    <w:p w14:paraId="285F5EAD" w14:textId="77777777" w:rsidR="00E11BDB" w:rsidRDefault="00E11BDB" w:rsidP="004430F3">
      <w:pPr>
        <w:spacing w:line="360" w:lineRule="auto"/>
        <w:ind w:firstLine="360"/>
        <w:rPr>
          <w:rFonts w:ascii="Times New Roman" w:hAnsi="Times New Roman"/>
          <w:sz w:val="22"/>
          <w:szCs w:val="24"/>
          <w:lang w:val="en-US"/>
        </w:rPr>
      </w:pPr>
    </w:p>
    <w:p w14:paraId="1208F09C" w14:textId="41391CDB" w:rsidR="00E11BDB" w:rsidRDefault="00E11BDB" w:rsidP="00E11BDB">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t xml:space="preserve">CAPM Beta </w:t>
      </w:r>
    </w:p>
    <w:p w14:paraId="06924A7B" w14:textId="68BA8A3F" w:rsidR="00E11BDB" w:rsidRDefault="00E11BDB" w:rsidP="00B60BB9">
      <w:pPr>
        <w:spacing w:line="360" w:lineRule="auto"/>
        <w:ind w:firstLine="360"/>
        <w:rPr>
          <w:rFonts w:ascii="Times New Roman" w:hAnsi="Times New Roman"/>
          <w:sz w:val="22"/>
          <w:szCs w:val="24"/>
          <w:lang w:val="en-US"/>
        </w:rPr>
      </w:pPr>
      <w:r>
        <w:rPr>
          <w:rFonts w:ascii="Times New Roman" w:hAnsi="Times New Roman"/>
          <w:sz w:val="22"/>
          <w:szCs w:val="24"/>
          <w:lang w:val="en-US"/>
        </w:rPr>
        <w:t>The CAPM Beta between the returns of the Stock and the SP 500, computed with a lookback of 42 trading days (2 months). The</w:t>
      </w:r>
      <w:r w:rsidR="00217081">
        <w:rPr>
          <w:rFonts w:ascii="Times New Roman" w:hAnsi="Times New Roman"/>
          <w:sz w:val="22"/>
          <w:szCs w:val="24"/>
          <w:lang w:val="en-US"/>
        </w:rPr>
        <w:t xml:space="preserve"> value at t = 0</w:t>
      </w:r>
      <w:r w:rsidR="00760CF7">
        <w:rPr>
          <w:rFonts w:ascii="Times New Roman" w:hAnsi="Times New Roman"/>
          <w:sz w:val="22"/>
          <w:szCs w:val="24"/>
          <w:lang w:val="en-US"/>
        </w:rPr>
        <w:t xml:space="preserve"> is used in the model. </w:t>
      </w:r>
      <w:r w:rsidR="00546194">
        <w:rPr>
          <w:rFonts w:ascii="Times New Roman" w:hAnsi="Times New Roman"/>
          <w:sz w:val="22"/>
          <w:szCs w:val="24"/>
          <w:lang w:val="en-US"/>
        </w:rPr>
        <w:t>The rationale is that stocks with higher systemic risk tend to be more volatile</w:t>
      </w:r>
      <w:r w:rsidR="006818A8">
        <w:rPr>
          <w:rFonts w:ascii="Times New Roman" w:hAnsi="Times New Roman"/>
          <w:sz w:val="22"/>
          <w:szCs w:val="24"/>
          <w:lang w:val="en-US"/>
        </w:rPr>
        <w:t xml:space="preserve">, hence it is likely that higher </w:t>
      </w:r>
      <w:r w:rsidR="00D17783">
        <w:rPr>
          <w:rFonts w:ascii="Times New Roman" w:hAnsi="Times New Roman"/>
          <w:sz w:val="22"/>
          <w:szCs w:val="24"/>
          <w:lang w:val="en-US"/>
        </w:rPr>
        <w:t xml:space="preserve">beta companies would exhibit a larger </w:t>
      </w:r>
      <w:r w:rsidR="00BE35A8">
        <w:rPr>
          <w:rFonts w:ascii="Times New Roman" w:hAnsi="Times New Roman"/>
          <w:sz w:val="22"/>
          <w:szCs w:val="24"/>
          <w:lang w:val="en-US"/>
        </w:rPr>
        <w:t>magnitude of their Close-to-Close earnings moves.</w:t>
      </w:r>
    </w:p>
    <w:p w14:paraId="01955A42" w14:textId="77777777" w:rsidR="000F76A5" w:rsidRDefault="000F76A5" w:rsidP="00B60BB9">
      <w:pPr>
        <w:spacing w:line="360" w:lineRule="auto"/>
        <w:ind w:firstLine="360"/>
        <w:rPr>
          <w:rFonts w:ascii="Times New Roman" w:hAnsi="Times New Roman"/>
          <w:sz w:val="22"/>
          <w:szCs w:val="24"/>
          <w:lang w:val="en-US"/>
        </w:rPr>
      </w:pPr>
    </w:p>
    <w:p w14:paraId="718FFA0C" w14:textId="4CDE0F04" w:rsidR="000F76A5" w:rsidRDefault="000F76A5" w:rsidP="000F76A5">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lastRenderedPageBreak/>
        <w:t>Day of the Week</w:t>
      </w:r>
    </w:p>
    <w:p w14:paraId="6DEEF515" w14:textId="44DA7169" w:rsidR="000F76A5" w:rsidRDefault="000F76A5" w:rsidP="003509C1">
      <w:pPr>
        <w:spacing w:line="360" w:lineRule="auto"/>
        <w:ind w:firstLine="360"/>
        <w:rPr>
          <w:rFonts w:ascii="Times New Roman" w:hAnsi="Times New Roman"/>
          <w:sz w:val="22"/>
          <w:szCs w:val="24"/>
          <w:lang w:val="en-US"/>
        </w:rPr>
      </w:pPr>
      <w:r>
        <w:rPr>
          <w:rFonts w:ascii="Times New Roman" w:hAnsi="Times New Roman"/>
          <w:sz w:val="22"/>
          <w:szCs w:val="24"/>
          <w:lang w:val="en-US"/>
        </w:rPr>
        <w:t>The day of the week on which</w:t>
      </w:r>
      <w:r w:rsidR="00822E7F">
        <w:rPr>
          <w:rFonts w:ascii="Times New Roman" w:hAnsi="Times New Roman"/>
          <w:sz w:val="22"/>
          <w:szCs w:val="24"/>
          <w:lang w:val="en-US"/>
        </w:rPr>
        <w:t xml:space="preserve"> the announcement </w:t>
      </w:r>
      <w:r w:rsidR="005B5EB7">
        <w:rPr>
          <w:rFonts w:ascii="Times New Roman" w:hAnsi="Times New Roman"/>
          <w:sz w:val="22"/>
          <w:szCs w:val="24"/>
          <w:lang w:val="en-US"/>
        </w:rPr>
        <w:t xml:space="preserve">is </w:t>
      </w:r>
      <w:r w:rsidR="000D7E91">
        <w:rPr>
          <w:rFonts w:ascii="Times New Roman" w:hAnsi="Times New Roman"/>
          <w:sz w:val="22"/>
          <w:szCs w:val="24"/>
          <w:lang w:val="en-US"/>
        </w:rPr>
        <w:t>scheduled</w:t>
      </w:r>
      <w:r w:rsidR="00822E7F">
        <w:rPr>
          <w:rFonts w:ascii="Times New Roman" w:hAnsi="Times New Roman"/>
          <w:sz w:val="22"/>
          <w:szCs w:val="24"/>
          <w:lang w:val="en-US"/>
        </w:rPr>
        <w:t xml:space="preserve"> regardless if it is before or after market. Days of the week are </w:t>
      </w:r>
      <w:r w:rsidR="00B1565B">
        <w:rPr>
          <w:rFonts w:ascii="Times New Roman" w:hAnsi="Times New Roman"/>
          <w:sz w:val="22"/>
          <w:szCs w:val="24"/>
          <w:lang w:val="en-US"/>
        </w:rPr>
        <w:t>encoded as integers 0 for Monday up until 4 for Friday.</w:t>
      </w:r>
    </w:p>
    <w:p w14:paraId="55777CAB" w14:textId="77777777" w:rsidR="000D7E91" w:rsidRDefault="000D7E91" w:rsidP="003509C1">
      <w:pPr>
        <w:spacing w:line="360" w:lineRule="auto"/>
        <w:ind w:firstLine="360"/>
        <w:rPr>
          <w:rFonts w:ascii="Times New Roman" w:hAnsi="Times New Roman"/>
          <w:sz w:val="22"/>
          <w:szCs w:val="24"/>
          <w:lang w:val="en-US"/>
        </w:rPr>
      </w:pPr>
    </w:p>
    <w:p w14:paraId="0469B570" w14:textId="1AD48B78" w:rsidR="000D7E91" w:rsidRDefault="006966F9" w:rsidP="006966F9">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t>Implied Skew Change</w:t>
      </w:r>
    </w:p>
    <w:p w14:paraId="0E3FDDA1" w14:textId="77777777" w:rsidR="00B27FFE" w:rsidRDefault="00B27FFE" w:rsidP="006966F9">
      <w:pPr>
        <w:spacing w:line="360" w:lineRule="auto"/>
        <w:ind w:left="360"/>
        <w:rPr>
          <w:rFonts w:ascii="Times New Roman" w:hAnsi="Times New Roman"/>
          <w:b/>
          <w:bCs/>
          <w:noProof/>
          <w:sz w:val="22"/>
          <w:szCs w:val="24"/>
          <w:lang w:val="en-US"/>
        </w:rPr>
      </w:pPr>
    </w:p>
    <w:p w14:paraId="36611B2C" w14:textId="173603E3" w:rsidR="006966F9" w:rsidRPr="006966F9" w:rsidRDefault="006966F9" w:rsidP="006966F9">
      <w:pPr>
        <w:spacing w:line="360" w:lineRule="auto"/>
        <w:ind w:left="360"/>
        <w:rPr>
          <w:rFonts w:ascii="Times New Roman" w:hAnsi="Times New Roman"/>
          <w:b/>
          <w:bCs/>
          <w:sz w:val="22"/>
          <w:szCs w:val="24"/>
          <w:lang w:val="en-US"/>
        </w:rPr>
      </w:pPr>
      <w:r>
        <w:rPr>
          <w:rFonts w:ascii="Times New Roman" w:hAnsi="Times New Roman"/>
          <w:b/>
          <w:bCs/>
          <w:noProof/>
          <w:sz w:val="22"/>
          <w:szCs w:val="24"/>
          <w:lang w:val="en-US"/>
        </w:rPr>
        <w:drawing>
          <wp:inline distT="0" distB="0" distL="0" distR="0" wp14:anchorId="531B96A1" wp14:editId="07EB3124">
            <wp:extent cx="5760720" cy="3209290"/>
            <wp:effectExtent l="0" t="0" r="0" b="0"/>
            <wp:docPr id="1060701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0101" name="Picture 106070101"/>
                    <pic:cNvPicPr/>
                  </pic:nvPicPr>
                  <pic:blipFill>
                    <a:blip r:embed="rId18"/>
                    <a:stretch>
                      <a:fillRect/>
                    </a:stretch>
                  </pic:blipFill>
                  <pic:spPr>
                    <a:xfrm>
                      <a:off x="0" y="0"/>
                      <a:ext cx="5760720" cy="3209290"/>
                    </a:xfrm>
                    <a:prstGeom prst="rect">
                      <a:avLst/>
                    </a:prstGeom>
                  </pic:spPr>
                </pic:pic>
              </a:graphicData>
            </a:graphic>
          </wp:inline>
        </w:drawing>
      </w:r>
    </w:p>
    <w:p w14:paraId="2FDCCA79" w14:textId="01675523" w:rsidR="006B57E1" w:rsidRDefault="005D207D" w:rsidP="005D207D">
      <w:pPr>
        <w:spacing w:line="360" w:lineRule="auto"/>
        <w:ind w:firstLine="360"/>
        <w:rPr>
          <w:rFonts w:ascii="Times New Roman" w:hAnsi="Times New Roman"/>
          <w:sz w:val="22"/>
          <w:szCs w:val="24"/>
          <w:lang w:val="en-US"/>
        </w:rPr>
      </w:pPr>
      <w:r>
        <w:rPr>
          <w:rFonts w:ascii="Times New Roman" w:hAnsi="Times New Roman"/>
          <w:sz w:val="22"/>
          <w:szCs w:val="24"/>
          <w:lang w:val="en-US"/>
        </w:rPr>
        <w:t xml:space="preserve">The model-free change in skewness follows the implementation </w:t>
      </w:r>
      <w:r w:rsidR="00F22AEB">
        <w:rPr>
          <w:rFonts w:ascii="Times New Roman" w:hAnsi="Times New Roman"/>
          <w:sz w:val="22"/>
          <w:szCs w:val="24"/>
          <w:lang w:val="en-US"/>
        </w:rPr>
        <w:t>of Bakshi</w:t>
      </w:r>
      <w:r w:rsidR="00B019DF">
        <w:rPr>
          <w:rFonts w:ascii="Times New Roman" w:hAnsi="Times New Roman"/>
          <w:sz w:val="22"/>
          <w:szCs w:val="24"/>
          <w:lang w:val="en-US"/>
        </w:rPr>
        <w:t xml:space="preserve">, Kapadia &amp; Madan (2003). </w:t>
      </w:r>
      <w:r w:rsidR="00F22AEB">
        <w:rPr>
          <w:rFonts w:ascii="Times New Roman" w:hAnsi="Times New Roman"/>
          <w:sz w:val="22"/>
          <w:szCs w:val="24"/>
          <w:lang w:val="en-US"/>
        </w:rPr>
        <w:t xml:space="preserve">The integrals are approximate via the trapezoid rule, where </w:t>
      </w:r>
      <w:r w:rsidR="00DA49E3">
        <w:rPr>
          <w:rFonts w:ascii="Times New Roman" w:hAnsi="Times New Roman"/>
          <w:sz w:val="22"/>
          <w:szCs w:val="24"/>
          <w:lang w:val="en-US"/>
        </w:rPr>
        <w:t xml:space="preserve">at least 3 OTM Calls and 3 OTM Puts are required, if this is not satisfied this variable is set to NaN. </w:t>
      </w:r>
      <w:r w:rsidR="001B6902">
        <w:rPr>
          <w:rFonts w:ascii="Times New Roman" w:hAnsi="Times New Roman"/>
          <w:sz w:val="22"/>
          <w:szCs w:val="24"/>
          <w:lang w:val="en-US"/>
        </w:rPr>
        <w:t xml:space="preserve">The feature is calculated by subtracting the implied skewness at t = -5 from the implied skewness at t = -15, the option chain used is the nearest expiration after t = 0. </w:t>
      </w:r>
      <w:r w:rsidR="00B27FFE">
        <w:rPr>
          <w:rFonts w:ascii="Times New Roman" w:hAnsi="Times New Roman"/>
          <w:sz w:val="22"/>
          <w:szCs w:val="24"/>
          <w:lang w:val="en-US"/>
        </w:rPr>
        <w:t>Conrad, Dittmar &amp; Ghysels (2013) motivated the inclusion of this feature</w:t>
      </w:r>
      <w:r w:rsidR="004E0315">
        <w:rPr>
          <w:rFonts w:ascii="Times New Roman" w:hAnsi="Times New Roman"/>
          <w:sz w:val="22"/>
          <w:szCs w:val="24"/>
          <w:lang w:val="en-US"/>
        </w:rPr>
        <w:t xml:space="preserve">, as their research suggests that ex-ante </w:t>
      </w:r>
      <w:r w:rsidR="00C85441">
        <w:rPr>
          <w:rFonts w:ascii="Times New Roman" w:hAnsi="Times New Roman"/>
          <w:sz w:val="22"/>
          <w:szCs w:val="24"/>
          <w:lang w:val="en-US"/>
        </w:rPr>
        <w:t xml:space="preserve">positive </w:t>
      </w:r>
      <w:r w:rsidR="004E0315">
        <w:rPr>
          <w:rFonts w:ascii="Times New Roman" w:hAnsi="Times New Roman"/>
          <w:sz w:val="22"/>
          <w:szCs w:val="24"/>
          <w:lang w:val="en-US"/>
        </w:rPr>
        <w:t>changes in risk-neutral skewness</w:t>
      </w:r>
      <w:r w:rsidR="00841AE7">
        <w:rPr>
          <w:rFonts w:ascii="Times New Roman" w:hAnsi="Times New Roman"/>
          <w:sz w:val="22"/>
          <w:szCs w:val="24"/>
          <w:lang w:val="en-US"/>
        </w:rPr>
        <w:t xml:space="preserve"> before earnings events tend to signal subsequent</w:t>
      </w:r>
      <w:r w:rsidR="00C85441">
        <w:rPr>
          <w:rFonts w:ascii="Times New Roman" w:hAnsi="Times New Roman"/>
          <w:sz w:val="22"/>
          <w:szCs w:val="24"/>
          <w:lang w:val="en-US"/>
        </w:rPr>
        <w:t xml:space="preserve"> large</w:t>
      </w:r>
      <w:r w:rsidR="00841AE7">
        <w:rPr>
          <w:rFonts w:ascii="Times New Roman" w:hAnsi="Times New Roman"/>
          <w:sz w:val="22"/>
          <w:szCs w:val="24"/>
          <w:lang w:val="en-US"/>
        </w:rPr>
        <w:t xml:space="preserve"> abnormal returns</w:t>
      </w:r>
      <w:r w:rsidR="00C85441">
        <w:rPr>
          <w:rFonts w:ascii="Times New Roman" w:hAnsi="Times New Roman"/>
          <w:sz w:val="22"/>
          <w:szCs w:val="24"/>
          <w:lang w:val="en-US"/>
        </w:rPr>
        <w:t xml:space="preserve"> after the event and vice versa for decreases.</w:t>
      </w:r>
    </w:p>
    <w:p w14:paraId="10729165" w14:textId="77777777" w:rsidR="00524B99" w:rsidRDefault="00524B99" w:rsidP="005D207D">
      <w:pPr>
        <w:spacing w:line="360" w:lineRule="auto"/>
        <w:ind w:firstLine="360"/>
        <w:rPr>
          <w:rFonts w:ascii="Times New Roman" w:hAnsi="Times New Roman"/>
          <w:sz w:val="22"/>
          <w:szCs w:val="24"/>
          <w:lang w:val="en-US"/>
        </w:rPr>
      </w:pPr>
    </w:p>
    <w:p w14:paraId="4564C9BD" w14:textId="77777777" w:rsidR="00524B99" w:rsidRDefault="00524B99" w:rsidP="005D207D">
      <w:pPr>
        <w:spacing w:line="360" w:lineRule="auto"/>
        <w:ind w:firstLine="360"/>
        <w:rPr>
          <w:rFonts w:ascii="Times New Roman" w:hAnsi="Times New Roman"/>
          <w:sz w:val="22"/>
          <w:szCs w:val="24"/>
          <w:lang w:val="en-US"/>
        </w:rPr>
      </w:pPr>
    </w:p>
    <w:p w14:paraId="72827D64" w14:textId="77777777" w:rsidR="00524B99" w:rsidRDefault="00524B99" w:rsidP="005D207D">
      <w:pPr>
        <w:spacing w:line="360" w:lineRule="auto"/>
        <w:ind w:firstLine="360"/>
        <w:rPr>
          <w:rFonts w:ascii="Times New Roman" w:hAnsi="Times New Roman"/>
          <w:sz w:val="22"/>
          <w:szCs w:val="24"/>
          <w:lang w:val="en-US"/>
        </w:rPr>
      </w:pPr>
    </w:p>
    <w:p w14:paraId="1CC46BEA" w14:textId="77777777" w:rsidR="00524B99" w:rsidRDefault="00524B99" w:rsidP="005D207D">
      <w:pPr>
        <w:spacing w:line="360" w:lineRule="auto"/>
        <w:ind w:firstLine="360"/>
        <w:rPr>
          <w:rFonts w:ascii="Times New Roman" w:hAnsi="Times New Roman"/>
          <w:sz w:val="22"/>
          <w:szCs w:val="24"/>
          <w:lang w:val="en-US"/>
        </w:rPr>
      </w:pPr>
    </w:p>
    <w:p w14:paraId="045214FC" w14:textId="77777777" w:rsidR="00524B99" w:rsidRDefault="00524B99" w:rsidP="005D207D">
      <w:pPr>
        <w:spacing w:line="360" w:lineRule="auto"/>
        <w:ind w:firstLine="360"/>
        <w:rPr>
          <w:rFonts w:ascii="Times New Roman" w:hAnsi="Times New Roman"/>
          <w:sz w:val="22"/>
          <w:szCs w:val="24"/>
          <w:lang w:val="en-US"/>
        </w:rPr>
      </w:pPr>
    </w:p>
    <w:p w14:paraId="641FFCE4" w14:textId="77777777" w:rsidR="00524B99" w:rsidRDefault="00524B99" w:rsidP="005D207D">
      <w:pPr>
        <w:spacing w:line="360" w:lineRule="auto"/>
        <w:ind w:firstLine="360"/>
        <w:rPr>
          <w:rFonts w:ascii="Times New Roman" w:hAnsi="Times New Roman"/>
          <w:sz w:val="22"/>
          <w:szCs w:val="24"/>
          <w:lang w:val="en-US"/>
        </w:rPr>
      </w:pPr>
    </w:p>
    <w:p w14:paraId="381AB255" w14:textId="77777777" w:rsidR="00524B99" w:rsidRDefault="00524B99" w:rsidP="005D207D">
      <w:pPr>
        <w:spacing w:line="360" w:lineRule="auto"/>
        <w:ind w:firstLine="360"/>
        <w:rPr>
          <w:rFonts w:ascii="Times New Roman" w:hAnsi="Times New Roman"/>
          <w:sz w:val="22"/>
          <w:szCs w:val="24"/>
          <w:lang w:val="en-US"/>
        </w:rPr>
      </w:pPr>
    </w:p>
    <w:p w14:paraId="4D96A15B" w14:textId="77777777" w:rsidR="00524B99" w:rsidRDefault="00524B99" w:rsidP="005D207D">
      <w:pPr>
        <w:spacing w:line="360" w:lineRule="auto"/>
        <w:ind w:firstLine="360"/>
        <w:rPr>
          <w:rFonts w:ascii="Times New Roman" w:hAnsi="Times New Roman"/>
          <w:sz w:val="22"/>
          <w:szCs w:val="24"/>
          <w:lang w:val="en-US"/>
        </w:rPr>
      </w:pPr>
    </w:p>
    <w:p w14:paraId="210741DA" w14:textId="77777777" w:rsidR="00524B99" w:rsidRDefault="00524B99" w:rsidP="005D207D">
      <w:pPr>
        <w:spacing w:line="360" w:lineRule="auto"/>
        <w:ind w:firstLine="360"/>
        <w:rPr>
          <w:rFonts w:ascii="Times New Roman" w:hAnsi="Times New Roman"/>
          <w:sz w:val="22"/>
          <w:szCs w:val="24"/>
          <w:lang w:val="en-US"/>
        </w:rPr>
      </w:pPr>
    </w:p>
    <w:p w14:paraId="4E3AF374" w14:textId="77777777" w:rsidR="00303EBD" w:rsidRDefault="00303EBD" w:rsidP="00303EBD">
      <w:pPr>
        <w:spacing w:line="360" w:lineRule="auto"/>
        <w:rPr>
          <w:rFonts w:ascii="Times New Roman" w:hAnsi="Times New Roman"/>
          <w:sz w:val="22"/>
          <w:szCs w:val="24"/>
          <w:lang w:val="en-US"/>
        </w:rPr>
      </w:pPr>
    </w:p>
    <w:p w14:paraId="317A1F07" w14:textId="533D6BA0" w:rsidR="00303EBD" w:rsidRDefault="00303EBD" w:rsidP="00303EBD">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lastRenderedPageBreak/>
        <w:t>Implied Kurtosis Change</w:t>
      </w:r>
    </w:p>
    <w:p w14:paraId="7F3F0769" w14:textId="74884B22" w:rsidR="00524B99" w:rsidRDefault="00524B99" w:rsidP="00524B99">
      <w:pPr>
        <w:pStyle w:val="ListParagraph"/>
        <w:spacing w:line="360" w:lineRule="auto"/>
        <w:rPr>
          <w:rFonts w:ascii="Times New Roman" w:hAnsi="Times New Roman"/>
          <w:b/>
          <w:bCs/>
          <w:sz w:val="22"/>
          <w:szCs w:val="24"/>
          <w:lang w:val="en-US"/>
        </w:rPr>
      </w:pPr>
      <w:r>
        <w:rPr>
          <w:rFonts w:ascii="Times New Roman" w:hAnsi="Times New Roman"/>
          <w:b/>
          <w:bCs/>
          <w:noProof/>
          <w:sz w:val="22"/>
          <w:szCs w:val="24"/>
          <w:lang w:val="en-US"/>
        </w:rPr>
        <w:drawing>
          <wp:anchor distT="0" distB="0" distL="114300" distR="114300" simplePos="0" relativeHeight="251662336" behindDoc="1" locked="0" layoutInCell="1" allowOverlap="1" wp14:anchorId="005AC625" wp14:editId="6984D040">
            <wp:simplePos x="0" y="0"/>
            <wp:positionH relativeFrom="column">
              <wp:posOffset>212725</wp:posOffset>
            </wp:positionH>
            <wp:positionV relativeFrom="paragraph">
              <wp:posOffset>109220</wp:posOffset>
            </wp:positionV>
            <wp:extent cx="5760720" cy="3209290"/>
            <wp:effectExtent l="0" t="0" r="0" b="0"/>
            <wp:wrapNone/>
            <wp:docPr id="20347982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98248" name="Picture 2034798248"/>
                    <pic:cNvPicPr/>
                  </pic:nvPicPr>
                  <pic:blipFill>
                    <a:blip r:embed="rId19"/>
                    <a:stretch>
                      <a:fillRect/>
                    </a:stretch>
                  </pic:blipFill>
                  <pic:spPr>
                    <a:xfrm>
                      <a:off x="0" y="0"/>
                      <a:ext cx="5760720" cy="3209290"/>
                    </a:xfrm>
                    <a:prstGeom prst="rect">
                      <a:avLst/>
                    </a:prstGeom>
                  </pic:spPr>
                </pic:pic>
              </a:graphicData>
            </a:graphic>
          </wp:anchor>
        </w:drawing>
      </w:r>
    </w:p>
    <w:p w14:paraId="59C65A06" w14:textId="3D189E93" w:rsidR="00524B99" w:rsidRPr="00303EBD" w:rsidRDefault="00524B99" w:rsidP="00524B99">
      <w:pPr>
        <w:pStyle w:val="ListParagraph"/>
        <w:spacing w:line="360" w:lineRule="auto"/>
        <w:rPr>
          <w:rFonts w:ascii="Times New Roman" w:hAnsi="Times New Roman"/>
          <w:b/>
          <w:bCs/>
          <w:sz w:val="22"/>
          <w:szCs w:val="24"/>
          <w:lang w:val="en-US"/>
        </w:rPr>
      </w:pPr>
    </w:p>
    <w:p w14:paraId="09095CBD" w14:textId="77777777" w:rsidR="00E47B62" w:rsidRDefault="00E47B62" w:rsidP="001A321C">
      <w:pPr>
        <w:spacing w:line="360" w:lineRule="auto"/>
        <w:ind w:left="360"/>
        <w:rPr>
          <w:rFonts w:ascii="Times New Roman" w:hAnsi="Times New Roman"/>
          <w:sz w:val="22"/>
          <w:szCs w:val="24"/>
          <w:lang w:val="en-US"/>
        </w:rPr>
      </w:pPr>
    </w:p>
    <w:p w14:paraId="11C424E8" w14:textId="77777777" w:rsidR="006966F9" w:rsidRDefault="006966F9" w:rsidP="001A321C">
      <w:pPr>
        <w:spacing w:line="360" w:lineRule="auto"/>
        <w:ind w:left="360"/>
        <w:rPr>
          <w:rFonts w:ascii="Times New Roman" w:hAnsi="Times New Roman"/>
          <w:sz w:val="22"/>
          <w:szCs w:val="24"/>
          <w:lang w:val="en-US"/>
        </w:rPr>
      </w:pPr>
    </w:p>
    <w:p w14:paraId="0B7FC5BA" w14:textId="77777777" w:rsidR="006966F9" w:rsidRDefault="006966F9" w:rsidP="001A321C">
      <w:pPr>
        <w:spacing w:line="360" w:lineRule="auto"/>
        <w:ind w:left="360"/>
        <w:rPr>
          <w:rFonts w:ascii="Times New Roman" w:hAnsi="Times New Roman"/>
          <w:sz w:val="22"/>
          <w:szCs w:val="24"/>
          <w:lang w:val="en-US"/>
        </w:rPr>
      </w:pPr>
    </w:p>
    <w:p w14:paraId="55A88ECC" w14:textId="77777777" w:rsidR="006966F9" w:rsidRDefault="006966F9" w:rsidP="001A321C">
      <w:pPr>
        <w:spacing w:line="360" w:lineRule="auto"/>
        <w:ind w:left="360"/>
        <w:rPr>
          <w:rFonts w:ascii="Times New Roman" w:hAnsi="Times New Roman"/>
          <w:sz w:val="22"/>
          <w:szCs w:val="24"/>
          <w:lang w:val="en-US"/>
        </w:rPr>
      </w:pPr>
    </w:p>
    <w:p w14:paraId="51025054" w14:textId="77777777" w:rsidR="00E47B62" w:rsidRDefault="00E47B62" w:rsidP="001A321C">
      <w:pPr>
        <w:spacing w:line="360" w:lineRule="auto"/>
        <w:ind w:left="360"/>
        <w:rPr>
          <w:rFonts w:ascii="Times New Roman" w:hAnsi="Times New Roman"/>
          <w:sz w:val="22"/>
          <w:szCs w:val="24"/>
          <w:lang w:val="en-US"/>
        </w:rPr>
      </w:pPr>
    </w:p>
    <w:p w14:paraId="2F0A3389" w14:textId="77777777" w:rsidR="00524B99" w:rsidRDefault="00524B99" w:rsidP="001A321C">
      <w:pPr>
        <w:spacing w:line="360" w:lineRule="auto"/>
        <w:ind w:left="360"/>
        <w:rPr>
          <w:rFonts w:ascii="Times New Roman" w:hAnsi="Times New Roman"/>
          <w:sz w:val="22"/>
          <w:szCs w:val="24"/>
          <w:lang w:val="en-US"/>
        </w:rPr>
      </w:pPr>
    </w:p>
    <w:p w14:paraId="6A9085AA" w14:textId="77777777" w:rsidR="00524B99" w:rsidRDefault="00524B99" w:rsidP="001A321C">
      <w:pPr>
        <w:spacing w:line="360" w:lineRule="auto"/>
        <w:ind w:left="360"/>
        <w:rPr>
          <w:rFonts w:ascii="Times New Roman" w:hAnsi="Times New Roman"/>
          <w:sz w:val="22"/>
          <w:szCs w:val="24"/>
          <w:lang w:val="en-US"/>
        </w:rPr>
      </w:pPr>
    </w:p>
    <w:p w14:paraId="46A5B2B8" w14:textId="77777777" w:rsidR="00524B99" w:rsidRDefault="00524B99" w:rsidP="001A321C">
      <w:pPr>
        <w:spacing w:line="360" w:lineRule="auto"/>
        <w:ind w:left="360"/>
        <w:rPr>
          <w:rFonts w:ascii="Times New Roman" w:hAnsi="Times New Roman"/>
          <w:sz w:val="22"/>
          <w:szCs w:val="24"/>
          <w:lang w:val="en-US"/>
        </w:rPr>
      </w:pPr>
    </w:p>
    <w:p w14:paraId="15974FC6" w14:textId="77777777" w:rsidR="00524B99" w:rsidRDefault="00524B99" w:rsidP="001A321C">
      <w:pPr>
        <w:spacing w:line="360" w:lineRule="auto"/>
        <w:ind w:left="360"/>
        <w:rPr>
          <w:rFonts w:ascii="Times New Roman" w:hAnsi="Times New Roman"/>
          <w:sz w:val="22"/>
          <w:szCs w:val="24"/>
          <w:lang w:val="en-US"/>
        </w:rPr>
      </w:pPr>
    </w:p>
    <w:p w14:paraId="5CBB1CF6" w14:textId="77777777" w:rsidR="00524B99" w:rsidRDefault="00524B99" w:rsidP="001A321C">
      <w:pPr>
        <w:spacing w:line="360" w:lineRule="auto"/>
        <w:ind w:left="360"/>
        <w:rPr>
          <w:rFonts w:ascii="Times New Roman" w:hAnsi="Times New Roman"/>
          <w:sz w:val="22"/>
          <w:szCs w:val="24"/>
          <w:lang w:val="en-US"/>
        </w:rPr>
      </w:pPr>
    </w:p>
    <w:p w14:paraId="370AF596" w14:textId="77777777" w:rsidR="00524B99" w:rsidRDefault="00524B99" w:rsidP="001A321C">
      <w:pPr>
        <w:spacing w:line="360" w:lineRule="auto"/>
        <w:ind w:left="360"/>
        <w:rPr>
          <w:rFonts w:ascii="Times New Roman" w:hAnsi="Times New Roman"/>
          <w:sz w:val="22"/>
          <w:szCs w:val="24"/>
          <w:lang w:val="en-US"/>
        </w:rPr>
      </w:pPr>
    </w:p>
    <w:p w14:paraId="4DC01C9D" w14:textId="77777777" w:rsidR="00524B99" w:rsidRDefault="00524B99" w:rsidP="001A321C">
      <w:pPr>
        <w:spacing w:line="360" w:lineRule="auto"/>
        <w:ind w:left="360"/>
        <w:rPr>
          <w:rFonts w:ascii="Times New Roman" w:hAnsi="Times New Roman"/>
          <w:sz w:val="22"/>
          <w:szCs w:val="24"/>
          <w:lang w:val="en-US"/>
        </w:rPr>
      </w:pPr>
    </w:p>
    <w:p w14:paraId="2138A9C8" w14:textId="77777777" w:rsidR="00524B99" w:rsidRDefault="00524B99" w:rsidP="001A321C">
      <w:pPr>
        <w:spacing w:line="360" w:lineRule="auto"/>
        <w:ind w:left="360"/>
        <w:rPr>
          <w:rFonts w:ascii="Times New Roman" w:hAnsi="Times New Roman"/>
          <w:sz w:val="22"/>
          <w:szCs w:val="24"/>
          <w:lang w:val="en-US"/>
        </w:rPr>
      </w:pPr>
    </w:p>
    <w:p w14:paraId="558EFB25" w14:textId="66616AFF" w:rsidR="00524B99" w:rsidRDefault="00524B99" w:rsidP="00524B99">
      <w:pPr>
        <w:spacing w:line="360" w:lineRule="auto"/>
        <w:rPr>
          <w:rFonts w:ascii="Times New Roman" w:hAnsi="Times New Roman"/>
          <w:sz w:val="22"/>
          <w:szCs w:val="24"/>
          <w:lang w:val="en-US"/>
        </w:rPr>
      </w:pPr>
      <w:r>
        <w:rPr>
          <w:rFonts w:ascii="Times New Roman" w:hAnsi="Times New Roman"/>
          <w:sz w:val="22"/>
          <w:szCs w:val="24"/>
          <w:lang w:val="en-US"/>
        </w:rPr>
        <w:tab/>
        <w:t xml:space="preserve">The Implied Kurtosis Change follows the same </w:t>
      </w:r>
      <w:r w:rsidR="001E589D">
        <w:rPr>
          <w:rFonts w:ascii="Times New Roman" w:hAnsi="Times New Roman"/>
          <w:sz w:val="22"/>
          <w:szCs w:val="24"/>
          <w:lang w:val="en-US"/>
        </w:rPr>
        <w:t>algorithm</w:t>
      </w:r>
      <w:r>
        <w:rPr>
          <w:rFonts w:ascii="Times New Roman" w:hAnsi="Times New Roman"/>
          <w:sz w:val="22"/>
          <w:szCs w:val="24"/>
          <w:lang w:val="en-US"/>
        </w:rPr>
        <w:t xml:space="preserve"> as the Implied Skew Change (Feature #14)</w:t>
      </w:r>
      <w:r w:rsidR="001E589D">
        <w:rPr>
          <w:rFonts w:ascii="Times New Roman" w:hAnsi="Times New Roman"/>
          <w:sz w:val="22"/>
          <w:szCs w:val="24"/>
          <w:lang w:val="en-US"/>
        </w:rPr>
        <w:t xml:space="preserve">. </w:t>
      </w:r>
      <w:r w:rsidR="00FB5C70">
        <w:rPr>
          <w:rFonts w:ascii="Times New Roman" w:hAnsi="Times New Roman"/>
          <w:sz w:val="22"/>
          <w:szCs w:val="24"/>
          <w:lang w:val="en-US"/>
        </w:rPr>
        <w:t xml:space="preserve">Conrad, </w:t>
      </w:r>
      <w:r w:rsidR="00E40125">
        <w:rPr>
          <w:rFonts w:ascii="Times New Roman" w:hAnsi="Times New Roman"/>
          <w:sz w:val="22"/>
          <w:szCs w:val="24"/>
          <w:lang w:val="en-US"/>
        </w:rPr>
        <w:t>Dittmar &amp; Ghysels (</w:t>
      </w:r>
      <w:r w:rsidR="00343896">
        <w:rPr>
          <w:rFonts w:ascii="Times New Roman" w:hAnsi="Times New Roman"/>
          <w:sz w:val="22"/>
          <w:szCs w:val="24"/>
          <w:lang w:val="en-US"/>
        </w:rPr>
        <w:t>2013)</w:t>
      </w:r>
      <w:r w:rsidR="00D51D6C">
        <w:rPr>
          <w:rFonts w:ascii="Times New Roman" w:hAnsi="Times New Roman"/>
          <w:sz w:val="22"/>
          <w:szCs w:val="24"/>
          <w:lang w:val="en-US"/>
        </w:rPr>
        <w:t xml:space="preserve"> report that rise increases in the implied kurtosis of the option chain could signal higher tail risk for the subsequent earnings event. </w:t>
      </w:r>
      <w:r w:rsidR="007213F8">
        <w:rPr>
          <w:rFonts w:ascii="Times New Roman" w:hAnsi="Times New Roman"/>
          <w:sz w:val="22"/>
          <w:szCs w:val="24"/>
          <w:lang w:val="en-US"/>
        </w:rPr>
        <w:t>Again,</w:t>
      </w:r>
      <w:r w:rsidR="00D51D6C">
        <w:rPr>
          <w:rFonts w:ascii="Times New Roman" w:hAnsi="Times New Roman"/>
          <w:sz w:val="22"/>
          <w:szCs w:val="24"/>
          <w:lang w:val="en-US"/>
        </w:rPr>
        <w:t xml:space="preserve"> the difference between the values at t = -15 and t = -5 is used.</w:t>
      </w:r>
    </w:p>
    <w:p w14:paraId="666AB77B" w14:textId="77777777" w:rsidR="00EB4F53" w:rsidRDefault="00EB4F53" w:rsidP="00524B99">
      <w:pPr>
        <w:spacing w:line="360" w:lineRule="auto"/>
        <w:rPr>
          <w:rFonts w:ascii="Times New Roman" w:hAnsi="Times New Roman"/>
          <w:sz w:val="22"/>
          <w:szCs w:val="24"/>
          <w:lang w:val="en-US"/>
        </w:rPr>
      </w:pPr>
    </w:p>
    <w:p w14:paraId="566BD957" w14:textId="79BDA0B2" w:rsidR="00EB4F53" w:rsidRDefault="00EB4F53" w:rsidP="00EB4F53">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t>Log Market Capitalization</w:t>
      </w:r>
    </w:p>
    <w:p w14:paraId="62576366" w14:textId="6958337F" w:rsidR="003A240A" w:rsidRDefault="003A240A" w:rsidP="00343782">
      <w:pPr>
        <w:spacing w:line="360" w:lineRule="auto"/>
        <w:ind w:firstLine="360"/>
        <w:rPr>
          <w:rFonts w:ascii="Times New Roman" w:hAnsi="Times New Roman"/>
          <w:sz w:val="22"/>
          <w:szCs w:val="24"/>
          <w:lang w:val="en-US"/>
        </w:rPr>
      </w:pPr>
      <w:r>
        <w:rPr>
          <w:rFonts w:ascii="Times New Roman" w:hAnsi="Times New Roman"/>
          <w:sz w:val="22"/>
          <w:szCs w:val="24"/>
          <w:lang w:val="en-US"/>
        </w:rPr>
        <w:t>The use of the Log Market Capitalization follows the findings of Gao, Xing &amp; Zhang (2018) who document that buying Long Straddles and holding them over earnings announcements (the opposite of what this paper is doing) exhibit positive returns for small cap companies.</w:t>
      </w:r>
      <w:r w:rsidR="00AE3D54">
        <w:rPr>
          <w:rFonts w:ascii="Times New Roman" w:hAnsi="Times New Roman"/>
          <w:sz w:val="22"/>
          <w:szCs w:val="24"/>
          <w:lang w:val="en-US"/>
        </w:rPr>
        <w:t xml:space="preserve"> The authors suggest that due to</w:t>
      </w:r>
      <w:r w:rsidR="00F2072C">
        <w:rPr>
          <w:rFonts w:ascii="Times New Roman" w:hAnsi="Times New Roman"/>
          <w:sz w:val="22"/>
          <w:szCs w:val="24"/>
          <w:lang w:val="en-US"/>
        </w:rPr>
        <w:t xml:space="preserve"> the</w:t>
      </w:r>
      <w:r w:rsidR="00AE3D54">
        <w:rPr>
          <w:rFonts w:ascii="Times New Roman" w:hAnsi="Times New Roman"/>
          <w:sz w:val="22"/>
          <w:szCs w:val="24"/>
          <w:lang w:val="en-US"/>
        </w:rPr>
        <w:t xml:space="preserve"> conservativism</w:t>
      </w:r>
      <w:r w:rsidR="00F2072C">
        <w:rPr>
          <w:rFonts w:ascii="Times New Roman" w:hAnsi="Times New Roman"/>
          <w:sz w:val="22"/>
          <w:szCs w:val="24"/>
          <w:lang w:val="en-US"/>
        </w:rPr>
        <w:t xml:space="preserve"> bias of</w:t>
      </w:r>
      <w:r w:rsidR="00F30986">
        <w:rPr>
          <w:rFonts w:ascii="Times New Roman" w:hAnsi="Times New Roman"/>
          <w:sz w:val="22"/>
          <w:szCs w:val="24"/>
          <w:lang w:val="en-US"/>
        </w:rPr>
        <w:t xml:space="preserve"> investors,</w:t>
      </w:r>
      <w:r w:rsidR="00AE3D54">
        <w:rPr>
          <w:rFonts w:ascii="Times New Roman" w:hAnsi="Times New Roman"/>
          <w:sz w:val="22"/>
          <w:szCs w:val="24"/>
          <w:lang w:val="en-US"/>
        </w:rPr>
        <w:t xml:space="preserve"> option traders tend to underestimate the uncertainty for this subset of firms</w:t>
      </w:r>
      <w:r w:rsidR="00B21326">
        <w:rPr>
          <w:rFonts w:ascii="Times New Roman" w:hAnsi="Times New Roman"/>
          <w:sz w:val="22"/>
          <w:szCs w:val="24"/>
          <w:lang w:val="en-US"/>
        </w:rPr>
        <w:t>. C</w:t>
      </w:r>
      <w:r w:rsidR="00820334">
        <w:rPr>
          <w:rFonts w:ascii="Times New Roman" w:hAnsi="Times New Roman"/>
          <w:sz w:val="22"/>
          <w:szCs w:val="24"/>
          <w:lang w:val="en-US"/>
        </w:rPr>
        <w:t>onsequently</w:t>
      </w:r>
      <w:r w:rsidR="00AE3D54">
        <w:rPr>
          <w:rFonts w:ascii="Times New Roman" w:hAnsi="Times New Roman"/>
          <w:sz w:val="22"/>
          <w:szCs w:val="24"/>
          <w:lang w:val="en-US"/>
        </w:rPr>
        <w:t xml:space="preserve"> the IV crush is less</w:t>
      </w:r>
      <w:r w:rsidR="009B588C">
        <w:rPr>
          <w:rFonts w:ascii="Times New Roman" w:hAnsi="Times New Roman"/>
          <w:sz w:val="22"/>
          <w:szCs w:val="24"/>
          <w:lang w:val="en-US"/>
        </w:rPr>
        <w:t xml:space="preserve"> pronounced</w:t>
      </w:r>
      <w:r w:rsidR="00111A1E">
        <w:rPr>
          <w:rFonts w:ascii="Times New Roman" w:hAnsi="Times New Roman"/>
          <w:sz w:val="22"/>
          <w:szCs w:val="24"/>
          <w:lang w:val="en-US"/>
        </w:rPr>
        <w:t xml:space="preserve"> for small caps</w:t>
      </w:r>
      <w:r w:rsidR="009B588C">
        <w:rPr>
          <w:rFonts w:ascii="Times New Roman" w:hAnsi="Times New Roman"/>
          <w:sz w:val="22"/>
          <w:szCs w:val="24"/>
          <w:lang w:val="en-US"/>
        </w:rPr>
        <w:t>, which hurt</w:t>
      </w:r>
      <w:r w:rsidR="00436FDD">
        <w:rPr>
          <w:rFonts w:ascii="Times New Roman" w:hAnsi="Times New Roman"/>
          <w:sz w:val="22"/>
          <w:szCs w:val="24"/>
          <w:lang w:val="en-US"/>
        </w:rPr>
        <w:t>s</w:t>
      </w:r>
      <w:r w:rsidR="009B588C">
        <w:rPr>
          <w:rFonts w:ascii="Times New Roman" w:hAnsi="Times New Roman"/>
          <w:sz w:val="22"/>
          <w:szCs w:val="24"/>
          <w:lang w:val="en-US"/>
        </w:rPr>
        <w:t xml:space="preserve"> the profitability of</w:t>
      </w:r>
      <w:r w:rsidR="0011738E">
        <w:rPr>
          <w:rFonts w:ascii="Times New Roman" w:hAnsi="Times New Roman"/>
          <w:sz w:val="22"/>
          <w:szCs w:val="24"/>
          <w:lang w:val="en-US"/>
        </w:rPr>
        <w:t xml:space="preserve"> this paper’s strategy – selling ATM straddles over earnings. </w:t>
      </w:r>
      <w:r w:rsidR="00966217">
        <w:rPr>
          <w:rFonts w:ascii="Times New Roman" w:hAnsi="Times New Roman"/>
          <w:sz w:val="22"/>
          <w:szCs w:val="24"/>
          <w:lang w:val="en-US"/>
        </w:rPr>
        <w:t xml:space="preserve">The Log Market Cap is the natural logarithm of the product of the shares outstanding </w:t>
      </w:r>
      <w:r w:rsidR="00FD4B36">
        <w:rPr>
          <w:rFonts w:ascii="Times New Roman" w:hAnsi="Times New Roman"/>
          <w:sz w:val="22"/>
          <w:szCs w:val="24"/>
          <w:lang w:val="en-US"/>
        </w:rPr>
        <w:t>and closing price at t = 0.</w:t>
      </w:r>
    </w:p>
    <w:p w14:paraId="1AAED7B7" w14:textId="77777777" w:rsidR="000C4C19" w:rsidRDefault="000C4C19" w:rsidP="000C4C19">
      <w:pPr>
        <w:spacing w:line="360" w:lineRule="auto"/>
        <w:rPr>
          <w:rFonts w:ascii="Times New Roman" w:hAnsi="Times New Roman"/>
          <w:sz w:val="22"/>
          <w:szCs w:val="24"/>
          <w:lang w:val="en-US"/>
        </w:rPr>
      </w:pPr>
    </w:p>
    <w:p w14:paraId="5DF07FB8" w14:textId="0337F3E4" w:rsidR="000C4C19" w:rsidRDefault="00FE19CA" w:rsidP="000C4C19">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t>Implied Move</w:t>
      </w:r>
    </w:p>
    <w:p w14:paraId="3D30E5CF" w14:textId="22D3EF6B" w:rsidR="00B92FF6" w:rsidRDefault="00B92FF6" w:rsidP="00B92FF6">
      <w:pPr>
        <w:pStyle w:val="ListParagraph"/>
        <w:spacing w:line="360" w:lineRule="auto"/>
        <w:rPr>
          <w:rFonts w:ascii="Times New Roman" w:hAnsi="Times New Roman"/>
          <w:b/>
          <w:bCs/>
          <w:noProof/>
          <w:sz w:val="22"/>
          <w:szCs w:val="24"/>
          <w:lang w:val="en-US"/>
        </w:rPr>
      </w:pPr>
      <w:r>
        <w:rPr>
          <w:rFonts w:ascii="Times New Roman" w:hAnsi="Times New Roman"/>
          <w:b/>
          <w:bCs/>
          <w:noProof/>
          <w:sz w:val="22"/>
          <w:szCs w:val="24"/>
          <w:lang w:val="en-US"/>
        </w:rPr>
        <w:drawing>
          <wp:anchor distT="0" distB="0" distL="114300" distR="114300" simplePos="0" relativeHeight="251663360" behindDoc="1" locked="0" layoutInCell="1" allowOverlap="1" wp14:anchorId="77AB97CC" wp14:editId="2B282E22">
            <wp:simplePos x="0" y="0"/>
            <wp:positionH relativeFrom="column">
              <wp:posOffset>189865</wp:posOffset>
            </wp:positionH>
            <wp:positionV relativeFrom="paragraph">
              <wp:posOffset>217805</wp:posOffset>
            </wp:positionV>
            <wp:extent cx="2047619" cy="1133333"/>
            <wp:effectExtent l="0" t="0" r="0" b="0"/>
            <wp:wrapNone/>
            <wp:docPr id="7694667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66708" name="Picture 769466708"/>
                    <pic:cNvPicPr/>
                  </pic:nvPicPr>
                  <pic:blipFill>
                    <a:blip r:embed="rId20"/>
                    <a:stretch>
                      <a:fillRect/>
                    </a:stretch>
                  </pic:blipFill>
                  <pic:spPr>
                    <a:xfrm>
                      <a:off x="0" y="0"/>
                      <a:ext cx="2047619" cy="1133333"/>
                    </a:xfrm>
                    <a:prstGeom prst="rect">
                      <a:avLst/>
                    </a:prstGeom>
                  </pic:spPr>
                </pic:pic>
              </a:graphicData>
            </a:graphic>
          </wp:anchor>
        </w:drawing>
      </w:r>
    </w:p>
    <w:p w14:paraId="2AA3AA08" w14:textId="4BFF790E" w:rsidR="00B92FF6" w:rsidRDefault="00B92FF6" w:rsidP="00B92FF6">
      <w:pPr>
        <w:pStyle w:val="ListParagraph"/>
        <w:spacing w:line="360" w:lineRule="auto"/>
        <w:rPr>
          <w:rFonts w:ascii="Times New Roman" w:hAnsi="Times New Roman"/>
          <w:b/>
          <w:bCs/>
          <w:noProof/>
          <w:sz w:val="22"/>
          <w:szCs w:val="24"/>
          <w:lang w:val="en-US"/>
        </w:rPr>
      </w:pPr>
    </w:p>
    <w:p w14:paraId="4D41A374" w14:textId="77777777" w:rsidR="00B92FF6" w:rsidRDefault="00B92FF6" w:rsidP="00B92FF6">
      <w:pPr>
        <w:pStyle w:val="ListParagraph"/>
        <w:spacing w:line="360" w:lineRule="auto"/>
        <w:rPr>
          <w:rFonts w:ascii="Times New Roman" w:hAnsi="Times New Roman"/>
          <w:b/>
          <w:bCs/>
          <w:noProof/>
          <w:sz w:val="22"/>
          <w:szCs w:val="24"/>
          <w:lang w:val="en-US"/>
        </w:rPr>
      </w:pPr>
    </w:p>
    <w:p w14:paraId="2B4BCA51" w14:textId="77777777" w:rsidR="00B92FF6" w:rsidRPr="000C4C19" w:rsidRDefault="00B92FF6" w:rsidP="00B92FF6">
      <w:pPr>
        <w:pStyle w:val="ListParagraph"/>
        <w:spacing w:line="360" w:lineRule="auto"/>
        <w:rPr>
          <w:rFonts w:ascii="Times New Roman" w:hAnsi="Times New Roman"/>
          <w:b/>
          <w:bCs/>
          <w:sz w:val="22"/>
          <w:szCs w:val="24"/>
          <w:lang w:val="en-US"/>
        </w:rPr>
      </w:pPr>
    </w:p>
    <w:p w14:paraId="34FCC505" w14:textId="77777777" w:rsidR="00524B99" w:rsidRDefault="00524B99" w:rsidP="001A321C">
      <w:pPr>
        <w:spacing w:line="360" w:lineRule="auto"/>
        <w:ind w:left="360"/>
        <w:rPr>
          <w:rFonts w:ascii="Times New Roman" w:hAnsi="Times New Roman"/>
          <w:sz w:val="22"/>
          <w:szCs w:val="24"/>
          <w:lang w:val="en-US"/>
        </w:rPr>
      </w:pPr>
    </w:p>
    <w:p w14:paraId="51D7F6C2" w14:textId="77777777" w:rsidR="00524B99" w:rsidRDefault="00524B99" w:rsidP="001A321C">
      <w:pPr>
        <w:spacing w:line="360" w:lineRule="auto"/>
        <w:ind w:left="360"/>
        <w:rPr>
          <w:rFonts w:ascii="Times New Roman" w:hAnsi="Times New Roman"/>
          <w:sz w:val="22"/>
          <w:szCs w:val="24"/>
          <w:lang w:val="en-US"/>
        </w:rPr>
      </w:pPr>
    </w:p>
    <w:p w14:paraId="5EC3FC05" w14:textId="65B0E646" w:rsidR="00B92FF6" w:rsidRDefault="00B92FF6" w:rsidP="0035232D">
      <w:pPr>
        <w:spacing w:line="360" w:lineRule="auto"/>
        <w:ind w:firstLine="708"/>
        <w:rPr>
          <w:rFonts w:ascii="Times New Roman" w:hAnsi="Times New Roman"/>
          <w:sz w:val="22"/>
          <w:szCs w:val="24"/>
          <w:lang w:val="en-US"/>
        </w:rPr>
      </w:pPr>
      <w:r>
        <w:rPr>
          <w:rFonts w:ascii="Times New Roman" w:hAnsi="Times New Roman"/>
          <w:sz w:val="22"/>
          <w:szCs w:val="24"/>
          <w:lang w:val="en-US"/>
        </w:rPr>
        <w:lastRenderedPageBreak/>
        <w:t xml:space="preserve">This is one of the most important features for this paper, mainly the implied move that the option market </w:t>
      </w:r>
      <w:r w:rsidR="00C10D42">
        <w:rPr>
          <w:rFonts w:ascii="Times New Roman" w:hAnsi="Times New Roman"/>
          <w:sz w:val="22"/>
          <w:szCs w:val="24"/>
          <w:lang w:val="en-US"/>
        </w:rPr>
        <w:t>attributes</w:t>
      </w:r>
      <w:r w:rsidR="002418F6">
        <w:rPr>
          <w:rFonts w:ascii="Times New Roman" w:hAnsi="Times New Roman"/>
          <w:sz w:val="22"/>
          <w:szCs w:val="24"/>
          <w:lang w:val="en-US"/>
        </w:rPr>
        <w:t xml:space="preserve"> ex-ante to the earnings move. </w:t>
      </w:r>
      <w:r w:rsidR="005E38F4">
        <w:rPr>
          <w:rFonts w:ascii="Times New Roman" w:hAnsi="Times New Roman"/>
          <w:sz w:val="22"/>
          <w:szCs w:val="24"/>
          <w:lang w:val="en-US"/>
        </w:rPr>
        <w:t xml:space="preserve">To calculate it I take the nearest 2 option expirations </w:t>
      </w:r>
      <w:r w:rsidR="00F456E6">
        <w:rPr>
          <w:rFonts w:ascii="Times New Roman" w:hAnsi="Times New Roman"/>
          <w:sz w:val="22"/>
          <w:szCs w:val="24"/>
          <w:lang w:val="en-US"/>
        </w:rPr>
        <w:t>after t = 0 and use the Mid Implied Volatility for the ATM strikes</w:t>
      </w:r>
      <w:r w:rsidR="008F546A">
        <w:rPr>
          <w:rFonts w:ascii="Times New Roman" w:hAnsi="Times New Roman"/>
          <w:sz w:val="22"/>
          <w:szCs w:val="24"/>
          <w:lang w:val="en-US"/>
        </w:rPr>
        <w:t xml:space="preserve"> (ATM is the strike closest to the current stock price)</w:t>
      </w:r>
      <w:r w:rsidR="00C20B2D">
        <w:rPr>
          <w:rFonts w:ascii="Times New Roman" w:hAnsi="Times New Roman"/>
          <w:sz w:val="22"/>
          <w:szCs w:val="24"/>
          <w:lang w:val="en-US"/>
        </w:rPr>
        <w:t xml:space="preserve">. The feature is calculating by solving a linear system, which tries to </w:t>
      </w:r>
      <w:r w:rsidR="00EC3C2D">
        <w:rPr>
          <w:rFonts w:ascii="Times New Roman" w:hAnsi="Times New Roman"/>
          <w:sz w:val="22"/>
          <w:szCs w:val="24"/>
          <w:lang w:val="en-US"/>
        </w:rPr>
        <w:t xml:space="preserve">isolate </w:t>
      </w:r>
      <w:r w:rsidR="00C07C70">
        <w:rPr>
          <w:rFonts w:ascii="Times New Roman" w:hAnsi="Times New Roman"/>
          <w:sz w:val="22"/>
          <w:szCs w:val="24"/>
          <w:lang w:val="en-US"/>
        </w:rPr>
        <w:t xml:space="preserve">the </w:t>
      </w:r>
      <w:r w:rsidR="003877A9">
        <w:rPr>
          <w:rFonts w:ascii="Times New Roman" w:hAnsi="Times New Roman"/>
          <w:sz w:val="22"/>
          <w:szCs w:val="24"/>
          <w:lang w:val="en-US"/>
        </w:rPr>
        <w:t>event variance for the stock’s regular variance.</w:t>
      </w:r>
      <w:r w:rsidR="00405493">
        <w:rPr>
          <w:rFonts w:ascii="Times New Roman" w:hAnsi="Times New Roman"/>
          <w:sz w:val="22"/>
          <w:szCs w:val="24"/>
          <w:lang w:val="en-US"/>
        </w:rPr>
        <w:t xml:space="preserve"> This measure is widely used in the trading industry (Bloomberg L.P, 2024) as well as </w:t>
      </w:r>
      <w:r w:rsidR="00512DBD">
        <w:rPr>
          <w:rFonts w:ascii="Times New Roman" w:hAnsi="Times New Roman"/>
          <w:sz w:val="22"/>
          <w:szCs w:val="24"/>
          <w:lang w:val="en-US"/>
        </w:rPr>
        <w:t>by Durbinsky (2018). T</w:t>
      </w:r>
      <w:r w:rsidR="00854D24">
        <w:rPr>
          <w:rFonts w:ascii="Times New Roman" w:hAnsi="Times New Roman"/>
          <w:sz w:val="22"/>
          <w:szCs w:val="24"/>
          <w:lang w:val="en-US"/>
        </w:rPr>
        <w:t>he implied move is calculated at t = 0</w:t>
      </w:r>
      <w:r w:rsidR="00C715D9">
        <w:rPr>
          <w:rFonts w:ascii="Times New Roman" w:hAnsi="Times New Roman"/>
          <w:sz w:val="22"/>
          <w:szCs w:val="24"/>
          <w:lang w:val="en-US"/>
        </w:rPr>
        <w:t>.</w:t>
      </w:r>
    </w:p>
    <w:p w14:paraId="280B0987" w14:textId="77777777" w:rsidR="005E3DB4" w:rsidRDefault="005E3DB4" w:rsidP="005E3DB4">
      <w:pPr>
        <w:spacing w:line="360" w:lineRule="auto"/>
        <w:rPr>
          <w:rFonts w:ascii="Times New Roman" w:hAnsi="Times New Roman"/>
          <w:sz w:val="22"/>
          <w:szCs w:val="24"/>
          <w:lang w:val="en-US"/>
        </w:rPr>
      </w:pPr>
    </w:p>
    <w:p w14:paraId="2710831C" w14:textId="3F293680" w:rsidR="005E3DB4" w:rsidRDefault="005E3DB4" w:rsidP="005E3DB4">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t>Implied Volatility</w:t>
      </w:r>
    </w:p>
    <w:p w14:paraId="035A3DF9" w14:textId="765E6937" w:rsidR="005E3DB4" w:rsidRDefault="006D4DAF" w:rsidP="006D4DAF">
      <w:pPr>
        <w:spacing w:line="360" w:lineRule="auto"/>
        <w:ind w:firstLine="360"/>
        <w:rPr>
          <w:rFonts w:ascii="Times New Roman" w:hAnsi="Times New Roman"/>
          <w:sz w:val="22"/>
          <w:szCs w:val="24"/>
          <w:lang w:val="en-US"/>
        </w:rPr>
      </w:pPr>
      <w:r>
        <w:rPr>
          <w:rFonts w:ascii="Times New Roman" w:hAnsi="Times New Roman"/>
          <w:sz w:val="22"/>
          <w:szCs w:val="24"/>
          <w:lang w:val="en-US"/>
        </w:rPr>
        <w:t>This is the average of the</w:t>
      </w:r>
      <w:r w:rsidR="00C10163">
        <w:rPr>
          <w:rFonts w:ascii="Times New Roman" w:hAnsi="Times New Roman"/>
          <w:sz w:val="22"/>
          <w:szCs w:val="24"/>
          <w:lang w:val="en-US"/>
        </w:rPr>
        <w:t xml:space="preserve"> Mid IV of the</w:t>
      </w:r>
      <w:r>
        <w:rPr>
          <w:rFonts w:ascii="Times New Roman" w:hAnsi="Times New Roman"/>
          <w:sz w:val="22"/>
          <w:szCs w:val="24"/>
          <w:lang w:val="en-US"/>
        </w:rPr>
        <w:t xml:space="preserve"> Put and Call </w:t>
      </w:r>
      <w:r w:rsidR="001168E8">
        <w:rPr>
          <w:rFonts w:ascii="Times New Roman" w:hAnsi="Times New Roman"/>
          <w:sz w:val="22"/>
          <w:szCs w:val="24"/>
          <w:lang w:val="en-US"/>
        </w:rPr>
        <w:t xml:space="preserve">for the </w:t>
      </w:r>
      <w:r>
        <w:rPr>
          <w:rFonts w:ascii="Times New Roman" w:hAnsi="Times New Roman"/>
          <w:sz w:val="22"/>
          <w:szCs w:val="24"/>
          <w:lang w:val="en-US"/>
        </w:rPr>
        <w:t xml:space="preserve">ATM </w:t>
      </w:r>
      <w:r w:rsidR="001168E8">
        <w:rPr>
          <w:rFonts w:ascii="Times New Roman" w:hAnsi="Times New Roman"/>
          <w:sz w:val="22"/>
          <w:szCs w:val="24"/>
          <w:lang w:val="en-US"/>
        </w:rPr>
        <w:t>strike</w:t>
      </w:r>
      <w:r>
        <w:rPr>
          <w:rFonts w:ascii="Times New Roman" w:hAnsi="Times New Roman"/>
          <w:sz w:val="22"/>
          <w:szCs w:val="24"/>
          <w:lang w:val="en-US"/>
        </w:rPr>
        <w:t xml:space="preserve"> at t = 0 for the nearest expiration after earnings.</w:t>
      </w:r>
      <w:r w:rsidR="007624D1">
        <w:rPr>
          <w:rFonts w:ascii="Times New Roman" w:hAnsi="Times New Roman"/>
          <w:sz w:val="22"/>
          <w:szCs w:val="24"/>
          <w:lang w:val="en-US"/>
        </w:rPr>
        <w:t xml:space="preserve"> ATM is defined as the strike price closest to the current stock price</w:t>
      </w:r>
      <w:r w:rsidR="001A154B">
        <w:rPr>
          <w:rFonts w:ascii="Times New Roman" w:hAnsi="Times New Roman"/>
          <w:sz w:val="22"/>
          <w:szCs w:val="24"/>
          <w:lang w:val="en-US"/>
        </w:rPr>
        <w:t>. The value of the implied volatility at t = 0</w:t>
      </w:r>
      <w:r w:rsidR="00297472">
        <w:rPr>
          <w:rFonts w:ascii="Times New Roman" w:hAnsi="Times New Roman"/>
          <w:sz w:val="22"/>
          <w:szCs w:val="24"/>
          <w:lang w:val="en-US"/>
        </w:rPr>
        <w:t xml:space="preserve"> is used as a feature</w:t>
      </w:r>
      <w:r w:rsidR="00C10163">
        <w:rPr>
          <w:rFonts w:ascii="Times New Roman" w:hAnsi="Times New Roman"/>
          <w:sz w:val="22"/>
          <w:szCs w:val="24"/>
          <w:lang w:val="en-US"/>
        </w:rPr>
        <w:t>.</w:t>
      </w:r>
    </w:p>
    <w:p w14:paraId="3CA60AA1" w14:textId="77777777" w:rsidR="005D30EF" w:rsidRDefault="005D30EF" w:rsidP="006D4DAF">
      <w:pPr>
        <w:spacing w:line="360" w:lineRule="auto"/>
        <w:ind w:firstLine="360"/>
        <w:rPr>
          <w:rFonts w:ascii="Times New Roman" w:hAnsi="Times New Roman"/>
          <w:sz w:val="22"/>
          <w:szCs w:val="24"/>
          <w:lang w:val="en-US"/>
        </w:rPr>
      </w:pPr>
    </w:p>
    <w:p w14:paraId="1DAC1C77" w14:textId="4D99AF02" w:rsidR="005D30EF" w:rsidRDefault="006C062F" w:rsidP="006C062F">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t>IV Slope</w:t>
      </w:r>
    </w:p>
    <w:p w14:paraId="58373325" w14:textId="6CABB94A" w:rsidR="001A6040" w:rsidRPr="001A6040" w:rsidRDefault="001A6040" w:rsidP="001A6040">
      <w:pPr>
        <w:spacing w:line="360" w:lineRule="auto"/>
        <w:ind w:left="360"/>
        <w:rPr>
          <w:rFonts w:ascii="Times New Roman" w:hAnsi="Times New Roman"/>
          <w:b/>
          <w:bCs/>
          <w:sz w:val="22"/>
          <w:szCs w:val="24"/>
          <w:lang w:val="en-US"/>
        </w:rPr>
      </w:pPr>
      <w:r>
        <w:rPr>
          <w:rFonts w:ascii="Times New Roman" w:hAnsi="Times New Roman"/>
          <w:b/>
          <w:bCs/>
          <w:noProof/>
          <w:sz w:val="22"/>
          <w:szCs w:val="24"/>
          <w:lang w:val="en-US"/>
        </w:rPr>
        <w:drawing>
          <wp:inline distT="0" distB="0" distL="0" distR="0" wp14:anchorId="12F03DC7" wp14:editId="0EDDC478">
            <wp:extent cx="1676190" cy="247619"/>
            <wp:effectExtent l="0" t="0" r="635" b="635"/>
            <wp:docPr id="16081422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42287" name="Picture 1608142287"/>
                    <pic:cNvPicPr/>
                  </pic:nvPicPr>
                  <pic:blipFill>
                    <a:blip r:embed="rId21"/>
                    <a:stretch>
                      <a:fillRect/>
                    </a:stretch>
                  </pic:blipFill>
                  <pic:spPr>
                    <a:xfrm>
                      <a:off x="0" y="0"/>
                      <a:ext cx="1676190" cy="247619"/>
                    </a:xfrm>
                    <a:prstGeom prst="rect">
                      <a:avLst/>
                    </a:prstGeom>
                  </pic:spPr>
                </pic:pic>
              </a:graphicData>
            </a:graphic>
          </wp:inline>
        </w:drawing>
      </w:r>
    </w:p>
    <w:p w14:paraId="42E4C858" w14:textId="1ED47B87" w:rsidR="00B92FF6" w:rsidRDefault="001A6040" w:rsidP="00984952">
      <w:pPr>
        <w:spacing w:line="360" w:lineRule="auto"/>
        <w:ind w:firstLine="360"/>
        <w:rPr>
          <w:rFonts w:ascii="Times New Roman" w:hAnsi="Times New Roman"/>
          <w:sz w:val="22"/>
          <w:szCs w:val="24"/>
          <w:lang w:val="en-US"/>
        </w:rPr>
      </w:pPr>
      <w:r>
        <w:rPr>
          <w:rFonts w:ascii="Times New Roman" w:hAnsi="Times New Roman"/>
          <w:sz w:val="22"/>
          <w:szCs w:val="24"/>
          <w:lang w:val="en-US"/>
        </w:rPr>
        <w:t>This is the time-weighted difference between the Implied Volatility</w:t>
      </w:r>
      <w:r w:rsidR="007927C3">
        <w:rPr>
          <w:rFonts w:ascii="Times New Roman" w:hAnsi="Times New Roman"/>
          <w:sz w:val="22"/>
          <w:szCs w:val="24"/>
          <w:lang w:val="en-US"/>
        </w:rPr>
        <w:t xml:space="preserve"> of the </w:t>
      </w:r>
      <w:r w:rsidR="007C5896">
        <w:rPr>
          <w:rFonts w:ascii="Times New Roman" w:hAnsi="Times New Roman"/>
          <w:sz w:val="22"/>
          <w:szCs w:val="24"/>
          <w:lang w:val="en-US"/>
        </w:rPr>
        <w:t xml:space="preserve">2 nearest expirations </w:t>
      </w:r>
      <w:r w:rsidR="005A1E40">
        <w:rPr>
          <w:rFonts w:ascii="Times New Roman" w:hAnsi="Times New Roman"/>
          <w:sz w:val="22"/>
          <w:szCs w:val="24"/>
          <w:lang w:val="en-US"/>
        </w:rPr>
        <w:t>after the earnings event</w:t>
      </w:r>
      <w:r w:rsidR="00984952">
        <w:rPr>
          <w:rFonts w:ascii="Times New Roman" w:hAnsi="Times New Roman"/>
          <w:sz w:val="22"/>
          <w:szCs w:val="24"/>
          <w:lang w:val="en-US"/>
        </w:rPr>
        <w:t>.</w:t>
      </w:r>
      <w:r w:rsidR="00F654AB">
        <w:rPr>
          <w:rFonts w:ascii="Times New Roman" w:hAnsi="Times New Roman"/>
          <w:sz w:val="22"/>
          <w:szCs w:val="24"/>
          <w:lang w:val="en-US"/>
        </w:rPr>
        <w:t xml:space="preserve"> The implied volatilities are taken as the average of the IVs of the Mid prices of the ATM Calls and Puts</w:t>
      </w:r>
      <w:r w:rsidR="00CB0E07">
        <w:rPr>
          <w:rFonts w:ascii="Times New Roman" w:hAnsi="Times New Roman"/>
          <w:sz w:val="22"/>
          <w:szCs w:val="24"/>
          <w:lang w:val="en-US"/>
        </w:rPr>
        <w:t xml:space="preserve"> for both the front and back month expirations.</w:t>
      </w:r>
      <w:r w:rsidR="0058087D">
        <w:rPr>
          <w:rFonts w:ascii="Times New Roman" w:hAnsi="Times New Roman"/>
          <w:sz w:val="22"/>
          <w:szCs w:val="24"/>
          <w:lang w:val="en-US"/>
        </w:rPr>
        <w:t xml:space="preserve"> </w:t>
      </w:r>
      <w:r w:rsidR="00D41ABD">
        <w:rPr>
          <w:rFonts w:ascii="Times New Roman" w:hAnsi="Times New Roman"/>
          <w:sz w:val="22"/>
          <w:szCs w:val="24"/>
          <w:lang w:val="en-US"/>
        </w:rPr>
        <w:t>The value at t = 0 is used</w:t>
      </w:r>
      <w:r w:rsidR="00EF5CE2">
        <w:rPr>
          <w:rFonts w:ascii="Times New Roman" w:hAnsi="Times New Roman"/>
          <w:sz w:val="22"/>
          <w:szCs w:val="24"/>
          <w:lang w:val="en-US"/>
        </w:rPr>
        <w:t>.</w:t>
      </w:r>
    </w:p>
    <w:p w14:paraId="176EC84A" w14:textId="77777777" w:rsidR="00EF5CE2" w:rsidRDefault="00EF5CE2" w:rsidP="00EF5CE2">
      <w:pPr>
        <w:spacing w:line="360" w:lineRule="auto"/>
        <w:rPr>
          <w:rFonts w:ascii="Times New Roman" w:hAnsi="Times New Roman"/>
          <w:sz w:val="22"/>
          <w:szCs w:val="24"/>
          <w:lang w:val="en-US"/>
        </w:rPr>
      </w:pPr>
    </w:p>
    <w:p w14:paraId="63525A19" w14:textId="30A262F3" w:rsidR="00EF5CE2" w:rsidRDefault="001A0586" w:rsidP="00EF5CE2">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t>VIX</w:t>
      </w:r>
      <w:r w:rsidR="00EF5CE2" w:rsidRPr="00EF5CE2">
        <w:rPr>
          <w:rFonts w:ascii="Times New Roman" w:hAnsi="Times New Roman"/>
          <w:b/>
          <w:bCs/>
          <w:sz w:val="22"/>
          <w:szCs w:val="24"/>
          <w:lang w:val="en-US"/>
        </w:rPr>
        <w:tab/>
      </w:r>
    </w:p>
    <w:p w14:paraId="35C7B3BA" w14:textId="6CF24511" w:rsidR="00124AC5" w:rsidRDefault="00124AC5" w:rsidP="00F03652">
      <w:pPr>
        <w:spacing w:line="360" w:lineRule="auto"/>
        <w:ind w:firstLine="360"/>
        <w:rPr>
          <w:rFonts w:ascii="Times New Roman" w:hAnsi="Times New Roman"/>
          <w:sz w:val="22"/>
          <w:szCs w:val="24"/>
          <w:lang w:val="en-US"/>
        </w:rPr>
      </w:pPr>
      <w:r>
        <w:rPr>
          <w:rFonts w:ascii="Times New Roman" w:hAnsi="Times New Roman"/>
          <w:sz w:val="22"/>
          <w:szCs w:val="24"/>
          <w:lang w:val="en-US"/>
        </w:rPr>
        <w:t xml:space="preserve">The value of the VIX index at t = 0. </w:t>
      </w:r>
      <w:r w:rsidR="00066336">
        <w:rPr>
          <w:rFonts w:ascii="Times New Roman" w:hAnsi="Times New Roman"/>
          <w:sz w:val="22"/>
          <w:szCs w:val="24"/>
          <w:lang w:val="en-US"/>
        </w:rPr>
        <w:t>The use of this feature is motivated by Li &amp; Zhao (2009)</w:t>
      </w:r>
      <w:r w:rsidR="00C65772">
        <w:rPr>
          <w:rFonts w:ascii="Times New Roman" w:hAnsi="Times New Roman"/>
          <w:sz w:val="22"/>
          <w:szCs w:val="24"/>
          <w:lang w:val="en-US"/>
        </w:rPr>
        <w:t xml:space="preserve"> who report that stock exhibit larger abnormal returns around earnings </w:t>
      </w:r>
      <w:r w:rsidR="001C346F">
        <w:rPr>
          <w:rFonts w:ascii="Times New Roman" w:hAnsi="Times New Roman"/>
          <w:sz w:val="22"/>
          <w:szCs w:val="24"/>
          <w:lang w:val="en-US"/>
        </w:rPr>
        <w:t>during periods of high VIX.</w:t>
      </w:r>
    </w:p>
    <w:p w14:paraId="254CFC6C" w14:textId="65FFDC20" w:rsidR="00561866" w:rsidRDefault="00561866" w:rsidP="00561866">
      <w:pPr>
        <w:spacing w:line="360" w:lineRule="auto"/>
        <w:rPr>
          <w:rFonts w:ascii="Times New Roman" w:hAnsi="Times New Roman"/>
          <w:sz w:val="22"/>
          <w:szCs w:val="24"/>
          <w:lang w:val="en-US"/>
        </w:rPr>
      </w:pPr>
    </w:p>
    <w:p w14:paraId="3293E305" w14:textId="4196BA33" w:rsidR="00561866" w:rsidRDefault="00194B44" w:rsidP="00194B44">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t>Earning Standard Deviation (8)</w:t>
      </w:r>
    </w:p>
    <w:p w14:paraId="06D9CF9F" w14:textId="05F5ACCF" w:rsidR="00194B44" w:rsidRDefault="00216D78" w:rsidP="008611CD">
      <w:pPr>
        <w:spacing w:line="360" w:lineRule="auto"/>
        <w:ind w:firstLine="360"/>
        <w:rPr>
          <w:rFonts w:ascii="Times New Roman" w:hAnsi="Times New Roman"/>
          <w:sz w:val="22"/>
          <w:szCs w:val="24"/>
          <w:lang w:val="en-US"/>
        </w:rPr>
      </w:pPr>
      <w:r>
        <w:rPr>
          <w:rFonts w:ascii="Times New Roman" w:hAnsi="Times New Roman"/>
          <w:sz w:val="22"/>
          <w:szCs w:val="24"/>
          <w:lang w:val="en-US"/>
        </w:rPr>
        <w:t>The standard deviation of the</w:t>
      </w:r>
      <w:r w:rsidR="0016346B">
        <w:rPr>
          <w:rFonts w:ascii="Times New Roman" w:hAnsi="Times New Roman"/>
          <w:sz w:val="22"/>
          <w:szCs w:val="24"/>
          <w:lang w:val="en-US"/>
        </w:rPr>
        <w:t xml:space="preserve"> absolute returns from close to </w:t>
      </w:r>
      <w:r w:rsidR="00CF6B3E">
        <w:rPr>
          <w:rFonts w:ascii="Times New Roman" w:hAnsi="Times New Roman"/>
          <w:sz w:val="22"/>
          <w:szCs w:val="24"/>
          <w:lang w:val="en-US"/>
        </w:rPr>
        <w:t>close from</w:t>
      </w:r>
      <w:r w:rsidR="007A40C8">
        <w:rPr>
          <w:rFonts w:ascii="Times New Roman" w:hAnsi="Times New Roman"/>
          <w:sz w:val="22"/>
          <w:szCs w:val="24"/>
          <w:lang w:val="en-US"/>
        </w:rPr>
        <w:t xml:space="preserve"> t = 0 to t = 1 of the </w:t>
      </w:r>
      <w:r>
        <w:rPr>
          <w:rFonts w:ascii="Times New Roman" w:hAnsi="Times New Roman"/>
          <w:sz w:val="22"/>
          <w:szCs w:val="24"/>
          <w:lang w:val="en-US"/>
        </w:rPr>
        <w:t>previous 8 earnings</w:t>
      </w:r>
      <w:r w:rsidR="007A40C8">
        <w:rPr>
          <w:rFonts w:ascii="Times New Roman" w:hAnsi="Times New Roman"/>
          <w:sz w:val="22"/>
          <w:szCs w:val="24"/>
          <w:lang w:val="en-US"/>
        </w:rPr>
        <w:t xml:space="preserve"> events for a given company. </w:t>
      </w:r>
      <w:r w:rsidR="00526231">
        <w:rPr>
          <w:rFonts w:ascii="Times New Roman" w:hAnsi="Times New Roman"/>
          <w:sz w:val="22"/>
          <w:szCs w:val="24"/>
          <w:lang w:val="en-US"/>
        </w:rPr>
        <w:t>If less th</w:t>
      </w:r>
      <w:r w:rsidR="002773D5">
        <w:rPr>
          <w:rFonts w:ascii="Times New Roman" w:hAnsi="Times New Roman"/>
          <w:sz w:val="22"/>
          <w:szCs w:val="24"/>
          <w:lang w:val="en-US"/>
        </w:rPr>
        <w:t>a</w:t>
      </w:r>
      <w:r w:rsidR="00526231">
        <w:rPr>
          <w:rFonts w:ascii="Times New Roman" w:hAnsi="Times New Roman"/>
          <w:sz w:val="22"/>
          <w:szCs w:val="24"/>
          <w:lang w:val="en-US"/>
        </w:rPr>
        <w:t xml:space="preserve">n </w:t>
      </w:r>
      <w:r w:rsidR="002773D5">
        <w:rPr>
          <w:rFonts w:ascii="Times New Roman" w:hAnsi="Times New Roman"/>
          <w:sz w:val="22"/>
          <w:szCs w:val="24"/>
          <w:lang w:val="en-US"/>
        </w:rPr>
        <w:t xml:space="preserve">8 earnings events </w:t>
      </w:r>
      <w:r w:rsidR="00476FE5">
        <w:rPr>
          <w:rFonts w:ascii="Times New Roman" w:hAnsi="Times New Roman"/>
          <w:sz w:val="22"/>
          <w:szCs w:val="24"/>
          <w:lang w:val="en-US"/>
        </w:rPr>
        <w:t>are available</w:t>
      </w:r>
      <w:r w:rsidR="00D6455B">
        <w:rPr>
          <w:rFonts w:ascii="Times New Roman" w:hAnsi="Times New Roman"/>
          <w:sz w:val="22"/>
          <w:szCs w:val="24"/>
          <w:lang w:val="en-US"/>
        </w:rPr>
        <w:t xml:space="preserve"> (the company went public recently) I take the standard deviation </w:t>
      </w:r>
      <w:r w:rsidR="00881A4A">
        <w:rPr>
          <w:rFonts w:ascii="Times New Roman" w:hAnsi="Times New Roman"/>
          <w:sz w:val="22"/>
          <w:szCs w:val="24"/>
          <w:lang w:val="en-US"/>
        </w:rPr>
        <w:t xml:space="preserve">of the </w:t>
      </w:r>
      <w:r w:rsidR="006439C3">
        <w:rPr>
          <w:rFonts w:ascii="Times New Roman" w:hAnsi="Times New Roman"/>
          <w:sz w:val="22"/>
          <w:szCs w:val="24"/>
          <w:lang w:val="en-US"/>
        </w:rPr>
        <w:t xml:space="preserve">earnings up to the present point. </w:t>
      </w:r>
      <w:r w:rsidR="008604F7">
        <w:rPr>
          <w:rFonts w:ascii="Times New Roman" w:hAnsi="Times New Roman"/>
          <w:sz w:val="22"/>
          <w:szCs w:val="24"/>
          <w:lang w:val="en-US"/>
        </w:rPr>
        <w:t xml:space="preserve">The rationale for this feature is that if the </w:t>
      </w:r>
      <w:r w:rsidR="003545D2">
        <w:rPr>
          <w:rFonts w:ascii="Times New Roman" w:hAnsi="Times New Roman"/>
          <w:sz w:val="22"/>
          <w:szCs w:val="24"/>
          <w:lang w:val="en-US"/>
        </w:rPr>
        <w:t>magnitude of the realized earnings moves varies a lot, this makes selling straddles rather risky, so such an explanatory variable should be able to capture this vector of uncertainty.</w:t>
      </w:r>
    </w:p>
    <w:p w14:paraId="331E15E0" w14:textId="5EAEF149" w:rsidR="003545D2" w:rsidRDefault="003545D2" w:rsidP="003545D2">
      <w:pPr>
        <w:spacing w:line="360" w:lineRule="auto"/>
        <w:rPr>
          <w:rFonts w:ascii="Times New Roman" w:hAnsi="Times New Roman"/>
          <w:sz w:val="22"/>
          <w:szCs w:val="24"/>
          <w:lang w:val="en-US"/>
        </w:rPr>
      </w:pPr>
    </w:p>
    <w:p w14:paraId="4A7045AB" w14:textId="2CEE52BC" w:rsidR="003545D2" w:rsidRDefault="003545D2" w:rsidP="003545D2">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t>Absolute Realized Move (1)</w:t>
      </w:r>
    </w:p>
    <w:p w14:paraId="28B8E535" w14:textId="731584B4" w:rsidR="003D209B" w:rsidRDefault="00991922" w:rsidP="00B00AA0">
      <w:pPr>
        <w:spacing w:line="360" w:lineRule="auto"/>
        <w:ind w:firstLine="360"/>
        <w:rPr>
          <w:rFonts w:ascii="Times New Roman" w:hAnsi="Times New Roman"/>
          <w:sz w:val="22"/>
          <w:szCs w:val="24"/>
          <w:lang w:val="en-US"/>
        </w:rPr>
      </w:pPr>
      <w:r>
        <w:rPr>
          <w:rFonts w:ascii="Times New Roman" w:hAnsi="Times New Roman"/>
          <w:sz w:val="22"/>
          <w:szCs w:val="24"/>
          <w:lang w:val="en-US"/>
        </w:rPr>
        <w:t>Isakov &amp; Perret (2015) report that companies that have experienced a large absolute price move in response to an earnings announcement are statistically more likely to experience moves of similar magnitude in subsequent announcements</w:t>
      </w:r>
      <w:r w:rsidR="00B00AA0">
        <w:rPr>
          <w:rFonts w:ascii="Times New Roman" w:hAnsi="Times New Roman"/>
          <w:sz w:val="22"/>
          <w:szCs w:val="24"/>
          <w:lang w:val="en-US"/>
        </w:rPr>
        <w:t xml:space="preserve">. This feature is calculated as the close to close return </w:t>
      </w:r>
      <w:r w:rsidR="009A315F">
        <w:rPr>
          <w:rFonts w:ascii="Times New Roman" w:hAnsi="Times New Roman"/>
          <w:sz w:val="22"/>
          <w:szCs w:val="24"/>
          <w:lang w:val="en-US"/>
        </w:rPr>
        <w:t>from t = 0 to t=1 for the previous earnings move.</w:t>
      </w:r>
    </w:p>
    <w:p w14:paraId="668FA4F5" w14:textId="77777777" w:rsidR="004979D1" w:rsidRDefault="004979D1" w:rsidP="00B00AA0">
      <w:pPr>
        <w:spacing w:line="360" w:lineRule="auto"/>
        <w:ind w:firstLine="360"/>
        <w:rPr>
          <w:rFonts w:ascii="Times New Roman" w:hAnsi="Times New Roman"/>
          <w:sz w:val="22"/>
          <w:szCs w:val="24"/>
          <w:lang w:val="en-US"/>
        </w:rPr>
      </w:pPr>
    </w:p>
    <w:p w14:paraId="46AC612A" w14:textId="27C1348F" w:rsidR="004979D1" w:rsidRDefault="004979D1" w:rsidP="004979D1">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lastRenderedPageBreak/>
        <w:t>Absolute Realized Move (2)</w:t>
      </w:r>
    </w:p>
    <w:p w14:paraId="31338D98" w14:textId="2D0822AD" w:rsidR="004979D1" w:rsidRDefault="00AF24F6" w:rsidP="005126D7">
      <w:pPr>
        <w:spacing w:line="360" w:lineRule="auto"/>
        <w:ind w:firstLine="360"/>
        <w:rPr>
          <w:rFonts w:ascii="Times New Roman" w:hAnsi="Times New Roman"/>
          <w:sz w:val="22"/>
          <w:szCs w:val="24"/>
          <w:lang w:val="en-US"/>
        </w:rPr>
      </w:pPr>
      <w:r>
        <w:rPr>
          <w:rFonts w:ascii="Times New Roman" w:hAnsi="Times New Roman"/>
          <w:sz w:val="22"/>
          <w:szCs w:val="24"/>
          <w:lang w:val="en-US"/>
        </w:rPr>
        <w:t>Same logic as Feature #22</w:t>
      </w:r>
      <w:r w:rsidR="005126D7">
        <w:rPr>
          <w:rFonts w:ascii="Times New Roman" w:hAnsi="Times New Roman"/>
          <w:sz w:val="22"/>
          <w:szCs w:val="24"/>
          <w:lang w:val="en-US"/>
        </w:rPr>
        <w:t>, this one is the close to close from t = 0 to t = 1 absolute realized move from the second to last earnings announcement</w:t>
      </w:r>
      <w:r w:rsidR="00841CF9">
        <w:rPr>
          <w:rFonts w:ascii="Times New Roman" w:hAnsi="Times New Roman"/>
          <w:sz w:val="22"/>
          <w:szCs w:val="24"/>
          <w:lang w:val="en-US"/>
        </w:rPr>
        <w:t>.</w:t>
      </w:r>
    </w:p>
    <w:p w14:paraId="74C769FA" w14:textId="77777777" w:rsidR="00841CF9" w:rsidRDefault="00841CF9" w:rsidP="005126D7">
      <w:pPr>
        <w:spacing w:line="360" w:lineRule="auto"/>
        <w:ind w:firstLine="360"/>
        <w:rPr>
          <w:rFonts w:ascii="Times New Roman" w:hAnsi="Times New Roman"/>
          <w:sz w:val="22"/>
          <w:szCs w:val="24"/>
          <w:lang w:val="en-US"/>
        </w:rPr>
      </w:pPr>
    </w:p>
    <w:p w14:paraId="3820DB00" w14:textId="3AE1CCA7" w:rsidR="00841CF9" w:rsidRDefault="00841CF9" w:rsidP="00841CF9">
      <w:pPr>
        <w:pStyle w:val="ListParagraph"/>
        <w:numPr>
          <w:ilvl w:val="0"/>
          <w:numId w:val="2"/>
        </w:numPr>
        <w:spacing w:line="360" w:lineRule="auto"/>
        <w:rPr>
          <w:rFonts w:ascii="Times New Roman" w:hAnsi="Times New Roman"/>
          <w:b/>
          <w:bCs/>
          <w:sz w:val="22"/>
          <w:szCs w:val="24"/>
          <w:lang w:val="en-US"/>
        </w:rPr>
      </w:pPr>
      <w:r>
        <w:rPr>
          <w:rFonts w:ascii="Times New Roman" w:hAnsi="Times New Roman"/>
          <w:b/>
          <w:bCs/>
          <w:sz w:val="22"/>
          <w:szCs w:val="24"/>
          <w:lang w:val="en-US"/>
        </w:rPr>
        <w:t>PNL (8)</w:t>
      </w:r>
    </w:p>
    <w:p w14:paraId="6B28A490" w14:textId="53135D6B" w:rsidR="007B4802" w:rsidRPr="007B4802" w:rsidRDefault="00326BB7" w:rsidP="007B4802">
      <w:pPr>
        <w:spacing w:line="360" w:lineRule="auto"/>
        <w:ind w:left="360"/>
        <w:rPr>
          <w:rFonts w:ascii="Times New Roman" w:hAnsi="Times New Roman"/>
          <w:b/>
          <w:bCs/>
          <w:sz w:val="22"/>
          <w:szCs w:val="24"/>
          <w:lang w:val="en-US"/>
        </w:rPr>
      </w:pPr>
      <w:r>
        <w:rPr>
          <w:rFonts w:ascii="Times New Roman" w:hAnsi="Times New Roman"/>
          <w:b/>
          <w:bCs/>
          <w:noProof/>
          <w:sz w:val="22"/>
          <w:szCs w:val="24"/>
          <w:lang w:val="en-US"/>
        </w:rPr>
        <w:drawing>
          <wp:inline distT="0" distB="0" distL="0" distR="0" wp14:anchorId="28F3C004" wp14:editId="0DE0AD1C">
            <wp:extent cx="5390476" cy="5809524"/>
            <wp:effectExtent l="0" t="0" r="1270" b="1270"/>
            <wp:docPr id="161016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67461" name="Picture 1610167461"/>
                    <pic:cNvPicPr/>
                  </pic:nvPicPr>
                  <pic:blipFill>
                    <a:blip r:embed="rId22"/>
                    <a:stretch>
                      <a:fillRect/>
                    </a:stretch>
                  </pic:blipFill>
                  <pic:spPr>
                    <a:xfrm>
                      <a:off x="0" y="0"/>
                      <a:ext cx="5390476" cy="5809524"/>
                    </a:xfrm>
                    <a:prstGeom prst="rect">
                      <a:avLst/>
                    </a:prstGeom>
                  </pic:spPr>
                </pic:pic>
              </a:graphicData>
            </a:graphic>
          </wp:inline>
        </w:drawing>
      </w:r>
    </w:p>
    <w:p w14:paraId="71EB3FC8" w14:textId="77777777" w:rsidR="00F03652" w:rsidRDefault="00F03652" w:rsidP="00124AC5">
      <w:pPr>
        <w:spacing w:line="360" w:lineRule="auto"/>
        <w:ind w:left="360"/>
        <w:rPr>
          <w:rFonts w:ascii="Times New Roman" w:hAnsi="Times New Roman"/>
          <w:sz w:val="22"/>
          <w:szCs w:val="24"/>
          <w:lang w:val="en-US"/>
        </w:rPr>
      </w:pPr>
    </w:p>
    <w:p w14:paraId="1443420A" w14:textId="034051AA" w:rsidR="00D66CD2" w:rsidRDefault="00D66CD2" w:rsidP="00D66CD2">
      <w:pPr>
        <w:spacing w:line="360" w:lineRule="auto"/>
        <w:ind w:firstLine="360"/>
        <w:rPr>
          <w:rFonts w:ascii="Times New Roman" w:hAnsi="Times New Roman"/>
          <w:sz w:val="22"/>
          <w:szCs w:val="24"/>
          <w:lang w:val="en-US"/>
        </w:rPr>
      </w:pPr>
      <w:r>
        <w:rPr>
          <w:rFonts w:ascii="Times New Roman" w:hAnsi="Times New Roman"/>
          <w:sz w:val="22"/>
          <w:szCs w:val="24"/>
          <w:lang w:val="en-US"/>
        </w:rPr>
        <w:t>As eluded to earlier in the paper</w:t>
      </w:r>
      <w:r w:rsidR="000C0B6F">
        <w:rPr>
          <w:rFonts w:ascii="Times New Roman" w:hAnsi="Times New Roman"/>
          <w:sz w:val="22"/>
          <w:szCs w:val="24"/>
          <w:lang w:val="en-US"/>
        </w:rPr>
        <w:t xml:space="preserve"> the </w:t>
      </w:r>
      <w:r w:rsidR="00FF7517">
        <w:rPr>
          <w:rFonts w:ascii="Times New Roman" w:hAnsi="Times New Roman"/>
          <w:sz w:val="22"/>
          <w:szCs w:val="24"/>
          <w:lang w:val="en-US"/>
        </w:rPr>
        <w:t>strategy which</w:t>
      </w:r>
      <w:r w:rsidR="006A4CF8">
        <w:rPr>
          <w:rFonts w:ascii="Times New Roman" w:hAnsi="Times New Roman"/>
          <w:sz w:val="22"/>
          <w:szCs w:val="24"/>
          <w:lang w:val="en-US"/>
        </w:rPr>
        <w:t xml:space="preserve"> I focus on is selling an ATM straddle at t = 0 and buying it back at t = 1 using the nearest option expiration referred to as ‘front-month’</w:t>
      </w:r>
      <w:r w:rsidR="00515B85">
        <w:rPr>
          <w:rFonts w:ascii="Times New Roman" w:hAnsi="Times New Roman"/>
          <w:sz w:val="22"/>
          <w:szCs w:val="24"/>
          <w:lang w:val="en-US"/>
        </w:rPr>
        <w:t xml:space="preserve">, the at the money strike </w:t>
      </w:r>
      <w:r w:rsidR="00022EDE">
        <w:rPr>
          <w:rFonts w:ascii="Times New Roman" w:hAnsi="Times New Roman"/>
          <w:sz w:val="22"/>
          <w:szCs w:val="24"/>
          <w:lang w:val="en-US"/>
        </w:rPr>
        <w:t>is defined as the nearest strike to the close price at t = 0.</w:t>
      </w:r>
      <w:r w:rsidR="0004726A">
        <w:rPr>
          <w:rFonts w:ascii="Times New Roman" w:hAnsi="Times New Roman"/>
          <w:sz w:val="22"/>
          <w:szCs w:val="24"/>
          <w:lang w:val="en-US"/>
        </w:rPr>
        <w:t xml:space="preserve"> A Short Straddle is constructed by selling a Put and a Call.</w:t>
      </w:r>
      <w:r w:rsidR="00133949">
        <w:rPr>
          <w:rFonts w:ascii="Times New Roman" w:hAnsi="Times New Roman"/>
          <w:sz w:val="22"/>
          <w:szCs w:val="24"/>
          <w:lang w:val="en-US"/>
        </w:rPr>
        <w:t xml:space="preserve"> </w:t>
      </w:r>
      <w:r w:rsidR="00D84EB1">
        <w:rPr>
          <w:rFonts w:ascii="Times New Roman" w:hAnsi="Times New Roman"/>
          <w:sz w:val="22"/>
          <w:szCs w:val="24"/>
          <w:lang w:val="en-US"/>
        </w:rPr>
        <w:t>Battalio, Hatch &amp; Jennings (</w:t>
      </w:r>
      <w:r w:rsidR="00E6105F">
        <w:rPr>
          <w:rFonts w:ascii="Times New Roman" w:hAnsi="Times New Roman"/>
          <w:sz w:val="22"/>
          <w:szCs w:val="24"/>
          <w:lang w:val="en-US"/>
        </w:rPr>
        <w:t>2004)</w:t>
      </w:r>
      <w:r w:rsidR="00493652">
        <w:rPr>
          <w:rFonts w:ascii="Times New Roman" w:hAnsi="Times New Roman"/>
          <w:sz w:val="22"/>
          <w:szCs w:val="24"/>
          <w:lang w:val="en-US"/>
        </w:rPr>
        <w:t xml:space="preserve"> find that the quotes in the IvyDB Database (the one that this paper is using) </w:t>
      </w:r>
      <w:r w:rsidR="00EB2AAA">
        <w:rPr>
          <w:rFonts w:ascii="Times New Roman" w:hAnsi="Times New Roman"/>
          <w:sz w:val="22"/>
          <w:szCs w:val="24"/>
          <w:lang w:val="en-US"/>
        </w:rPr>
        <w:t xml:space="preserve">are too conservative and that real-sized order can </w:t>
      </w:r>
      <w:r w:rsidR="006252FA">
        <w:rPr>
          <w:rFonts w:ascii="Times New Roman" w:hAnsi="Times New Roman"/>
          <w:sz w:val="22"/>
          <w:szCs w:val="24"/>
          <w:lang w:val="en-US"/>
        </w:rPr>
        <w:t xml:space="preserve">be executed with an improvement of 25%-35% of the quoted spread, hence why to enter and exit the Straddle </w:t>
      </w:r>
      <w:r w:rsidR="002671EC">
        <w:rPr>
          <w:rFonts w:ascii="Times New Roman" w:hAnsi="Times New Roman"/>
          <w:sz w:val="22"/>
          <w:szCs w:val="24"/>
          <w:lang w:val="en-US"/>
        </w:rPr>
        <w:t>this paper assumes only paying 75% of the spread.</w:t>
      </w:r>
      <w:r w:rsidR="003B7A6F">
        <w:rPr>
          <w:rFonts w:ascii="Times New Roman" w:hAnsi="Times New Roman"/>
          <w:sz w:val="22"/>
          <w:szCs w:val="24"/>
          <w:lang w:val="en-US"/>
        </w:rPr>
        <w:t xml:space="preserve"> This is still relatively conservative, as </w:t>
      </w:r>
      <w:r w:rsidR="003B7A6F">
        <w:rPr>
          <w:rFonts w:ascii="Times New Roman" w:hAnsi="Times New Roman"/>
          <w:sz w:val="22"/>
          <w:szCs w:val="24"/>
          <w:lang w:val="en-US"/>
        </w:rPr>
        <w:lastRenderedPageBreak/>
        <w:t xml:space="preserve">authors like </w:t>
      </w:r>
      <w:r w:rsidR="0063386D">
        <w:rPr>
          <w:rFonts w:ascii="Times New Roman" w:hAnsi="Times New Roman"/>
          <w:sz w:val="22"/>
          <w:szCs w:val="24"/>
          <w:lang w:val="en-US"/>
        </w:rPr>
        <w:t xml:space="preserve">Murayev &amp; Pearson (2020) show that option trading costs are overestimated by a factor of 2 to 3 times i.e. </w:t>
      </w:r>
      <w:r w:rsidR="007F6B11">
        <w:rPr>
          <w:rFonts w:ascii="Times New Roman" w:hAnsi="Times New Roman"/>
          <w:sz w:val="22"/>
          <w:szCs w:val="24"/>
          <w:lang w:val="en-US"/>
        </w:rPr>
        <w:t>option positions could be executed around the mid-price in a real world setting.</w:t>
      </w:r>
      <w:r w:rsidR="00E4324D">
        <w:rPr>
          <w:rFonts w:ascii="Times New Roman" w:hAnsi="Times New Roman"/>
          <w:sz w:val="22"/>
          <w:szCs w:val="24"/>
          <w:lang w:val="en-US"/>
        </w:rPr>
        <w:t xml:space="preserve"> Upon entry Short Straddles are delta hedged</w:t>
      </w:r>
      <w:r w:rsidR="00CF0C17">
        <w:rPr>
          <w:rFonts w:ascii="Times New Roman" w:hAnsi="Times New Roman"/>
          <w:sz w:val="22"/>
          <w:szCs w:val="24"/>
          <w:lang w:val="en-US"/>
        </w:rPr>
        <w:t xml:space="preserve">. </w:t>
      </w:r>
      <w:r w:rsidR="00D14F79">
        <w:rPr>
          <w:rFonts w:ascii="Times New Roman" w:hAnsi="Times New Roman"/>
          <w:sz w:val="22"/>
          <w:szCs w:val="24"/>
          <w:lang w:val="en-US"/>
        </w:rPr>
        <w:t>There are a couple of additional rules which are enforced in order to ensure that straddles represent tradable opportunities</w:t>
      </w:r>
      <w:r w:rsidR="002601DF">
        <w:rPr>
          <w:rFonts w:ascii="Times New Roman" w:hAnsi="Times New Roman"/>
          <w:sz w:val="22"/>
          <w:szCs w:val="24"/>
          <w:lang w:val="en-US"/>
        </w:rPr>
        <w:t>:</w:t>
      </w:r>
    </w:p>
    <w:p w14:paraId="1B4234B8" w14:textId="21982D60" w:rsidR="002601DF" w:rsidRDefault="002601DF" w:rsidP="002601DF">
      <w:pPr>
        <w:pStyle w:val="ListParagraph"/>
        <w:numPr>
          <w:ilvl w:val="0"/>
          <w:numId w:val="4"/>
        </w:numPr>
        <w:spacing w:line="360" w:lineRule="auto"/>
        <w:rPr>
          <w:rFonts w:ascii="Times New Roman" w:hAnsi="Times New Roman"/>
          <w:sz w:val="22"/>
          <w:szCs w:val="24"/>
          <w:lang w:val="en-US"/>
        </w:rPr>
      </w:pPr>
      <w:r>
        <w:rPr>
          <w:rFonts w:ascii="Times New Roman" w:hAnsi="Times New Roman"/>
          <w:sz w:val="22"/>
          <w:szCs w:val="24"/>
          <w:lang w:val="en-US"/>
        </w:rPr>
        <w:t>A Straddle would not be entered</w:t>
      </w:r>
      <w:r w:rsidR="008651C0">
        <w:rPr>
          <w:rFonts w:ascii="Times New Roman" w:hAnsi="Times New Roman"/>
          <w:sz w:val="22"/>
          <w:szCs w:val="24"/>
          <w:lang w:val="en-US"/>
        </w:rPr>
        <w:t xml:space="preserve"> (and all th</w:t>
      </w:r>
      <w:r w:rsidR="0095361D">
        <w:rPr>
          <w:rFonts w:ascii="Times New Roman" w:hAnsi="Times New Roman"/>
          <w:sz w:val="22"/>
          <w:szCs w:val="24"/>
          <w:lang w:val="en-US"/>
        </w:rPr>
        <w:t>e other features would be saved as NaN)</w:t>
      </w:r>
      <w:r>
        <w:rPr>
          <w:rFonts w:ascii="Times New Roman" w:hAnsi="Times New Roman"/>
          <w:sz w:val="22"/>
          <w:szCs w:val="24"/>
          <w:lang w:val="en-US"/>
        </w:rPr>
        <w:t xml:space="preserve"> </w:t>
      </w:r>
      <w:r w:rsidR="009D7316">
        <w:rPr>
          <w:rFonts w:ascii="Times New Roman" w:hAnsi="Times New Roman"/>
          <w:sz w:val="22"/>
          <w:szCs w:val="24"/>
          <w:lang w:val="en-US"/>
        </w:rPr>
        <w:t xml:space="preserve">if the absolute delta difference between the Call and the Put is </w:t>
      </w:r>
      <w:r w:rsidR="00BF1FB7">
        <w:rPr>
          <w:rFonts w:ascii="Times New Roman" w:hAnsi="Times New Roman"/>
          <w:sz w:val="22"/>
          <w:szCs w:val="24"/>
          <w:lang w:val="en-US"/>
        </w:rPr>
        <w:t xml:space="preserve">greater than 20 – this is done to safe guard against </w:t>
      </w:r>
      <w:r w:rsidR="004D53CB">
        <w:rPr>
          <w:rFonts w:ascii="Times New Roman" w:hAnsi="Times New Roman"/>
          <w:sz w:val="22"/>
          <w:szCs w:val="24"/>
          <w:lang w:val="en-US"/>
        </w:rPr>
        <w:t xml:space="preserve">positions in stocks with a low market price, where </w:t>
      </w:r>
      <w:r w:rsidR="0088599A">
        <w:rPr>
          <w:rFonts w:ascii="Times New Roman" w:hAnsi="Times New Roman"/>
          <w:sz w:val="22"/>
          <w:szCs w:val="24"/>
          <w:lang w:val="en-US"/>
        </w:rPr>
        <w:t xml:space="preserve">due to strike prices being discrete </w:t>
      </w:r>
      <w:r w:rsidR="001C73D3">
        <w:rPr>
          <w:rFonts w:ascii="Times New Roman" w:hAnsi="Times New Roman"/>
          <w:sz w:val="22"/>
          <w:szCs w:val="24"/>
          <w:lang w:val="en-US"/>
        </w:rPr>
        <w:t>(Strike Prices being present at every integer value for example)</w:t>
      </w:r>
      <w:r w:rsidR="00E74C5B">
        <w:rPr>
          <w:rFonts w:ascii="Times New Roman" w:hAnsi="Times New Roman"/>
          <w:sz w:val="22"/>
          <w:szCs w:val="24"/>
          <w:lang w:val="en-US"/>
        </w:rPr>
        <w:t xml:space="preserve"> there does not exist an option pair with a symmetric </w:t>
      </w:r>
      <w:r w:rsidR="00105F24">
        <w:rPr>
          <w:rFonts w:ascii="Times New Roman" w:hAnsi="Times New Roman"/>
          <w:sz w:val="22"/>
          <w:szCs w:val="24"/>
          <w:lang w:val="en-US"/>
        </w:rPr>
        <w:t>risk suitable for a Short Straddle.</w:t>
      </w:r>
    </w:p>
    <w:p w14:paraId="63B25CF3" w14:textId="7A5DACB1" w:rsidR="00105F24" w:rsidRDefault="008A5F49" w:rsidP="002601DF">
      <w:pPr>
        <w:pStyle w:val="ListParagraph"/>
        <w:numPr>
          <w:ilvl w:val="0"/>
          <w:numId w:val="4"/>
        </w:numPr>
        <w:spacing w:line="360" w:lineRule="auto"/>
        <w:rPr>
          <w:rFonts w:ascii="Times New Roman" w:hAnsi="Times New Roman"/>
          <w:sz w:val="22"/>
          <w:szCs w:val="24"/>
          <w:lang w:val="en-US"/>
        </w:rPr>
      </w:pPr>
      <w:r>
        <w:rPr>
          <w:rFonts w:ascii="Times New Roman" w:hAnsi="Times New Roman"/>
          <w:sz w:val="22"/>
          <w:szCs w:val="24"/>
          <w:lang w:val="en-US"/>
        </w:rPr>
        <w:t>A Straddle would not be entered</w:t>
      </w:r>
      <w:r w:rsidR="00D044C2">
        <w:rPr>
          <w:rFonts w:ascii="Times New Roman" w:hAnsi="Times New Roman"/>
          <w:sz w:val="22"/>
          <w:szCs w:val="24"/>
          <w:lang w:val="en-US"/>
        </w:rPr>
        <w:t xml:space="preserve"> (and all the other features would be saved as NaN) </w:t>
      </w:r>
      <w:r>
        <w:rPr>
          <w:rFonts w:ascii="Times New Roman" w:hAnsi="Times New Roman"/>
          <w:sz w:val="22"/>
          <w:szCs w:val="24"/>
          <w:lang w:val="en-US"/>
        </w:rPr>
        <w:t xml:space="preserve">if the spread (the difference between </w:t>
      </w:r>
      <w:r w:rsidR="00B927FE">
        <w:rPr>
          <w:rFonts w:ascii="Times New Roman" w:hAnsi="Times New Roman"/>
          <w:sz w:val="22"/>
          <w:szCs w:val="24"/>
          <w:lang w:val="en-US"/>
        </w:rPr>
        <w:t>the Best Offer and Best Bid) for either the Call or the Put</w:t>
      </w:r>
      <w:r w:rsidR="00527EA5">
        <w:rPr>
          <w:rFonts w:ascii="Times New Roman" w:hAnsi="Times New Roman"/>
          <w:sz w:val="22"/>
          <w:szCs w:val="24"/>
          <w:lang w:val="en-US"/>
        </w:rPr>
        <w:t xml:space="preserve"> is larger than the bid price. Basically, </w:t>
      </w:r>
      <w:r w:rsidR="009979F6">
        <w:rPr>
          <w:rFonts w:ascii="Times New Roman" w:hAnsi="Times New Roman"/>
          <w:sz w:val="22"/>
          <w:szCs w:val="24"/>
          <w:lang w:val="en-US"/>
        </w:rPr>
        <w:t>th</w:t>
      </w:r>
      <w:r w:rsidR="00F214F9">
        <w:rPr>
          <w:rFonts w:ascii="Times New Roman" w:hAnsi="Times New Roman"/>
          <w:sz w:val="22"/>
          <w:szCs w:val="24"/>
          <w:lang w:val="en-US"/>
        </w:rPr>
        <w:t xml:space="preserve">is </w:t>
      </w:r>
      <w:r w:rsidR="00527EA5">
        <w:rPr>
          <w:rFonts w:ascii="Times New Roman" w:hAnsi="Times New Roman"/>
          <w:sz w:val="22"/>
          <w:szCs w:val="24"/>
          <w:lang w:val="en-US"/>
        </w:rPr>
        <w:t>safeguards against entering the most</w:t>
      </w:r>
      <w:r w:rsidR="00AD2297">
        <w:rPr>
          <w:rFonts w:ascii="Times New Roman" w:hAnsi="Times New Roman"/>
          <w:sz w:val="22"/>
          <w:szCs w:val="24"/>
          <w:lang w:val="en-US"/>
        </w:rPr>
        <w:t xml:space="preserve"> illiquid of options</w:t>
      </w:r>
      <w:r w:rsidR="002F5BF1">
        <w:rPr>
          <w:rFonts w:ascii="Times New Roman" w:hAnsi="Times New Roman"/>
          <w:sz w:val="22"/>
          <w:szCs w:val="24"/>
          <w:lang w:val="en-US"/>
        </w:rPr>
        <w:t xml:space="preserve">, where the quotes are stale to the point </w:t>
      </w:r>
      <w:r w:rsidR="00B7438A">
        <w:rPr>
          <w:rFonts w:ascii="Times New Roman" w:hAnsi="Times New Roman"/>
          <w:sz w:val="22"/>
          <w:szCs w:val="24"/>
          <w:lang w:val="en-US"/>
        </w:rPr>
        <w:t xml:space="preserve">that </w:t>
      </w:r>
      <w:r w:rsidR="00630911">
        <w:rPr>
          <w:rFonts w:ascii="Times New Roman" w:hAnsi="Times New Roman"/>
          <w:sz w:val="22"/>
          <w:szCs w:val="24"/>
          <w:lang w:val="en-US"/>
        </w:rPr>
        <w:t>the spread is large</w:t>
      </w:r>
      <w:r w:rsidR="00C3167D">
        <w:rPr>
          <w:rFonts w:ascii="Times New Roman" w:hAnsi="Times New Roman"/>
          <w:sz w:val="22"/>
          <w:szCs w:val="24"/>
          <w:lang w:val="en-US"/>
        </w:rPr>
        <w:t>r than the value for which the option can be sold</w:t>
      </w:r>
      <w:r w:rsidR="00D54602">
        <w:rPr>
          <w:rFonts w:ascii="Times New Roman" w:hAnsi="Times New Roman"/>
          <w:sz w:val="22"/>
          <w:szCs w:val="24"/>
          <w:lang w:val="en-US"/>
        </w:rPr>
        <w:t>, which in reality no trader would trade.</w:t>
      </w:r>
    </w:p>
    <w:p w14:paraId="4A5BD28B" w14:textId="77777777" w:rsidR="00AD43CD" w:rsidRDefault="00AD43CD" w:rsidP="00AD43CD">
      <w:pPr>
        <w:spacing w:line="360" w:lineRule="auto"/>
        <w:rPr>
          <w:rFonts w:ascii="Times New Roman" w:hAnsi="Times New Roman"/>
          <w:sz w:val="22"/>
          <w:szCs w:val="24"/>
          <w:lang w:val="en-US"/>
        </w:rPr>
      </w:pPr>
    </w:p>
    <w:p w14:paraId="0B59EA2B" w14:textId="22452136" w:rsidR="00AD43CD" w:rsidRPr="00AD43CD" w:rsidRDefault="0075250C" w:rsidP="00AD43CD">
      <w:pPr>
        <w:spacing w:line="360" w:lineRule="auto"/>
        <w:rPr>
          <w:rFonts w:ascii="Times New Roman" w:hAnsi="Times New Roman"/>
          <w:sz w:val="22"/>
          <w:szCs w:val="24"/>
          <w:lang w:val="en-US"/>
        </w:rPr>
      </w:pPr>
      <w:r>
        <w:rPr>
          <w:rFonts w:ascii="Times New Roman" w:hAnsi="Times New Roman"/>
          <w:sz w:val="22"/>
          <w:szCs w:val="24"/>
          <w:lang w:val="en-US"/>
        </w:rPr>
        <w:t>All in all</w:t>
      </w:r>
      <w:r w:rsidR="00AD43CD">
        <w:rPr>
          <w:rFonts w:ascii="Times New Roman" w:hAnsi="Times New Roman"/>
          <w:sz w:val="22"/>
          <w:szCs w:val="24"/>
          <w:lang w:val="en-US"/>
        </w:rPr>
        <w:t>,</w:t>
      </w:r>
      <w:r w:rsidR="00CE33E4">
        <w:rPr>
          <w:rFonts w:ascii="Times New Roman" w:hAnsi="Times New Roman"/>
          <w:sz w:val="22"/>
          <w:szCs w:val="24"/>
          <w:lang w:val="en-US"/>
        </w:rPr>
        <w:t xml:space="preserve"> </w:t>
      </w:r>
      <w:r>
        <w:rPr>
          <w:rFonts w:ascii="Times New Roman" w:hAnsi="Times New Roman"/>
          <w:sz w:val="22"/>
          <w:szCs w:val="24"/>
          <w:lang w:val="en-US"/>
        </w:rPr>
        <w:t xml:space="preserve">the 24 features </w:t>
      </w:r>
      <w:r w:rsidR="00F2525D">
        <w:rPr>
          <w:rFonts w:ascii="Times New Roman" w:hAnsi="Times New Roman"/>
          <w:sz w:val="22"/>
          <w:szCs w:val="24"/>
          <w:lang w:val="en-US"/>
        </w:rPr>
        <w:t>each are</w:t>
      </w:r>
      <w:r>
        <w:rPr>
          <w:rFonts w:ascii="Times New Roman" w:hAnsi="Times New Roman"/>
          <w:sz w:val="22"/>
          <w:szCs w:val="24"/>
          <w:lang w:val="en-US"/>
        </w:rPr>
        <w:t xml:space="preserve"> sa</w:t>
      </w:r>
      <w:r w:rsidR="00D6697A">
        <w:rPr>
          <w:rFonts w:ascii="Times New Roman" w:hAnsi="Times New Roman"/>
          <w:sz w:val="22"/>
          <w:szCs w:val="24"/>
          <w:lang w:val="en-US"/>
        </w:rPr>
        <w:t xml:space="preserve">ved </w:t>
      </w:r>
      <w:r w:rsidR="00BA2314">
        <w:rPr>
          <w:rFonts w:ascii="Times New Roman" w:hAnsi="Times New Roman"/>
          <w:sz w:val="22"/>
          <w:szCs w:val="24"/>
          <w:lang w:val="en-US"/>
        </w:rPr>
        <w:t xml:space="preserve">each </w:t>
      </w:r>
      <w:r w:rsidR="00D6697A">
        <w:rPr>
          <w:rFonts w:ascii="Times New Roman" w:hAnsi="Times New Roman"/>
          <w:sz w:val="22"/>
          <w:szCs w:val="24"/>
          <w:lang w:val="en-US"/>
        </w:rPr>
        <w:t xml:space="preserve">into </w:t>
      </w:r>
      <w:r w:rsidR="00BA2314">
        <w:rPr>
          <w:rFonts w:ascii="Times New Roman" w:hAnsi="Times New Roman"/>
          <w:sz w:val="22"/>
          <w:szCs w:val="24"/>
          <w:lang w:val="en-US"/>
        </w:rPr>
        <w:t>a unqiue</w:t>
      </w:r>
      <w:r w:rsidR="00D6697A">
        <w:rPr>
          <w:rFonts w:ascii="Times New Roman" w:hAnsi="Times New Roman"/>
          <w:sz w:val="22"/>
          <w:szCs w:val="24"/>
          <w:lang w:val="en-US"/>
        </w:rPr>
        <w:t xml:space="preserve"> 2D</w:t>
      </w:r>
      <w:r w:rsidR="001B56BA">
        <w:rPr>
          <w:rFonts w:ascii="Times New Roman" w:hAnsi="Times New Roman"/>
          <w:sz w:val="22"/>
          <w:szCs w:val="24"/>
          <w:lang w:val="en-US"/>
        </w:rPr>
        <w:t xml:space="preserve"> matrix across the dimensions of time (</w:t>
      </w:r>
      <w:r w:rsidR="00B26019">
        <w:rPr>
          <w:rFonts w:ascii="Times New Roman" w:hAnsi="Times New Roman"/>
          <w:sz w:val="22"/>
          <w:szCs w:val="24"/>
          <w:lang w:val="en-US"/>
        </w:rPr>
        <w:t>t</w:t>
      </w:r>
      <w:r w:rsidR="001B56BA">
        <w:rPr>
          <w:rFonts w:ascii="Times New Roman" w:hAnsi="Times New Roman"/>
          <w:sz w:val="22"/>
          <w:szCs w:val="24"/>
          <w:lang w:val="en-US"/>
        </w:rPr>
        <w:t xml:space="preserve">he Quarter and Year </w:t>
      </w:r>
      <w:r w:rsidR="002D12F7">
        <w:rPr>
          <w:rFonts w:ascii="Times New Roman" w:hAnsi="Times New Roman"/>
          <w:sz w:val="22"/>
          <w:szCs w:val="24"/>
          <w:lang w:val="en-US"/>
        </w:rPr>
        <w:t>the earnings was</w:t>
      </w:r>
      <w:r w:rsidR="001B56BA">
        <w:rPr>
          <w:rFonts w:ascii="Times New Roman" w:hAnsi="Times New Roman"/>
          <w:sz w:val="22"/>
          <w:szCs w:val="24"/>
          <w:lang w:val="en-US"/>
        </w:rPr>
        <w:t xml:space="preserve"> </w:t>
      </w:r>
      <w:r w:rsidR="002D12F7">
        <w:rPr>
          <w:rFonts w:ascii="Times New Roman" w:hAnsi="Times New Roman"/>
          <w:sz w:val="22"/>
          <w:szCs w:val="24"/>
          <w:lang w:val="en-US"/>
        </w:rPr>
        <w:t>reported</w:t>
      </w:r>
      <w:r w:rsidR="001B56BA">
        <w:rPr>
          <w:rFonts w:ascii="Times New Roman" w:hAnsi="Times New Roman"/>
          <w:sz w:val="22"/>
          <w:szCs w:val="24"/>
          <w:lang w:val="en-US"/>
        </w:rPr>
        <w:t xml:space="preserve">) and </w:t>
      </w:r>
      <w:r w:rsidR="002D12F7">
        <w:rPr>
          <w:rFonts w:ascii="Times New Roman" w:hAnsi="Times New Roman"/>
          <w:sz w:val="22"/>
          <w:szCs w:val="24"/>
          <w:lang w:val="en-US"/>
        </w:rPr>
        <w:t xml:space="preserve">the stock </w:t>
      </w:r>
      <w:r w:rsidR="001B56BA">
        <w:rPr>
          <w:rFonts w:ascii="Times New Roman" w:hAnsi="Times New Roman"/>
          <w:sz w:val="22"/>
          <w:szCs w:val="24"/>
          <w:lang w:val="en-US"/>
        </w:rPr>
        <w:t xml:space="preserve">ticker. </w:t>
      </w:r>
      <w:r w:rsidR="001B6FDD">
        <w:rPr>
          <w:rFonts w:ascii="Times New Roman" w:hAnsi="Times New Roman"/>
          <w:sz w:val="22"/>
          <w:szCs w:val="24"/>
          <w:lang w:val="en-US"/>
        </w:rPr>
        <w:t xml:space="preserve">The final X matrix, which </w:t>
      </w:r>
      <w:r w:rsidR="002320C7">
        <w:rPr>
          <w:rFonts w:ascii="Times New Roman" w:hAnsi="Times New Roman"/>
          <w:sz w:val="22"/>
          <w:szCs w:val="24"/>
          <w:lang w:val="en-US"/>
        </w:rPr>
        <w:t>is</w:t>
      </w:r>
      <w:r w:rsidR="001B6FDD">
        <w:rPr>
          <w:rFonts w:ascii="Times New Roman" w:hAnsi="Times New Roman"/>
          <w:sz w:val="22"/>
          <w:szCs w:val="24"/>
          <w:lang w:val="en-US"/>
        </w:rPr>
        <w:t xml:space="preserve"> </w:t>
      </w:r>
      <w:r w:rsidR="005F20D1">
        <w:rPr>
          <w:rFonts w:ascii="Times New Roman" w:hAnsi="Times New Roman"/>
          <w:sz w:val="22"/>
          <w:szCs w:val="24"/>
          <w:lang w:val="en-US"/>
        </w:rPr>
        <w:t xml:space="preserve">used for forecasting </w:t>
      </w:r>
      <w:r w:rsidR="002320C7">
        <w:rPr>
          <w:rFonts w:ascii="Times New Roman" w:hAnsi="Times New Roman"/>
          <w:sz w:val="22"/>
          <w:szCs w:val="24"/>
          <w:lang w:val="en-US"/>
        </w:rPr>
        <w:t>is obtained by flattening the 24</w:t>
      </w:r>
      <w:r w:rsidR="001B6FDD">
        <w:rPr>
          <w:rFonts w:ascii="Times New Roman" w:hAnsi="Times New Roman"/>
          <w:sz w:val="22"/>
          <w:szCs w:val="24"/>
          <w:lang w:val="en-US"/>
        </w:rPr>
        <w:t xml:space="preserve"> </w:t>
      </w:r>
      <w:r w:rsidR="002320C7">
        <w:rPr>
          <w:rFonts w:ascii="Times New Roman" w:hAnsi="Times New Roman"/>
          <w:sz w:val="22"/>
          <w:szCs w:val="24"/>
          <w:lang w:val="en-US"/>
        </w:rPr>
        <w:t xml:space="preserve">feature </w:t>
      </w:r>
      <w:r w:rsidR="00714D5A">
        <w:rPr>
          <w:rFonts w:ascii="Times New Roman" w:hAnsi="Times New Roman"/>
          <w:sz w:val="22"/>
          <w:szCs w:val="24"/>
          <w:lang w:val="en-US"/>
        </w:rPr>
        <w:t>matrixes into one table where each row of the table represents 1 earnings event for a given stock ticker</w:t>
      </w:r>
      <w:r w:rsidR="003C6D3D">
        <w:rPr>
          <w:rFonts w:ascii="Times New Roman" w:hAnsi="Times New Roman"/>
          <w:sz w:val="22"/>
          <w:szCs w:val="24"/>
          <w:lang w:val="en-US"/>
        </w:rPr>
        <w:t>. E</w:t>
      </w:r>
      <w:r w:rsidR="00BB2878">
        <w:rPr>
          <w:rFonts w:ascii="Times New Roman" w:hAnsi="Times New Roman"/>
          <w:sz w:val="22"/>
          <w:szCs w:val="24"/>
          <w:lang w:val="en-US"/>
        </w:rPr>
        <w:t xml:space="preserve">vents are dropped if </w:t>
      </w:r>
      <w:r w:rsidR="002E0CBC">
        <w:rPr>
          <w:rFonts w:ascii="Times New Roman" w:hAnsi="Times New Roman"/>
          <w:sz w:val="22"/>
          <w:szCs w:val="24"/>
          <w:lang w:val="en-US"/>
        </w:rPr>
        <w:t xml:space="preserve">no Straddle trade occurs (more than 20 Delta to be hedged or </w:t>
      </w:r>
      <w:r w:rsidR="0015724E">
        <w:rPr>
          <w:rFonts w:ascii="Times New Roman" w:hAnsi="Times New Roman"/>
          <w:sz w:val="22"/>
          <w:szCs w:val="24"/>
          <w:lang w:val="en-US"/>
        </w:rPr>
        <w:t>Bid-Ask Spread &gt; Bid Price)</w:t>
      </w:r>
      <w:r w:rsidR="00F9383C">
        <w:rPr>
          <w:rFonts w:ascii="Times New Roman" w:hAnsi="Times New Roman"/>
          <w:sz w:val="22"/>
          <w:szCs w:val="24"/>
          <w:lang w:val="en-US"/>
        </w:rPr>
        <w:t>, the announcement time is between regular trading hours (</w:t>
      </w:r>
      <w:r w:rsidR="009C76A1">
        <w:rPr>
          <w:rFonts w:ascii="Times New Roman" w:hAnsi="Times New Roman"/>
          <w:sz w:val="22"/>
          <w:szCs w:val="24"/>
          <w:lang w:val="en-US"/>
        </w:rPr>
        <w:t>09:30 – 16:00)</w:t>
      </w:r>
      <w:r w:rsidR="00137BC8">
        <w:rPr>
          <w:rFonts w:ascii="Times New Roman" w:hAnsi="Times New Roman"/>
          <w:sz w:val="22"/>
          <w:szCs w:val="24"/>
          <w:lang w:val="en-US"/>
        </w:rPr>
        <w:t>, the market cap of the company at t = 0 is less than USD 1 billion</w:t>
      </w:r>
      <w:r w:rsidR="00BD6192">
        <w:rPr>
          <w:rFonts w:ascii="Times New Roman" w:hAnsi="Times New Roman"/>
          <w:sz w:val="22"/>
          <w:szCs w:val="24"/>
          <w:lang w:val="en-US"/>
        </w:rPr>
        <w:t>, there are less than 15 observation for the trading days in the event window</w:t>
      </w:r>
      <w:r w:rsidR="009510D4">
        <w:rPr>
          <w:rFonts w:ascii="Times New Roman" w:hAnsi="Times New Roman"/>
          <w:sz w:val="22"/>
          <w:szCs w:val="24"/>
          <w:lang w:val="en-US"/>
        </w:rPr>
        <w:t xml:space="preserve"> t [ -15, 1]</w:t>
      </w:r>
      <w:r w:rsidR="00BD6192">
        <w:rPr>
          <w:rFonts w:ascii="Times New Roman" w:hAnsi="Times New Roman"/>
          <w:sz w:val="22"/>
          <w:szCs w:val="24"/>
          <w:lang w:val="en-US"/>
        </w:rPr>
        <w:t xml:space="preserve">, data for </w:t>
      </w:r>
      <w:r w:rsidR="004F5FA4">
        <w:rPr>
          <w:rFonts w:ascii="Times New Roman" w:hAnsi="Times New Roman"/>
          <w:sz w:val="22"/>
          <w:szCs w:val="24"/>
          <w:lang w:val="en-US"/>
        </w:rPr>
        <w:t xml:space="preserve">the ATM options on </w:t>
      </w:r>
      <w:r w:rsidR="00BD6192">
        <w:rPr>
          <w:rFonts w:ascii="Times New Roman" w:hAnsi="Times New Roman"/>
          <w:sz w:val="22"/>
          <w:szCs w:val="24"/>
          <w:lang w:val="en-US"/>
        </w:rPr>
        <w:t>t = 0 is missing</w:t>
      </w:r>
      <w:r w:rsidR="000406CC">
        <w:rPr>
          <w:rFonts w:ascii="Times New Roman" w:hAnsi="Times New Roman"/>
          <w:sz w:val="22"/>
          <w:szCs w:val="24"/>
          <w:lang w:val="en-US"/>
        </w:rPr>
        <w:t xml:space="preserve"> or</w:t>
      </w:r>
      <w:r w:rsidR="0085512C">
        <w:rPr>
          <w:rFonts w:ascii="Times New Roman" w:hAnsi="Times New Roman"/>
          <w:sz w:val="22"/>
          <w:szCs w:val="24"/>
          <w:lang w:val="en-US"/>
        </w:rPr>
        <w:t xml:space="preserve"> close for t = 0 or t = 1 in unava</w:t>
      </w:r>
      <w:r w:rsidR="00371ACB">
        <w:rPr>
          <w:rFonts w:ascii="Times New Roman" w:hAnsi="Times New Roman"/>
          <w:sz w:val="22"/>
          <w:szCs w:val="24"/>
          <w:lang w:val="en-US"/>
        </w:rPr>
        <w:t>ila</w:t>
      </w:r>
      <w:r w:rsidR="0085512C">
        <w:rPr>
          <w:rFonts w:ascii="Times New Roman" w:hAnsi="Times New Roman"/>
          <w:sz w:val="22"/>
          <w:szCs w:val="24"/>
          <w:lang w:val="en-US"/>
        </w:rPr>
        <w:t>ble</w:t>
      </w:r>
      <w:r w:rsidR="00D17451">
        <w:rPr>
          <w:rFonts w:ascii="Times New Roman" w:hAnsi="Times New Roman"/>
          <w:sz w:val="22"/>
          <w:szCs w:val="24"/>
          <w:lang w:val="en-US"/>
        </w:rPr>
        <w:t>.</w:t>
      </w:r>
    </w:p>
    <w:p w14:paraId="5D53AECD" w14:textId="77777777" w:rsidR="00D66CD2" w:rsidRDefault="00D66CD2" w:rsidP="00124AC5">
      <w:pPr>
        <w:spacing w:line="360" w:lineRule="auto"/>
        <w:ind w:left="360"/>
        <w:rPr>
          <w:rFonts w:ascii="Times New Roman" w:hAnsi="Times New Roman"/>
          <w:sz w:val="22"/>
          <w:szCs w:val="24"/>
          <w:lang w:val="en-US"/>
        </w:rPr>
      </w:pPr>
    </w:p>
    <w:p w14:paraId="56124512" w14:textId="77777777" w:rsidR="00D66CD2" w:rsidRPr="00124AC5" w:rsidRDefault="00D66CD2" w:rsidP="00124AC5">
      <w:pPr>
        <w:spacing w:line="360" w:lineRule="auto"/>
        <w:ind w:left="360"/>
        <w:rPr>
          <w:rFonts w:ascii="Times New Roman" w:hAnsi="Times New Roman"/>
          <w:sz w:val="22"/>
          <w:szCs w:val="24"/>
          <w:lang w:val="en-US"/>
        </w:rPr>
      </w:pPr>
    </w:p>
    <w:p w14:paraId="1599CA62" w14:textId="77777777" w:rsidR="00DC00D7" w:rsidRPr="00DC00D7" w:rsidRDefault="00DC00D7" w:rsidP="00DC00D7">
      <w:pPr>
        <w:spacing w:line="360" w:lineRule="auto"/>
        <w:ind w:left="360"/>
        <w:rPr>
          <w:rFonts w:ascii="Times New Roman" w:hAnsi="Times New Roman"/>
          <w:b/>
          <w:bCs/>
          <w:sz w:val="22"/>
          <w:szCs w:val="24"/>
          <w:lang w:val="en-US"/>
        </w:rPr>
      </w:pPr>
    </w:p>
    <w:p w14:paraId="73D8FF8B" w14:textId="77777777" w:rsidR="00B92FF6" w:rsidRDefault="00B92FF6" w:rsidP="001A321C">
      <w:pPr>
        <w:spacing w:line="360" w:lineRule="auto"/>
        <w:ind w:left="360"/>
        <w:rPr>
          <w:rFonts w:ascii="Times New Roman" w:hAnsi="Times New Roman"/>
          <w:sz w:val="22"/>
          <w:szCs w:val="24"/>
          <w:lang w:val="en-US"/>
        </w:rPr>
      </w:pPr>
    </w:p>
    <w:p w14:paraId="6B141CA3" w14:textId="77777777" w:rsidR="003F0D89" w:rsidRDefault="003F0D89" w:rsidP="001A321C">
      <w:pPr>
        <w:spacing w:line="360" w:lineRule="auto"/>
        <w:ind w:left="360"/>
        <w:rPr>
          <w:rFonts w:ascii="Times New Roman" w:hAnsi="Times New Roman"/>
          <w:sz w:val="22"/>
          <w:szCs w:val="24"/>
          <w:lang w:val="en-US"/>
        </w:rPr>
      </w:pPr>
    </w:p>
    <w:p w14:paraId="53F4FFA7" w14:textId="77777777" w:rsidR="003F0D89" w:rsidRDefault="003F0D89" w:rsidP="001A321C">
      <w:pPr>
        <w:spacing w:line="360" w:lineRule="auto"/>
        <w:ind w:left="360"/>
        <w:rPr>
          <w:rFonts w:ascii="Times New Roman" w:hAnsi="Times New Roman"/>
          <w:sz w:val="22"/>
          <w:szCs w:val="24"/>
          <w:lang w:val="en-US"/>
        </w:rPr>
      </w:pPr>
    </w:p>
    <w:p w14:paraId="2696434F" w14:textId="77777777" w:rsidR="003F0D89" w:rsidRDefault="003F0D89" w:rsidP="001A321C">
      <w:pPr>
        <w:spacing w:line="360" w:lineRule="auto"/>
        <w:ind w:left="360"/>
        <w:rPr>
          <w:rFonts w:ascii="Times New Roman" w:hAnsi="Times New Roman"/>
          <w:sz w:val="22"/>
          <w:szCs w:val="24"/>
          <w:lang w:val="en-US"/>
        </w:rPr>
      </w:pPr>
    </w:p>
    <w:p w14:paraId="55380FFA" w14:textId="77777777" w:rsidR="003F0D89" w:rsidRDefault="003F0D89" w:rsidP="001A321C">
      <w:pPr>
        <w:spacing w:line="360" w:lineRule="auto"/>
        <w:ind w:left="360"/>
        <w:rPr>
          <w:rFonts w:ascii="Times New Roman" w:hAnsi="Times New Roman"/>
          <w:sz w:val="22"/>
          <w:szCs w:val="24"/>
          <w:lang w:val="en-US"/>
        </w:rPr>
      </w:pPr>
    </w:p>
    <w:p w14:paraId="730D68EC" w14:textId="77777777" w:rsidR="003F0D89" w:rsidRDefault="003F0D89" w:rsidP="001A321C">
      <w:pPr>
        <w:spacing w:line="360" w:lineRule="auto"/>
        <w:ind w:left="360"/>
        <w:rPr>
          <w:rFonts w:ascii="Times New Roman" w:hAnsi="Times New Roman"/>
          <w:sz w:val="22"/>
          <w:szCs w:val="24"/>
          <w:lang w:val="en-US"/>
        </w:rPr>
      </w:pPr>
    </w:p>
    <w:p w14:paraId="7D6373FB" w14:textId="77777777" w:rsidR="003F0D89" w:rsidRDefault="003F0D89" w:rsidP="001A321C">
      <w:pPr>
        <w:spacing w:line="360" w:lineRule="auto"/>
        <w:ind w:left="360"/>
        <w:rPr>
          <w:rFonts w:ascii="Times New Roman" w:hAnsi="Times New Roman"/>
          <w:sz w:val="22"/>
          <w:szCs w:val="24"/>
          <w:lang w:val="en-US"/>
        </w:rPr>
      </w:pPr>
    </w:p>
    <w:p w14:paraId="2D194C82" w14:textId="77777777" w:rsidR="003F0D89" w:rsidRDefault="003F0D89" w:rsidP="001A321C">
      <w:pPr>
        <w:spacing w:line="360" w:lineRule="auto"/>
        <w:ind w:left="360"/>
        <w:rPr>
          <w:rFonts w:ascii="Times New Roman" w:hAnsi="Times New Roman"/>
          <w:sz w:val="22"/>
          <w:szCs w:val="24"/>
          <w:lang w:val="en-US"/>
        </w:rPr>
      </w:pPr>
    </w:p>
    <w:p w14:paraId="09121122" w14:textId="77777777" w:rsidR="003F0D89" w:rsidRDefault="003F0D89" w:rsidP="001A321C">
      <w:pPr>
        <w:spacing w:line="360" w:lineRule="auto"/>
        <w:ind w:left="360"/>
        <w:rPr>
          <w:rFonts w:ascii="Times New Roman" w:hAnsi="Times New Roman"/>
          <w:sz w:val="22"/>
          <w:szCs w:val="24"/>
          <w:lang w:val="en-US"/>
        </w:rPr>
      </w:pPr>
    </w:p>
    <w:p w14:paraId="38457CEA" w14:textId="77777777" w:rsidR="003F0D89" w:rsidRDefault="003F0D89" w:rsidP="001A321C">
      <w:pPr>
        <w:spacing w:line="360" w:lineRule="auto"/>
        <w:ind w:left="360"/>
        <w:rPr>
          <w:rFonts w:ascii="Times New Roman" w:hAnsi="Times New Roman"/>
          <w:sz w:val="22"/>
          <w:szCs w:val="24"/>
          <w:lang w:val="en-US"/>
        </w:rPr>
      </w:pPr>
    </w:p>
    <w:p w14:paraId="164C4170" w14:textId="77777777" w:rsidR="003F0D89" w:rsidRDefault="003F0D89" w:rsidP="001A321C">
      <w:pPr>
        <w:spacing w:line="360" w:lineRule="auto"/>
        <w:ind w:left="360"/>
        <w:rPr>
          <w:rFonts w:ascii="Times New Roman" w:hAnsi="Times New Roman"/>
          <w:sz w:val="22"/>
          <w:szCs w:val="24"/>
          <w:lang w:val="en-US"/>
        </w:rPr>
      </w:pPr>
    </w:p>
    <w:p w14:paraId="26404190" w14:textId="77777777" w:rsidR="003F0D89" w:rsidRDefault="003F0D89" w:rsidP="001A321C">
      <w:pPr>
        <w:spacing w:line="360" w:lineRule="auto"/>
        <w:ind w:left="360"/>
        <w:rPr>
          <w:rFonts w:ascii="Times New Roman" w:hAnsi="Times New Roman"/>
          <w:sz w:val="22"/>
          <w:szCs w:val="24"/>
          <w:lang w:val="en-US"/>
        </w:rPr>
      </w:pPr>
    </w:p>
    <w:p w14:paraId="0944B542" w14:textId="77777777" w:rsidR="003F0D89" w:rsidRDefault="003F0D89" w:rsidP="001A321C">
      <w:pPr>
        <w:spacing w:line="360" w:lineRule="auto"/>
        <w:ind w:left="360"/>
        <w:rPr>
          <w:rFonts w:ascii="Times New Roman" w:hAnsi="Times New Roman"/>
          <w:sz w:val="22"/>
          <w:szCs w:val="24"/>
          <w:lang w:val="en-US"/>
        </w:rPr>
      </w:pPr>
    </w:p>
    <w:p w14:paraId="5A0AD7E5" w14:textId="77777777" w:rsidR="003F0D89" w:rsidRDefault="003F0D89" w:rsidP="001A321C">
      <w:pPr>
        <w:spacing w:line="360" w:lineRule="auto"/>
        <w:ind w:left="360"/>
        <w:rPr>
          <w:rFonts w:ascii="Times New Roman" w:hAnsi="Times New Roman"/>
          <w:sz w:val="22"/>
          <w:szCs w:val="24"/>
          <w:lang w:val="en-US"/>
        </w:rPr>
      </w:pPr>
    </w:p>
    <w:p w14:paraId="1A5FD518" w14:textId="77777777" w:rsidR="003F0D89" w:rsidRDefault="003F0D89" w:rsidP="001A321C">
      <w:pPr>
        <w:spacing w:line="360" w:lineRule="auto"/>
        <w:ind w:left="360"/>
        <w:rPr>
          <w:rFonts w:ascii="Times New Roman" w:hAnsi="Times New Roman"/>
          <w:sz w:val="22"/>
          <w:szCs w:val="24"/>
          <w:lang w:val="en-US"/>
        </w:rPr>
      </w:pPr>
    </w:p>
    <w:p w14:paraId="3EA707BB" w14:textId="77777777" w:rsidR="003F0D89" w:rsidRDefault="003F0D89" w:rsidP="001A321C">
      <w:pPr>
        <w:spacing w:line="360" w:lineRule="auto"/>
        <w:ind w:left="360"/>
        <w:rPr>
          <w:rFonts w:ascii="Times New Roman" w:hAnsi="Times New Roman"/>
          <w:sz w:val="22"/>
          <w:szCs w:val="24"/>
          <w:lang w:val="en-US"/>
        </w:rPr>
      </w:pPr>
    </w:p>
    <w:p w14:paraId="417BE17C" w14:textId="77777777" w:rsidR="003F0D89" w:rsidRDefault="003F0D89" w:rsidP="001A321C">
      <w:pPr>
        <w:spacing w:line="360" w:lineRule="auto"/>
        <w:ind w:left="360"/>
        <w:rPr>
          <w:rFonts w:ascii="Times New Roman" w:hAnsi="Times New Roman"/>
          <w:sz w:val="22"/>
          <w:szCs w:val="24"/>
          <w:lang w:val="en-US"/>
        </w:rPr>
      </w:pPr>
    </w:p>
    <w:p w14:paraId="5F11EC57" w14:textId="77777777" w:rsidR="003F0D89" w:rsidRDefault="003F0D89" w:rsidP="001A321C">
      <w:pPr>
        <w:spacing w:line="360" w:lineRule="auto"/>
        <w:ind w:left="360"/>
        <w:rPr>
          <w:rFonts w:ascii="Times New Roman" w:hAnsi="Times New Roman"/>
          <w:sz w:val="22"/>
          <w:szCs w:val="24"/>
          <w:lang w:val="en-US"/>
        </w:rPr>
      </w:pPr>
    </w:p>
    <w:p w14:paraId="4373BCD2" w14:textId="77777777" w:rsidR="003F0D89" w:rsidRDefault="003F0D89" w:rsidP="001A321C">
      <w:pPr>
        <w:spacing w:line="360" w:lineRule="auto"/>
        <w:ind w:left="360"/>
        <w:rPr>
          <w:rFonts w:ascii="Times New Roman" w:hAnsi="Times New Roman"/>
          <w:sz w:val="22"/>
          <w:szCs w:val="24"/>
          <w:lang w:val="en-US"/>
        </w:rPr>
      </w:pPr>
    </w:p>
    <w:p w14:paraId="3C410FCC" w14:textId="77777777" w:rsidR="003F0D89" w:rsidRDefault="003F0D89" w:rsidP="001A321C">
      <w:pPr>
        <w:spacing w:line="360" w:lineRule="auto"/>
        <w:ind w:left="360"/>
        <w:rPr>
          <w:rFonts w:ascii="Times New Roman" w:hAnsi="Times New Roman"/>
          <w:sz w:val="22"/>
          <w:szCs w:val="24"/>
          <w:lang w:val="en-US"/>
        </w:rPr>
      </w:pPr>
    </w:p>
    <w:p w14:paraId="7126C2CC" w14:textId="77777777" w:rsidR="003F0D89" w:rsidRDefault="003F0D89" w:rsidP="001A321C">
      <w:pPr>
        <w:spacing w:line="360" w:lineRule="auto"/>
        <w:ind w:left="360"/>
        <w:rPr>
          <w:rFonts w:ascii="Times New Roman" w:hAnsi="Times New Roman"/>
          <w:sz w:val="22"/>
          <w:szCs w:val="24"/>
          <w:lang w:val="en-US"/>
        </w:rPr>
      </w:pPr>
    </w:p>
    <w:p w14:paraId="2013DAEC" w14:textId="77777777" w:rsidR="003F0D89" w:rsidRDefault="003F0D89" w:rsidP="001A321C">
      <w:pPr>
        <w:spacing w:line="360" w:lineRule="auto"/>
        <w:ind w:left="360"/>
        <w:rPr>
          <w:rFonts w:ascii="Times New Roman" w:hAnsi="Times New Roman"/>
          <w:sz w:val="22"/>
          <w:szCs w:val="24"/>
          <w:lang w:val="en-US"/>
        </w:rPr>
      </w:pPr>
    </w:p>
    <w:p w14:paraId="1C5CB77F" w14:textId="77777777" w:rsidR="003F0D89" w:rsidRDefault="003F0D89" w:rsidP="001A321C">
      <w:pPr>
        <w:spacing w:line="360" w:lineRule="auto"/>
        <w:ind w:left="360"/>
        <w:rPr>
          <w:rFonts w:ascii="Times New Roman" w:hAnsi="Times New Roman"/>
          <w:sz w:val="22"/>
          <w:szCs w:val="24"/>
          <w:lang w:val="en-US"/>
        </w:rPr>
      </w:pPr>
    </w:p>
    <w:p w14:paraId="70420971" w14:textId="77777777" w:rsidR="003F0D89" w:rsidRDefault="003F0D89" w:rsidP="001A321C">
      <w:pPr>
        <w:spacing w:line="360" w:lineRule="auto"/>
        <w:ind w:left="360"/>
        <w:rPr>
          <w:rFonts w:ascii="Times New Roman" w:hAnsi="Times New Roman"/>
          <w:sz w:val="22"/>
          <w:szCs w:val="24"/>
          <w:lang w:val="en-US"/>
        </w:rPr>
      </w:pPr>
    </w:p>
    <w:p w14:paraId="7E6D9BB5" w14:textId="77777777" w:rsidR="003F0D89" w:rsidRDefault="003F0D89" w:rsidP="001A321C">
      <w:pPr>
        <w:spacing w:line="360" w:lineRule="auto"/>
        <w:ind w:left="360"/>
        <w:rPr>
          <w:rFonts w:ascii="Times New Roman" w:hAnsi="Times New Roman"/>
          <w:sz w:val="22"/>
          <w:szCs w:val="24"/>
          <w:lang w:val="en-US"/>
        </w:rPr>
      </w:pPr>
    </w:p>
    <w:p w14:paraId="400DB3A6" w14:textId="77777777" w:rsidR="003F0D89" w:rsidRDefault="003F0D89" w:rsidP="001A321C">
      <w:pPr>
        <w:spacing w:line="360" w:lineRule="auto"/>
        <w:ind w:left="360"/>
        <w:rPr>
          <w:rFonts w:ascii="Times New Roman" w:hAnsi="Times New Roman"/>
          <w:sz w:val="22"/>
          <w:szCs w:val="24"/>
          <w:lang w:val="en-US"/>
        </w:rPr>
      </w:pPr>
    </w:p>
    <w:p w14:paraId="04433186" w14:textId="77777777" w:rsidR="003F0D89" w:rsidRDefault="003F0D89" w:rsidP="001A321C">
      <w:pPr>
        <w:spacing w:line="360" w:lineRule="auto"/>
        <w:ind w:left="360"/>
        <w:rPr>
          <w:rFonts w:ascii="Times New Roman" w:hAnsi="Times New Roman"/>
          <w:sz w:val="22"/>
          <w:szCs w:val="24"/>
          <w:lang w:val="en-US"/>
        </w:rPr>
      </w:pPr>
    </w:p>
    <w:p w14:paraId="5915349F" w14:textId="77777777" w:rsidR="003F0D89" w:rsidRDefault="003F0D89" w:rsidP="001A321C">
      <w:pPr>
        <w:spacing w:line="360" w:lineRule="auto"/>
        <w:ind w:left="360"/>
        <w:rPr>
          <w:rFonts w:ascii="Times New Roman" w:hAnsi="Times New Roman"/>
          <w:sz w:val="22"/>
          <w:szCs w:val="24"/>
          <w:lang w:val="en-US"/>
        </w:rPr>
      </w:pPr>
    </w:p>
    <w:p w14:paraId="4F9BA231" w14:textId="77777777" w:rsidR="003F0D89" w:rsidRDefault="003F0D89" w:rsidP="001A321C">
      <w:pPr>
        <w:spacing w:line="360" w:lineRule="auto"/>
        <w:ind w:left="360"/>
        <w:rPr>
          <w:rFonts w:ascii="Times New Roman" w:hAnsi="Times New Roman"/>
          <w:sz w:val="22"/>
          <w:szCs w:val="24"/>
          <w:lang w:val="en-US"/>
        </w:rPr>
      </w:pPr>
    </w:p>
    <w:p w14:paraId="388A2D5C" w14:textId="77777777" w:rsidR="003F0D89" w:rsidRDefault="003F0D89" w:rsidP="001A321C">
      <w:pPr>
        <w:spacing w:line="360" w:lineRule="auto"/>
        <w:ind w:left="360"/>
        <w:rPr>
          <w:rFonts w:ascii="Times New Roman" w:hAnsi="Times New Roman"/>
          <w:sz w:val="22"/>
          <w:szCs w:val="24"/>
          <w:lang w:val="en-US"/>
        </w:rPr>
      </w:pPr>
    </w:p>
    <w:p w14:paraId="628709B1" w14:textId="77777777" w:rsidR="003F0D89" w:rsidRPr="00974DE5" w:rsidRDefault="003F0D89" w:rsidP="001A321C">
      <w:pPr>
        <w:spacing w:line="360" w:lineRule="auto"/>
        <w:ind w:left="360"/>
        <w:rPr>
          <w:rFonts w:ascii="Times New Roman" w:hAnsi="Times New Roman"/>
          <w:sz w:val="22"/>
          <w:szCs w:val="24"/>
          <w:lang w:val="en-US"/>
        </w:rPr>
      </w:pPr>
    </w:p>
    <w:p w14:paraId="28E092C7" w14:textId="34F43695" w:rsidR="002D10A2" w:rsidRDefault="002D10A2" w:rsidP="00AE51AF">
      <w:pPr>
        <w:spacing w:line="360" w:lineRule="auto"/>
        <w:rPr>
          <w:rFonts w:ascii="Times New Roman" w:hAnsi="Times New Roman"/>
          <w:sz w:val="22"/>
          <w:szCs w:val="24"/>
          <w:lang w:val="en-US"/>
        </w:rPr>
      </w:pPr>
      <w:r>
        <w:rPr>
          <w:rFonts w:ascii="Times New Roman" w:hAnsi="Times New Roman"/>
          <w:sz w:val="22"/>
          <w:szCs w:val="24"/>
          <w:lang w:val="en-US"/>
        </w:rPr>
        <w:t>Reference List:</w:t>
      </w:r>
    </w:p>
    <w:p w14:paraId="01EF34B7" w14:textId="2C7FF552" w:rsidR="00280A3C" w:rsidRDefault="00280A3C" w:rsidP="00AE51AF">
      <w:pPr>
        <w:spacing w:line="360" w:lineRule="auto"/>
        <w:rPr>
          <w:rFonts w:ascii="Times New Roman" w:hAnsi="Times New Roman"/>
          <w:sz w:val="22"/>
          <w:szCs w:val="24"/>
          <w:lang w:val="en-US"/>
        </w:rPr>
      </w:pPr>
      <w:r w:rsidRPr="00280A3C">
        <w:rPr>
          <w:rFonts w:ascii="Times New Roman" w:hAnsi="Times New Roman"/>
          <w:sz w:val="22"/>
          <w:szCs w:val="24"/>
        </w:rPr>
        <w:t xml:space="preserve">Bacry, E., Mastromatteo, I., &amp; Muzy, J. F. (2015). Hawkes processes in finance. </w:t>
      </w:r>
      <w:r w:rsidRPr="00280A3C">
        <w:rPr>
          <w:rFonts w:ascii="Times New Roman" w:hAnsi="Times New Roman"/>
          <w:i/>
          <w:iCs/>
          <w:sz w:val="22"/>
          <w:szCs w:val="24"/>
        </w:rPr>
        <w:t>Market Microstructure and Liquidity</w:t>
      </w:r>
      <w:r w:rsidRPr="00280A3C">
        <w:rPr>
          <w:rFonts w:ascii="Times New Roman" w:hAnsi="Times New Roman"/>
          <w:sz w:val="22"/>
          <w:szCs w:val="24"/>
        </w:rPr>
        <w:t xml:space="preserve">, </w:t>
      </w:r>
      <w:r w:rsidRPr="00280A3C">
        <w:rPr>
          <w:rFonts w:ascii="Times New Roman" w:hAnsi="Times New Roman"/>
          <w:i/>
          <w:iCs/>
          <w:sz w:val="22"/>
          <w:szCs w:val="24"/>
        </w:rPr>
        <w:t>1</w:t>
      </w:r>
      <w:r w:rsidRPr="00280A3C">
        <w:rPr>
          <w:rFonts w:ascii="Times New Roman" w:hAnsi="Times New Roman"/>
          <w:sz w:val="22"/>
          <w:szCs w:val="24"/>
        </w:rPr>
        <w:t xml:space="preserve">(01), 1550005. </w:t>
      </w:r>
      <w:hyperlink r:id="rId23" w:tgtFrame="_blank" w:history="1">
        <w:r w:rsidRPr="00280A3C">
          <w:rPr>
            <w:rStyle w:val="Hyperlink"/>
            <w:rFonts w:ascii="Times New Roman" w:hAnsi="Times New Roman"/>
            <w:sz w:val="22"/>
            <w:szCs w:val="24"/>
          </w:rPr>
          <w:t>https://doi.org/10.1142/S2382626615500057</w:t>
        </w:r>
      </w:hyperlink>
    </w:p>
    <w:p w14:paraId="5A045219" w14:textId="77777777" w:rsidR="00A475CB" w:rsidRDefault="00A475CB" w:rsidP="00AE51AF">
      <w:pPr>
        <w:spacing w:line="360" w:lineRule="auto"/>
        <w:rPr>
          <w:rFonts w:ascii="Times New Roman" w:hAnsi="Times New Roman"/>
          <w:sz w:val="22"/>
          <w:szCs w:val="24"/>
          <w:lang w:val="en-US"/>
        </w:rPr>
      </w:pPr>
    </w:p>
    <w:p w14:paraId="127D5C99" w14:textId="1C564CF0" w:rsidR="006F42D2" w:rsidRDefault="006F42D2" w:rsidP="00AE51AF">
      <w:pPr>
        <w:spacing w:line="360" w:lineRule="auto"/>
        <w:rPr>
          <w:rFonts w:ascii="Times New Roman" w:hAnsi="Times New Roman"/>
          <w:sz w:val="22"/>
          <w:szCs w:val="24"/>
          <w:lang w:val="en-US"/>
        </w:rPr>
      </w:pPr>
      <w:r w:rsidRPr="006F42D2">
        <w:rPr>
          <w:rFonts w:ascii="Times New Roman" w:hAnsi="Times New Roman"/>
          <w:sz w:val="22"/>
          <w:szCs w:val="24"/>
        </w:rPr>
        <w:t xml:space="preserve">Bekaert, G., &amp; Wu, G. (2000). Asymmetric volatility and risk in equity markets. </w:t>
      </w:r>
      <w:r w:rsidRPr="006F42D2">
        <w:rPr>
          <w:rFonts w:ascii="Times New Roman" w:hAnsi="Times New Roman"/>
          <w:i/>
          <w:iCs/>
          <w:sz w:val="22"/>
          <w:szCs w:val="24"/>
        </w:rPr>
        <w:t>The Review of Financial Studies</w:t>
      </w:r>
      <w:r w:rsidRPr="006F42D2">
        <w:rPr>
          <w:rFonts w:ascii="Times New Roman" w:hAnsi="Times New Roman"/>
          <w:sz w:val="22"/>
          <w:szCs w:val="24"/>
        </w:rPr>
        <w:t xml:space="preserve">, </w:t>
      </w:r>
      <w:r w:rsidRPr="006F42D2">
        <w:rPr>
          <w:rFonts w:ascii="Times New Roman" w:hAnsi="Times New Roman"/>
          <w:i/>
          <w:iCs/>
          <w:sz w:val="22"/>
          <w:szCs w:val="24"/>
        </w:rPr>
        <w:t>13</w:t>
      </w:r>
      <w:r w:rsidRPr="006F42D2">
        <w:rPr>
          <w:rFonts w:ascii="Times New Roman" w:hAnsi="Times New Roman"/>
          <w:sz w:val="22"/>
          <w:szCs w:val="24"/>
        </w:rPr>
        <w:t xml:space="preserve">(1), 1-42. </w:t>
      </w:r>
      <w:hyperlink r:id="rId24" w:tgtFrame="_blank" w:history="1">
        <w:r w:rsidRPr="006F42D2">
          <w:rPr>
            <w:rStyle w:val="Hyperlink"/>
            <w:rFonts w:ascii="Times New Roman" w:hAnsi="Times New Roman"/>
            <w:sz w:val="22"/>
            <w:szCs w:val="24"/>
          </w:rPr>
          <w:t>https://doi.org/10.1093/rfs/13.1.1</w:t>
        </w:r>
      </w:hyperlink>
    </w:p>
    <w:p w14:paraId="79986394" w14:textId="77777777" w:rsidR="006F42D2" w:rsidRDefault="006F42D2" w:rsidP="00AE51AF">
      <w:pPr>
        <w:spacing w:line="360" w:lineRule="auto"/>
        <w:rPr>
          <w:rFonts w:ascii="Times New Roman" w:hAnsi="Times New Roman"/>
          <w:sz w:val="22"/>
          <w:szCs w:val="24"/>
          <w:lang w:val="en-US"/>
        </w:rPr>
      </w:pPr>
    </w:p>
    <w:p w14:paraId="303E7868" w14:textId="0D7F0412" w:rsidR="00DF7421" w:rsidRDefault="00F5039D" w:rsidP="00AE51AF">
      <w:pPr>
        <w:spacing w:line="360" w:lineRule="auto"/>
        <w:rPr>
          <w:rFonts w:ascii="Times New Roman" w:hAnsi="Times New Roman"/>
          <w:sz w:val="22"/>
          <w:szCs w:val="24"/>
          <w:lang w:val="en-US"/>
        </w:rPr>
      </w:pPr>
      <w:r w:rsidRPr="00F5039D">
        <w:rPr>
          <w:rFonts w:ascii="Times New Roman" w:hAnsi="Times New Roman"/>
          <w:sz w:val="22"/>
        </w:rPr>
        <w:t xml:space="preserve">Bakshi, G., Kapadia, N., &amp; Madan, D. (2003). Stock return characteristics: Evidence from stock options. </w:t>
      </w:r>
      <w:r w:rsidRPr="00F5039D">
        <w:rPr>
          <w:rFonts w:ascii="Times New Roman" w:hAnsi="Times New Roman"/>
          <w:i/>
          <w:iCs/>
          <w:sz w:val="22"/>
        </w:rPr>
        <w:t>The Review of Financial Studies</w:t>
      </w:r>
      <w:r w:rsidRPr="00F5039D">
        <w:rPr>
          <w:rFonts w:ascii="Times New Roman" w:hAnsi="Times New Roman"/>
          <w:sz w:val="22"/>
        </w:rPr>
        <w:t xml:space="preserve">, </w:t>
      </w:r>
      <w:r w:rsidRPr="00F5039D">
        <w:rPr>
          <w:rFonts w:ascii="Times New Roman" w:hAnsi="Times New Roman"/>
          <w:i/>
          <w:iCs/>
          <w:sz w:val="22"/>
        </w:rPr>
        <w:t>16</w:t>
      </w:r>
      <w:r w:rsidRPr="00F5039D">
        <w:rPr>
          <w:rFonts w:ascii="Times New Roman" w:hAnsi="Times New Roman"/>
          <w:sz w:val="22"/>
        </w:rPr>
        <w:t xml:space="preserve">(1), 101–143. </w:t>
      </w:r>
      <w:hyperlink r:id="rId25" w:tgtFrame="_blank" w:history="1">
        <w:r w:rsidRPr="00F5039D">
          <w:rPr>
            <w:rStyle w:val="Hyperlink"/>
            <w:rFonts w:ascii="Times New Roman" w:hAnsi="Times New Roman"/>
            <w:sz w:val="22"/>
          </w:rPr>
          <w:t>https://doi.org/10.1093/rfs/hhg030</w:t>
        </w:r>
      </w:hyperlink>
    </w:p>
    <w:p w14:paraId="3301E2AB" w14:textId="77777777" w:rsidR="00DF7421" w:rsidRDefault="00DF7421" w:rsidP="00AE51AF">
      <w:pPr>
        <w:spacing w:line="360" w:lineRule="auto"/>
        <w:rPr>
          <w:rFonts w:ascii="Times New Roman" w:hAnsi="Times New Roman"/>
          <w:sz w:val="22"/>
          <w:szCs w:val="24"/>
          <w:lang w:val="en-US"/>
        </w:rPr>
      </w:pPr>
    </w:p>
    <w:p w14:paraId="282C5DC9" w14:textId="77777777" w:rsidR="002B06DC" w:rsidRPr="002B7CBA" w:rsidRDefault="002B06DC" w:rsidP="002B06DC">
      <w:pPr>
        <w:spacing w:line="300" w:lineRule="atLeast"/>
        <w:rPr>
          <w:rFonts w:ascii="Segoe UI" w:hAnsi="Segoe UI" w:cs="Segoe UI"/>
          <w:color w:val="auto"/>
          <w:sz w:val="21"/>
          <w:szCs w:val="21"/>
          <w:lang w:val="en-US"/>
        </w:rPr>
      </w:pPr>
      <w:r w:rsidRPr="0032620C">
        <w:rPr>
          <w:rFonts w:ascii="Times New Roman" w:hAnsi="Times New Roman"/>
          <w:sz w:val="22"/>
          <w:szCs w:val="24"/>
          <w:lang w:val="en-US"/>
        </w:rPr>
        <w:t>Bali, Beckmeyer, Moerke, Weigert (2021) ‘Option Return Predictability wi</w:t>
      </w:r>
      <w:r>
        <w:rPr>
          <w:rFonts w:ascii="Times New Roman" w:hAnsi="Times New Roman"/>
          <w:sz w:val="22"/>
          <w:szCs w:val="24"/>
          <w:lang w:val="en-US"/>
        </w:rPr>
        <w:t>th Machine Learning and Big Data</w:t>
      </w:r>
      <w:r w:rsidRPr="0032620C">
        <w:rPr>
          <w:rFonts w:ascii="Times New Roman" w:hAnsi="Times New Roman"/>
          <w:sz w:val="22"/>
          <w:szCs w:val="24"/>
          <w:lang w:val="en-US"/>
        </w:rPr>
        <w:t>’</w:t>
      </w:r>
      <w:r>
        <w:rPr>
          <w:rFonts w:ascii="Times New Roman" w:hAnsi="Times New Roman"/>
          <w:sz w:val="22"/>
          <w:szCs w:val="24"/>
          <w:lang w:val="en-US"/>
        </w:rPr>
        <w:t xml:space="preserve"> </w:t>
      </w:r>
      <w:r w:rsidRPr="002B7CBA">
        <w:rPr>
          <w:rFonts w:ascii="Times New Roman" w:hAnsi="Times New Roman"/>
          <w:sz w:val="22"/>
          <w:lang w:val="en-US"/>
        </w:rPr>
        <w:t>CFR Working Paper No. 21-08, Centre for Financial Research (CFR), University of Cologne</w:t>
      </w:r>
    </w:p>
    <w:p w14:paraId="19B0D81A" w14:textId="77777777" w:rsidR="002B06DC" w:rsidRDefault="002B06DC" w:rsidP="00AE51AF">
      <w:pPr>
        <w:spacing w:line="360" w:lineRule="auto"/>
        <w:rPr>
          <w:rFonts w:ascii="Times New Roman" w:hAnsi="Times New Roman"/>
          <w:sz w:val="22"/>
          <w:szCs w:val="24"/>
          <w:lang w:val="en-US"/>
        </w:rPr>
      </w:pPr>
    </w:p>
    <w:p w14:paraId="4B2A131F" w14:textId="77777777" w:rsidR="002B06DC" w:rsidRDefault="002B06DC" w:rsidP="00AE51AF">
      <w:pPr>
        <w:spacing w:line="360" w:lineRule="auto"/>
        <w:rPr>
          <w:rFonts w:ascii="Times New Roman" w:hAnsi="Times New Roman"/>
          <w:sz w:val="22"/>
          <w:szCs w:val="24"/>
          <w:lang w:val="en-US"/>
        </w:rPr>
      </w:pPr>
    </w:p>
    <w:p w14:paraId="289F20C6" w14:textId="17F88441" w:rsidR="00A17C48" w:rsidRDefault="00A17C48" w:rsidP="00AE51AF">
      <w:pPr>
        <w:spacing w:line="360" w:lineRule="auto"/>
        <w:rPr>
          <w:rFonts w:ascii="Times New Roman" w:hAnsi="Times New Roman"/>
          <w:sz w:val="22"/>
          <w:szCs w:val="24"/>
          <w:lang w:val="en-US"/>
        </w:rPr>
      </w:pPr>
      <w:r w:rsidRPr="00E656B3">
        <w:rPr>
          <w:rFonts w:ascii="Times New Roman" w:hAnsi="Times New Roman"/>
          <w:sz w:val="22"/>
          <w:szCs w:val="24"/>
          <w:lang w:val="en-US"/>
        </w:rPr>
        <w:t>Barber, De George, Lehavy &amp; Trueman (2012)</w:t>
      </w:r>
      <w:r w:rsidR="00262BE6" w:rsidRPr="00E656B3">
        <w:rPr>
          <w:rFonts w:ascii="Times New Roman" w:hAnsi="Times New Roman"/>
          <w:sz w:val="22"/>
          <w:szCs w:val="24"/>
          <w:lang w:val="en-US"/>
        </w:rPr>
        <w:t xml:space="preserve">, </w:t>
      </w:r>
      <w:r w:rsidR="00262BE6">
        <w:rPr>
          <w:rFonts w:ascii="Times New Roman" w:hAnsi="Times New Roman"/>
          <w:sz w:val="22"/>
          <w:szCs w:val="24"/>
          <w:lang w:val="en-US"/>
        </w:rPr>
        <w:t>‘</w:t>
      </w:r>
      <w:r w:rsidR="00E656B3">
        <w:rPr>
          <w:rFonts w:ascii="Times New Roman" w:hAnsi="Times New Roman"/>
          <w:sz w:val="22"/>
          <w:szCs w:val="24"/>
          <w:lang w:val="en-US"/>
        </w:rPr>
        <w:t>The Earnings Announcement Premium Around the Globe</w:t>
      </w:r>
      <w:r w:rsidR="00262BE6">
        <w:rPr>
          <w:rFonts w:ascii="Times New Roman" w:hAnsi="Times New Roman"/>
          <w:sz w:val="22"/>
          <w:szCs w:val="24"/>
          <w:lang w:val="en-US"/>
        </w:rPr>
        <w:t>’</w:t>
      </w:r>
      <w:r w:rsidR="00E656B3">
        <w:rPr>
          <w:rFonts w:ascii="Times New Roman" w:hAnsi="Times New Roman"/>
          <w:sz w:val="22"/>
          <w:szCs w:val="24"/>
          <w:lang w:val="en-US"/>
        </w:rPr>
        <w:t xml:space="preserve"> Journal of Financial Economics</w:t>
      </w:r>
      <w:r w:rsidR="0059413F">
        <w:rPr>
          <w:rFonts w:ascii="Times New Roman" w:hAnsi="Times New Roman"/>
          <w:sz w:val="22"/>
          <w:szCs w:val="24"/>
          <w:lang w:val="en-US"/>
        </w:rPr>
        <w:t xml:space="preserve"> (SSRN Working Paper</w:t>
      </w:r>
      <w:r w:rsidR="003D6A5B">
        <w:rPr>
          <w:rFonts w:ascii="Times New Roman" w:hAnsi="Times New Roman"/>
          <w:sz w:val="22"/>
          <w:szCs w:val="24"/>
          <w:lang w:val="en-US"/>
        </w:rPr>
        <w:t xml:space="preserve"> 2501750)</w:t>
      </w:r>
    </w:p>
    <w:p w14:paraId="448C5C12" w14:textId="77777777" w:rsidR="002B06DC" w:rsidRDefault="002B06DC" w:rsidP="00AE51AF">
      <w:pPr>
        <w:spacing w:line="360" w:lineRule="auto"/>
        <w:rPr>
          <w:rFonts w:ascii="Times New Roman" w:hAnsi="Times New Roman"/>
          <w:sz w:val="22"/>
          <w:szCs w:val="24"/>
          <w:lang w:val="en-US"/>
        </w:rPr>
      </w:pPr>
    </w:p>
    <w:p w14:paraId="5F3455FB" w14:textId="77777777" w:rsidR="002B06DC" w:rsidRDefault="002B06DC" w:rsidP="002B06DC">
      <w:pPr>
        <w:spacing w:line="300" w:lineRule="atLeast"/>
        <w:rPr>
          <w:rFonts w:ascii="Times New Roman" w:hAnsi="Times New Roman"/>
          <w:sz w:val="22"/>
          <w:lang w:val="en-US"/>
        </w:rPr>
      </w:pPr>
      <w:r w:rsidRPr="002B06DC">
        <w:rPr>
          <w:rFonts w:ascii="Times New Roman" w:hAnsi="Times New Roman"/>
          <w:sz w:val="22"/>
          <w:lang w:val="en-US"/>
        </w:rPr>
        <w:lastRenderedPageBreak/>
        <w:t>Barth, Mary E., and Eric C. So (2014).</w:t>
      </w:r>
      <w:r w:rsidRPr="002B06DC">
        <w:rPr>
          <w:rFonts w:ascii="Times New Roman" w:hAnsi="Times New Roman"/>
          <w:sz w:val="22"/>
          <w:lang w:val="en-US"/>
        </w:rPr>
        <w:br/>
        <w:t xml:space="preserve">“Non-Diversifiable Volatility Risk and Risk Premiums at Earnings Announcements.” </w:t>
      </w:r>
      <w:r w:rsidRPr="003836A3">
        <w:rPr>
          <w:rStyle w:val="Emphasis"/>
          <w:rFonts w:ascii="Times New Roman" w:hAnsi="Times New Roman"/>
          <w:sz w:val="22"/>
          <w:lang w:val="en-US"/>
        </w:rPr>
        <w:t>The Accounting Review</w:t>
      </w:r>
      <w:r w:rsidRPr="003836A3">
        <w:rPr>
          <w:rFonts w:ascii="Times New Roman" w:hAnsi="Times New Roman"/>
          <w:sz w:val="22"/>
          <w:lang w:val="en-US"/>
        </w:rPr>
        <w:t>, 89(5), 1579–1607.</w:t>
      </w:r>
      <w:r w:rsidRPr="003836A3">
        <w:rPr>
          <w:rFonts w:ascii="Times New Roman" w:hAnsi="Times New Roman"/>
          <w:sz w:val="22"/>
          <w:lang w:val="en-US"/>
        </w:rPr>
        <w:br/>
        <w:t>DOI: 10.2308/accr-50758</w:t>
      </w:r>
    </w:p>
    <w:p w14:paraId="34D5DA9F" w14:textId="77777777" w:rsidR="008978AF" w:rsidRDefault="008978AF" w:rsidP="002B06DC">
      <w:pPr>
        <w:spacing w:line="300" w:lineRule="atLeast"/>
        <w:rPr>
          <w:rFonts w:ascii="Times New Roman" w:hAnsi="Times New Roman"/>
          <w:sz w:val="22"/>
          <w:lang w:val="en-US"/>
        </w:rPr>
      </w:pPr>
    </w:p>
    <w:p w14:paraId="69D72CF5" w14:textId="5365BE04" w:rsidR="008978AF" w:rsidRDefault="008978AF" w:rsidP="002B06DC">
      <w:pPr>
        <w:spacing w:line="300" w:lineRule="atLeast"/>
        <w:rPr>
          <w:rFonts w:ascii="Times New Roman" w:hAnsi="Times New Roman"/>
          <w:sz w:val="22"/>
          <w:lang w:val="en-US"/>
        </w:rPr>
      </w:pPr>
      <w:r w:rsidRPr="008978AF">
        <w:rPr>
          <w:rFonts w:ascii="Times New Roman" w:hAnsi="Times New Roman"/>
          <w:sz w:val="22"/>
        </w:rPr>
        <w:t xml:space="preserve">Battalio, R., Hatch, B., &amp; Jennings, R. (2004). Toward a more ethical stock market: The nature and causes of price improvement in the options market. </w:t>
      </w:r>
      <w:r w:rsidRPr="008978AF">
        <w:rPr>
          <w:rFonts w:ascii="Times New Roman" w:hAnsi="Times New Roman"/>
          <w:i/>
          <w:iCs/>
          <w:sz w:val="22"/>
        </w:rPr>
        <w:t>Journal of Financial and Quantitative Analysis</w:t>
      </w:r>
      <w:r w:rsidRPr="008978AF">
        <w:rPr>
          <w:rFonts w:ascii="Times New Roman" w:hAnsi="Times New Roman"/>
          <w:sz w:val="22"/>
        </w:rPr>
        <w:t xml:space="preserve">, </w:t>
      </w:r>
      <w:r w:rsidRPr="008978AF">
        <w:rPr>
          <w:rFonts w:ascii="Times New Roman" w:hAnsi="Times New Roman"/>
          <w:i/>
          <w:iCs/>
          <w:sz w:val="22"/>
        </w:rPr>
        <w:t>39</w:t>
      </w:r>
      <w:r w:rsidRPr="008978AF">
        <w:rPr>
          <w:rFonts w:ascii="Times New Roman" w:hAnsi="Times New Roman"/>
          <w:sz w:val="22"/>
        </w:rPr>
        <w:t xml:space="preserve">(2), 287–304. </w:t>
      </w:r>
      <w:hyperlink r:id="rId26" w:tgtFrame="_blank" w:history="1">
        <w:r w:rsidRPr="008978AF">
          <w:rPr>
            <w:rStyle w:val="Hyperlink"/>
            <w:rFonts w:ascii="Times New Roman" w:hAnsi="Times New Roman"/>
            <w:sz w:val="22"/>
          </w:rPr>
          <w:t>https://doi.org/10.1017/S002210900000305X</w:t>
        </w:r>
      </w:hyperlink>
    </w:p>
    <w:p w14:paraId="2F712EFB" w14:textId="77777777" w:rsidR="00C10D42" w:rsidRDefault="00C10D42" w:rsidP="002B06DC">
      <w:pPr>
        <w:spacing w:line="300" w:lineRule="atLeast"/>
        <w:rPr>
          <w:rFonts w:ascii="Times New Roman" w:hAnsi="Times New Roman"/>
          <w:sz w:val="22"/>
          <w:lang w:val="en-US"/>
        </w:rPr>
      </w:pPr>
    </w:p>
    <w:p w14:paraId="180311D5" w14:textId="3203E1B5" w:rsidR="00C10D42" w:rsidRDefault="00C10D42" w:rsidP="002B06DC">
      <w:pPr>
        <w:spacing w:line="300" w:lineRule="atLeast"/>
        <w:rPr>
          <w:rFonts w:ascii="Times New Roman" w:hAnsi="Times New Roman"/>
          <w:sz w:val="22"/>
          <w:lang w:val="en-US"/>
        </w:rPr>
      </w:pPr>
      <w:r w:rsidRPr="00C10D42">
        <w:rPr>
          <w:rFonts w:ascii="Times New Roman" w:hAnsi="Times New Roman"/>
          <w:sz w:val="22"/>
        </w:rPr>
        <w:t xml:space="preserve">Bloomberg L.P. (2024). </w:t>
      </w:r>
      <w:r w:rsidRPr="00C10D42">
        <w:rPr>
          <w:rFonts w:ascii="Times New Roman" w:hAnsi="Times New Roman"/>
          <w:i/>
          <w:iCs/>
          <w:sz w:val="22"/>
        </w:rPr>
        <w:t>Expected Earnings Move (MOVE) Functionality</w:t>
      </w:r>
      <w:r w:rsidRPr="00C10D42">
        <w:rPr>
          <w:rFonts w:ascii="Times New Roman" w:hAnsi="Times New Roman"/>
          <w:sz w:val="22"/>
        </w:rPr>
        <w:t>. Bloomberg Professional Service.</w:t>
      </w:r>
    </w:p>
    <w:p w14:paraId="5369E207" w14:textId="77777777" w:rsidR="001B6902" w:rsidRDefault="001B6902" w:rsidP="002B06DC">
      <w:pPr>
        <w:spacing w:line="300" w:lineRule="atLeast"/>
        <w:rPr>
          <w:rFonts w:ascii="Times New Roman" w:hAnsi="Times New Roman"/>
          <w:sz w:val="22"/>
          <w:lang w:val="en-US"/>
        </w:rPr>
      </w:pPr>
    </w:p>
    <w:p w14:paraId="470F03DC" w14:textId="53B9CBC3" w:rsidR="001B6902" w:rsidRPr="003836A3" w:rsidRDefault="001B6902" w:rsidP="002B06DC">
      <w:pPr>
        <w:spacing w:line="300" w:lineRule="atLeast"/>
        <w:rPr>
          <w:rFonts w:ascii="Times New Roman" w:hAnsi="Times New Roman"/>
          <w:color w:val="auto"/>
          <w:sz w:val="22"/>
          <w:lang w:val="en-US"/>
        </w:rPr>
      </w:pPr>
      <w:r w:rsidRPr="001B6902">
        <w:rPr>
          <w:rFonts w:ascii="Times New Roman" w:hAnsi="Times New Roman"/>
          <w:color w:val="auto"/>
          <w:sz w:val="22"/>
        </w:rPr>
        <w:t xml:space="preserve">Conrad, J., Dittmar, R. F., &amp; Ghysels, E. (2013). Ex ante skewness and expected stock returns. </w:t>
      </w:r>
      <w:r w:rsidRPr="001B6902">
        <w:rPr>
          <w:rFonts w:ascii="Times New Roman" w:hAnsi="Times New Roman"/>
          <w:i/>
          <w:iCs/>
          <w:color w:val="auto"/>
          <w:sz w:val="22"/>
        </w:rPr>
        <w:t>The Journal of Finance</w:t>
      </w:r>
      <w:r w:rsidRPr="001B6902">
        <w:rPr>
          <w:rFonts w:ascii="Times New Roman" w:hAnsi="Times New Roman"/>
          <w:color w:val="auto"/>
          <w:sz w:val="22"/>
        </w:rPr>
        <w:t xml:space="preserve">, </w:t>
      </w:r>
      <w:r w:rsidRPr="001B6902">
        <w:rPr>
          <w:rFonts w:ascii="Times New Roman" w:hAnsi="Times New Roman"/>
          <w:i/>
          <w:iCs/>
          <w:color w:val="auto"/>
          <w:sz w:val="22"/>
        </w:rPr>
        <w:t>68</w:t>
      </w:r>
      <w:r w:rsidRPr="001B6902">
        <w:rPr>
          <w:rFonts w:ascii="Times New Roman" w:hAnsi="Times New Roman"/>
          <w:color w:val="auto"/>
          <w:sz w:val="22"/>
        </w:rPr>
        <w:t xml:space="preserve">(1), 85–124. </w:t>
      </w:r>
      <w:hyperlink r:id="rId27" w:tgtFrame="_blank" w:history="1">
        <w:r w:rsidRPr="001B6902">
          <w:rPr>
            <w:rStyle w:val="Hyperlink"/>
            <w:rFonts w:ascii="Times New Roman" w:hAnsi="Times New Roman"/>
            <w:sz w:val="22"/>
          </w:rPr>
          <w:t>https://doi.org/10.1111/j.1540-6261.2012.01795.x</w:t>
        </w:r>
      </w:hyperlink>
      <w:r w:rsidRPr="001B6902">
        <w:rPr>
          <w:rFonts w:ascii="Times New Roman" w:hAnsi="Times New Roman"/>
          <w:color w:val="auto"/>
          <w:sz w:val="22"/>
        </w:rPr>
        <w:t xml:space="preserve"> Cited by: 1111</w:t>
      </w:r>
    </w:p>
    <w:p w14:paraId="0212F357" w14:textId="1B958AE1" w:rsidR="00354ABC" w:rsidRDefault="00354ABC" w:rsidP="00AE51AF">
      <w:pPr>
        <w:spacing w:line="360" w:lineRule="auto"/>
        <w:rPr>
          <w:rFonts w:ascii="Times New Roman" w:hAnsi="Times New Roman"/>
          <w:sz w:val="22"/>
          <w:szCs w:val="24"/>
          <w:lang w:val="en-US"/>
        </w:rPr>
      </w:pPr>
    </w:p>
    <w:p w14:paraId="3D52BD62" w14:textId="77777777" w:rsidR="00C62B4C" w:rsidRPr="003836A3" w:rsidRDefault="00C62B4C" w:rsidP="00C62B4C">
      <w:pPr>
        <w:spacing w:line="300" w:lineRule="atLeast"/>
        <w:rPr>
          <w:rFonts w:ascii="Times New Roman" w:hAnsi="Times New Roman"/>
          <w:color w:val="auto"/>
          <w:sz w:val="22"/>
          <w:lang w:val="en-US"/>
        </w:rPr>
      </w:pPr>
      <w:r w:rsidRPr="00C62B4C">
        <w:rPr>
          <w:rFonts w:ascii="Times New Roman" w:hAnsi="Times New Roman"/>
          <w:sz w:val="22"/>
          <w:lang w:val="en-US"/>
        </w:rPr>
        <w:t>DellaVigna, Stefano, and Joshua M. Pollet (2009).</w:t>
      </w:r>
      <w:r w:rsidRPr="00C62B4C">
        <w:rPr>
          <w:rFonts w:ascii="Times New Roman" w:hAnsi="Times New Roman"/>
          <w:sz w:val="22"/>
          <w:lang w:val="en-US"/>
        </w:rPr>
        <w:br/>
        <w:t xml:space="preserve">“Investor Inattention and Friday Earnings Announcements.” </w:t>
      </w:r>
      <w:r w:rsidRPr="003836A3">
        <w:rPr>
          <w:rStyle w:val="Emphasis"/>
          <w:rFonts w:ascii="Times New Roman" w:hAnsi="Times New Roman"/>
          <w:sz w:val="22"/>
          <w:lang w:val="en-US"/>
        </w:rPr>
        <w:t>The Journal of Finance</w:t>
      </w:r>
      <w:r w:rsidRPr="003836A3">
        <w:rPr>
          <w:rFonts w:ascii="Times New Roman" w:hAnsi="Times New Roman"/>
          <w:sz w:val="22"/>
          <w:lang w:val="en-US"/>
        </w:rPr>
        <w:t>, 64(2), 709–749.</w:t>
      </w:r>
      <w:r w:rsidRPr="003836A3">
        <w:rPr>
          <w:rFonts w:ascii="Times New Roman" w:hAnsi="Times New Roman"/>
          <w:sz w:val="22"/>
          <w:lang w:val="en-US"/>
        </w:rPr>
        <w:br/>
        <w:t>DOI: 10.1111/j.1540-6261.2009.01447.x</w:t>
      </w:r>
    </w:p>
    <w:p w14:paraId="78F724B8" w14:textId="77777777" w:rsidR="00C62B4C" w:rsidRDefault="00C62B4C" w:rsidP="00AE51AF">
      <w:pPr>
        <w:spacing w:line="360" w:lineRule="auto"/>
        <w:rPr>
          <w:rFonts w:ascii="Times New Roman" w:hAnsi="Times New Roman"/>
          <w:sz w:val="22"/>
          <w:szCs w:val="24"/>
          <w:lang w:val="en-US"/>
        </w:rPr>
      </w:pPr>
    </w:p>
    <w:p w14:paraId="6FFD0472" w14:textId="77777777" w:rsidR="00DF7421" w:rsidRDefault="00DF7421" w:rsidP="00DF7421">
      <w:pPr>
        <w:spacing w:line="300" w:lineRule="atLeast"/>
        <w:rPr>
          <w:rFonts w:ascii="Times New Roman" w:hAnsi="Times New Roman"/>
          <w:sz w:val="22"/>
          <w:lang w:val="en-US"/>
        </w:rPr>
      </w:pPr>
      <w:r w:rsidRPr="00DF7421">
        <w:rPr>
          <w:rFonts w:ascii="Times New Roman" w:hAnsi="Times New Roman"/>
          <w:sz w:val="22"/>
          <w:lang w:val="en-US"/>
        </w:rPr>
        <w:t>Diavatopoulos, Dean; Doran, James S.; Fodor, Andy; Peterson, David R. (2012).</w:t>
      </w:r>
      <w:r w:rsidRPr="00DF7421">
        <w:rPr>
          <w:rFonts w:ascii="Times New Roman" w:hAnsi="Times New Roman"/>
          <w:sz w:val="22"/>
          <w:lang w:val="en-US"/>
        </w:rPr>
        <w:br/>
        <w:t xml:space="preserve">“The Information Content of Implied Skewness and Kurtosis Changes Prior to Earnings Announcements for Stock and Option Returns.” </w:t>
      </w:r>
      <w:r w:rsidRPr="003836A3">
        <w:rPr>
          <w:rStyle w:val="Emphasis"/>
          <w:rFonts w:ascii="Times New Roman" w:hAnsi="Times New Roman"/>
          <w:sz w:val="22"/>
          <w:lang w:val="en-US"/>
        </w:rPr>
        <w:t>Journal of Banking &amp; Finance</w:t>
      </w:r>
      <w:r w:rsidRPr="003836A3">
        <w:rPr>
          <w:rFonts w:ascii="Times New Roman" w:hAnsi="Times New Roman"/>
          <w:sz w:val="22"/>
          <w:lang w:val="en-US"/>
        </w:rPr>
        <w:t>, 36(3), 786–803.</w:t>
      </w:r>
      <w:r w:rsidRPr="003836A3">
        <w:rPr>
          <w:rFonts w:ascii="Times New Roman" w:hAnsi="Times New Roman"/>
          <w:sz w:val="22"/>
          <w:lang w:val="en-US"/>
        </w:rPr>
        <w:br/>
        <w:t>DOI: 10.1016/j.jbankfin.2011.09.011</w:t>
      </w:r>
    </w:p>
    <w:p w14:paraId="00035B3B" w14:textId="77777777" w:rsidR="00DD681A" w:rsidRDefault="00DD681A" w:rsidP="00DF7421">
      <w:pPr>
        <w:spacing w:line="300" w:lineRule="atLeast"/>
        <w:rPr>
          <w:rFonts w:ascii="Times New Roman" w:hAnsi="Times New Roman"/>
          <w:sz w:val="22"/>
          <w:lang w:val="en-US"/>
        </w:rPr>
      </w:pPr>
    </w:p>
    <w:p w14:paraId="032B7588" w14:textId="3CE98CB8" w:rsidR="00DD681A" w:rsidRPr="003836A3" w:rsidRDefault="00DD681A" w:rsidP="00DF7421">
      <w:pPr>
        <w:spacing w:line="300" w:lineRule="atLeast"/>
        <w:rPr>
          <w:rFonts w:ascii="Times New Roman" w:hAnsi="Times New Roman"/>
          <w:color w:val="auto"/>
          <w:sz w:val="22"/>
          <w:lang w:val="en-US"/>
        </w:rPr>
      </w:pPr>
      <w:r w:rsidRPr="00DD681A">
        <w:rPr>
          <w:rFonts w:ascii="Times New Roman" w:hAnsi="Times New Roman"/>
          <w:color w:val="auto"/>
          <w:sz w:val="22"/>
        </w:rPr>
        <w:t xml:space="preserve">de Silva, T., Smith, C. J., &amp; So, E. C. (2022). Losing is optional: Retail option trading and expected announcement volatility. </w:t>
      </w:r>
      <w:r w:rsidRPr="00DD681A">
        <w:rPr>
          <w:rFonts w:ascii="Times New Roman" w:hAnsi="Times New Roman"/>
          <w:i/>
          <w:iCs/>
          <w:color w:val="auto"/>
          <w:sz w:val="22"/>
        </w:rPr>
        <w:t>SSRN Electronic Journal</w:t>
      </w:r>
      <w:r w:rsidRPr="00DD681A">
        <w:rPr>
          <w:rFonts w:ascii="Times New Roman" w:hAnsi="Times New Roman"/>
          <w:color w:val="auto"/>
          <w:sz w:val="22"/>
        </w:rPr>
        <w:t xml:space="preserve">. </w:t>
      </w:r>
      <w:hyperlink r:id="rId28" w:tgtFrame="_blank" w:history="1">
        <w:r w:rsidRPr="00DD681A">
          <w:rPr>
            <w:rStyle w:val="Hyperlink"/>
            <w:rFonts w:ascii="Times New Roman" w:hAnsi="Times New Roman"/>
            <w:sz w:val="22"/>
          </w:rPr>
          <w:t>https://doi.org/10.2139/ssrn.4116805</w:t>
        </w:r>
      </w:hyperlink>
    </w:p>
    <w:p w14:paraId="0038912B" w14:textId="66674159" w:rsidR="00B11D61" w:rsidRPr="0032620C" w:rsidRDefault="00B11D61" w:rsidP="00AE51AF">
      <w:pPr>
        <w:spacing w:line="360" w:lineRule="auto"/>
        <w:rPr>
          <w:rFonts w:ascii="Times New Roman" w:hAnsi="Times New Roman"/>
          <w:sz w:val="22"/>
          <w:szCs w:val="24"/>
          <w:lang w:val="en-US"/>
        </w:rPr>
      </w:pPr>
    </w:p>
    <w:p w14:paraId="1B925769" w14:textId="00651ECF" w:rsidR="007C750F" w:rsidRDefault="007C750F" w:rsidP="00AE51AF">
      <w:pPr>
        <w:spacing w:line="360" w:lineRule="auto"/>
      </w:pPr>
      <w:r w:rsidRPr="007C750F">
        <w:rPr>
          <w:rFonts w:ascii="Times New Roman" w:hAnsi="Times New Roman"/>
          <w:sz w:val="22"/>
          <w:szCs w:val="24"/>
          <w:lang w:val="en-US"/>
        </w:rPr>
        <w:t>Durbinsky, Johannes, Kaeck &amp; Seeger (201</w:t>
      </w:r>
      <w:r w:rsidR="00A70108">
        <w:rPr>
          <w:rFonts w:ascii="Times New Roman" w:hAnsi="Times New Roman"/>
          <w:sz w:val="22"/>
          <w:szCs w:val="24"/>
          <w:lang w:val="en-US"/>
        </w:rPr>
        <w:t>8</w:t>
      </w:r>
      <w:r w:rsidRPr="007C750F">
        <w:rPr>
          <w:rFonts w:ascii="Times New Roman" w:hAnsi="Times New Roman"/>
          <w:sz w:val="22"/>
          <w:szCs w:val="24"/>
          <w:lang w:val="en-US"/>
        </w:rPr>
        <w:t>) ‘Option Pricing of Ea</w:t>
      </w:r>
      <w:r>
        <w:rPr>
          <w:rFonts w:ascii="Times New Roman" w:hAnsi="Times New Roman"/>
          <w:sz w:val="22"/>
          <w:szCs w:val="24"/>
          <w:lang w:val="en-US"/>
        </w:rPr>
        <w:t>rnings Announcement Risks</w:t>
      </w:r>
      <w:r w:rsidRPr="007C750F">
        <w:rPr>
          <w:rFonts w:ascii="Times New Roman" w:hAnsi="Times New Roman"/>
          <w:sz w:val="22"/>
          <w:szCs w:val="24"/>
          <w:lang w:val="en-US"/>
        </w:rPr>
        <w:t>’</w:t>
      </w:r>
      <w:r>
        <w:rPr>
          <w:rFonts w:ascii="Times New Roman" w:hAnsi="Times New Roman"/>
          <w:sz w:val="22"/>
          <w:szCs w:val="24"/>
          <w:lang w:val="en-US"/>
        </w:rPr>
        <w:t xml:space="preserve"> </w:t>
      </w:r>
      <w:r w:rsidR="00737D8E" w:rsidRPr="00737D8E">
        <w:rPr>
          <w:rStyle w:val="Emphasis"/>
          <w:rFonts w:ascii="Times New Roman" w:hAnsi="Times New Roman"/>
          <w:color w:val="2A2A2A"/>
          <w:sz w:val="22"/>
          <w:bdr w:val="none" w:sz="0" w:space="0" w:color="auto" w:frame="1"/>
          <w:shd w:val="clear" w:color="auto" w:fill="FFFFFF"/>
          <w:lang w:val="en-US"/>
        </w:rPr>
        <w:t>The Review of Financial Studies</w:t>
      </w:r>
      <w:r w:rsidR="00737D8E" w:rsidRPr="00737D8E">
        <w:rPr>
          <w:rFonts w:ascii="Times New Roman" w:hAnsi="Times New Roman"/>
          <w:color w:val="2A2A2A"/>
          <w:sz w:val="22"/>
          <w:shd w:val="clear" w:color="auto" w:fill="FFFFFF"/>
          <w:lang w:val="en-US"/>
        </w:rPr>
        <w:t>, Volume 32, Issue 2, February 2019, Pages 646–687, </w:t>
      </w:r>
      <w:hyperlink r:id="rId29" w:history="1">
        <w:r w:rsidR="00737D8E" w:rsidRPr="00737D8E">
          <w:rPr>
            <w:rStyle w:val="Hyperlink"/>
            <w:rFonts w:ascii="Times New Roman" w:hAnsi="Times New Roman"/>
            <w:color w:val="006FB7"/>
            <w:sz w:val="22"/>
            <w:bdr w:val="none" w:sz="0" w:space="0" w:color="auto" w:frame="1"/>
            <w:shd w:val="clear" w:color="auto" w:fill="FFFFFF"/>
            <w:lang w:val="en-US"/>
          </w:rPr>
          <w:t>https://doi.org/10.1093/rfs/hhy060</w:t>
        </w:r>
      </w:hyperlink>
    </w:p>
    <w:p w14:paraId="61387012" w14:textId="77777777" w:rsidR="009E4665" w:rsidRDefault="009E4665" w:rsidP="00AE51AF">
      <w:pPr>
        <w:spacing w:line="360" w:lineRule="auto"/>
      </w:pPr>
    </w:p>
    <w:p w14:paraId="4FF6367C" w14:textId="78816F32" w:rsidR="009E4665" w:rsidRDefault="009E4665" w:rsidP="00AE51AF">
      <w:pPr>
        <w:spacing w:line="360" w:lineRule="auto"/>
        <w:rPr>
          <w:rFonts w:ascii="Times New Roman" w:hAnsi="Times New Roman"/>
          <w:sz w:val="22"/>
        </w:rPr>
      </w:pPr>
      <w:r w:rsidRPr="009E4665">
        <w:rPr>
          <w:rFonts w:ascii="Times New Roman" w:hAnsi="Times New Roman"/>
          <w:sz w:val="22"/>
        </w:rPr>
        <w:t xml:space="preserve">Easley, D., O'Hara, M., &amp; Srinivas, P. S. (1998). Option volume and stock prices: Evidence on where informed traders trade. </w:t>
      </w:r>
      <w:r w:rsidRPr="009E4665">
        <w:rPr>
          <w:rFonts w:ascii="Times New Roman" w:hAnsi="Times New Roman"/>
          <w:i/>
          <w:iCs/>
          <w:sz w:val="22"/>
        </w:rPr>
        <w:t>The Journal of Finance</w:t>
      </w:r>
      <w:r w:rsidRPr="009E4665">
        <w:rPr>
          <w:rFonts w:ascii="Times New Roman" w:hAnsi="Times New Roman"/>
          <w:sz w:val="22"/>
        </w:rPr>
        <w:t xml:space="preserve">, </w:t>
      </w:r>
      <w:r w:rsidRPr="009E4665">
        <w:rPr>
          <w:rFonts w:ascii="Times New Roman" w:hAnsi="Times New Roman"/>
          <w:i/>
          <w:iCs/>
          <w:sz w:val="22"/>
        </w:rPr>
        <w:t>53</w:t>
      </w:r>
      <w:r w:rsidRPr="009E4665">
        <w:rPr>
          <w:rFonts w:ascii="Times New Roman" w:hAnsi="Times New Roman"/>
          <w:sz w:val="22"/>
        </w:rPr>
        <w:t>(2), 431-465.</w:t>
      </w:r>
    </w:p>
    <w:p w14:paraId="50440CC2" w14:textId="77777777" w:rsidR="00DE6AE4" w:rsidRDefault="00DE6AE4" w:rsidP="00AE51AF">
      <w:pPr>
        <w:spacing w:line="360" w:lineRule="auto"/>
        <w:rPr>
          <w:rFonts w:ascii="Times New Roman" w:hAnsi="Times New Roman"/>
          <w:sz w:val="22"/>
        </w:rPr>
      </w:pPr>
    </w:p>
    <w:p w14:paraId="6C2E945C" w14:textId="37E60DF3" w:rsidR="00DE6AE4" w:rsidRDefault="00DE6AE4" w:rsidP="00AE51AF">
      <w:pPr>
        <w:spacing w:line="360" w:lineRule="auto"/>
        <w:rPr>
          <w:rFonts w:ascii="Times New Roman" w:hAnsi="Times New Roman"/>
          <w:sz w:val="22"/>
          <w:lang w:val="en-US"/>
        </w:rPr>
      </w:pPr>
      <w:r w:rsidRPr="00DE6AE4">
        <w:rPr>
          <w:rFonts w:ascii="Times New Roman" w:hAnsi="Times New Roman"/>
          <w:sz w:val="22"/>
        </w:rPr>
        <w:t xml:space="preserve">Fodor, A., Krieger, K., &amp; Doran, J. S. (2011). Do option open-interest changes foreshadow future equity returns? </w:t>
      </w:r>
      <w:r w:rsidRPr="00DE6AE4">
        <w:rPr>
          <w:rFonts w:ascii="Times New Roman" w:hAnsi="Times New Roman"/>
          <w:i/>
          <w:iCs/>
          <w:sz w:val="22"/>
        </w:rPr>
        <w:t>Journal of Futures Markets</w:t>
      </w:r>
      <w:r w:rsidRPr="00DE6AE4">
        <w:rPr>
          <w:rFonts w:ascii="Times New Roman" w:hAnsi="Times New Roman"/>
          <w:sz w:val="22"/>
        </w:rPr>
        <w:t xml:space="preserve">, </w:t>
      </w:r>
      <w:r w:rsidRPr="00DE6AE4">
        <w:rPr>
          <w:rFonts w:ascii="Times New Roman" w:hAnsi="Times New Roman"/>
          <w:i/>
          <w:iCs/>
          <w:sz w:val="22"/>
        </w:rPr>
        <w:t>31</w:t>
      </w:r>
      <w:r w:rsidRPr="00DE6AE4">
        <w:rPr>
          <w:rFonts w:ascii="Times New Roman" w:hAnsi="Times New Roman"/>
          <w:sz w:val="22"/>
        </w:rPr>
        <w:t xml:space="preserve">(3), 243-260. </w:t>
      </w:r>
      <w:hyperlink r:id="rId30" w:tgtFrame="_blank" w:history="1">
        <w:r w:rsidRPr="00DE6AE4">
          <w:rPr>
            <w:rStyle w:val="Hyperlink"/>
            <w:rFonts w:ascii="Times New Roman" w:hAnsi="Times New Roman"/>
            <w:sz w:val="22"/>
          </w:rPr>
          <w:t>https://doi.org/10.1002/fut.20467</w:t>
        </w:r>
      </w:hyperlink>
    </w:p>
    <w:p w14:paraId="71DA9D13" w14:textId="77777777" w:rsidR="008A418E" w:rsidRDefault="008A418E" w:rsidP="00AE51AF">
      <w:pPr>
        <w:spacing w:line="360" w:lineRule="auto"/>
        <w:rPr>
          <w:rFonts w:ascii="Times New Roman" w:hAnsi="Times New Roman"/>
          <w:sz w:val="22"/>
          <w:lang w:val="en-US"/>
        </w:rPr>
      </w:pPr>
    </w:p>
    <w:p w14:paraId="4BDC1D57" w14:textId="7D7C36A0" w:rsidR="008A418E" w:rsidRPr="00A70108" w:rsidRDefault="008A418E" w:rsidP="00AE51AF">
      <w:pPr>
        <w:spacing w:line="360" w:lineRule="auto"/>
        <w:rPr>
          <w:rFonts w:ascii="Times New Roman" w:hAnsi="Times New Roman"/>
          <w:sz w:val="22"/>
          <w:lang w:val="en-US"/>
        </w:rPr>
      </w:pPr>
      <w:r w:rsidRPr="008A418E">
        <w:rPr>
          <w:rFonts w:ascii="Times New Roman" w:hAnsi="Times New Roman"/>
          <w:sz w:val="22"/>
        </w:rPr>
        <w:t xml:space="preserve">Gao, C., Xing, Y., &amp; Zhang, X. (2018). Anticipating uncertainty: Straddles around earnings announcements. </w:t>
      </w:r>
      <w:r w:rsidRPr="008A418E">
        <w:rPr>
          <w:rFonts w:ascii="Times New Roman" w:hAnsi="Times New Roman"/>
          <w:i/>
          <w:iCs/>
          <w:sz w:val="22"/>
        </w:rPr>
        <w:t>Journal of Financial and Quantitative Analysis</w:t>
      </w:r>
      <w:r w:rsidRPr="008A418E">
        <w:rPr>
          <w:rFonts w:ascii="Times New Roman" w:hAnsi="Times New Roman"/>
          <w:sz w:val="22"/>
        </w:rPr>
        <w:t xml:space="preserve">, </w:t>
      </w:r>
      <w:r w:rsidRPr="008A418E">
        <w:rPr>
          <w:rFonts w:ascii="Times New Roman" w:hAnsi="Times New Roman"/>
          <w:i/>
          <w:iCs/>
          <w:sz w:val="22"/>
        </w:rPr>
        <w:t>53</w:t>
      </w:r>
      <w:r w:rsidRPr="008A418E">
        <w:rPr>
          <w:rFonts w:ascii="Times New Roman" w:hAnsi="Times New Roman"/>
          <w:sz w:val="22"/>
        </w:rPr>
        <w:t xml:space="preserve">(6), 2587–2617. </w:t>
      </w:r>
      <w:hyperlink r:id="rId31" w:tgtFrame="_blank" w:history="1">
        <w:r w:rsidRPr="008A418E">
          <w:rPr>
            <w:rStyle w:val="Hyperlink"/>
            <w:rFonts w:ascii="Times New Roman" w:hAnsi="Times New Roman"/>
            <w:sz w:val="22"/>
          </w:rPr>
          <w:t>https://doi.org/10.1017/s0022109018000285</w:t>
        </w:r>
      </w:hyperlink>
    </w:p>
    <w:p w14:paraId="67C3A1A4" w14:textId="77777777" w:rsidR="00737D8E" w:rsidRPr="007C750F" w:rsidRDefault="00737D8E" w:rsidP="00AE51AF">
      <w:pPr>
        <w:spacing w:line="360" w:lineRule="auto"/>
        <w:rPr>
          <w:rFonts w:ascii="Times New Roman" w:hAnsi="Times New Roman"/>
          <w:sz w:val="22"/>
          <w:szCs w:val="24"/>
          <w:lang w:val="en-US"/>
        </w:rPr>
      </w:pPr>
    </w:p>
    <w:p w14:paraId="7C9C12F7" w14:textId="1877C8FB" w:rsidR="00B11D61" w:rsidRDefault="00B11D61" w:rsidP="00AE51AF">
      <w:pPr>
        <w:spacing w:line="360" w:lineRule="auto"/>
        <w:rPr>
          <w:rFonts w:ascii="Times New Roman" w:hAnsi="Times New Roman"/>
          <w:sz w:val="22"/>
          <w:szCs w:val="24"/>
          <w:lang w:val="en-US"/>
        </w:rPr>
      </w:pPr>
      <w:r>
        <w:rPr>
          <w:rFonts w:ascii="Times New Roman" w:hAnsi="Times New Roman"/>
          <w:sz w:val="22"/>
          <w:szCs w:val="24"/>
          <w:lang w:val="en-US"/>
        </w:rPr>
        <w:t>Go</w:t>
      </w:r>
      <w:r w:rsidR="009C0961">
        <w:rPr>
          <w:rFonts w:ascii="Times New Roman" w:hAnsi="Times New Roman"/>
          <w:sz w:val="22"/>
          <w:szCs w:val="24"/>
          <w:lang w:val="en-US"/>
        </w:rPr>
        <w:t xml:space="preserve">vindaraj, Jin, Livnat &amp; Zhao (2014) ‘Using Option Implied Volatilities to Predict </w:t>
      </w:r>
      <w:r w:rsidR="00CC7A2F">
        <w:rPr>
          <w:rFonts w:ascii="Times New Roman" w:hAnsi="Times New Roman"/>
          <w:sz w:val="22"/>
          <w:szCs w:val="24"/>
          <w:lang w:val="en-US"/>
        </w:rPr>
        <w:t>Absolute Stock Returns – Evidence from Earnings Announcements and Annual Shareholder Meetings’</w:t>
      </w:r>
    </w:p>
    <w:p w14:paraId="55F46B39" w14:textId="77777777" w:rsidR="009A7476" w:rsidRDefault="009A7476" w:rsidP="00AE51AF">
      <w:pPr>
        <w:spacing w:line="360" w:lineRule="auto"/>
        <w:rPr>
          <w:rFonts w:ascii="Times New Roman" w:hAnsi="Times New Roman"/>
          <w:sz w:val="22"/>
          <w:szCs w:val="24"/>
          <w:lang w:val="en-US"/>
        </w:rPr>
      </w:pPr>
    </w:p>
    <w:p w14:paraId="64C87678" w14:textId="46002500" w:rsidR="009A7476" w:rsidRDefault="009A7476" w:rsidP="00AE51AF">
      <w:pPr>
        <w:spacing w:line="360" w:lineRule="auto"/>
        <w:rPr>
          <w:rFonts w:ascii="Times New Roman" w:hAnsi="Times New Roman"/>
          <w:sz w:val="22"/>
          <w:szCs w:val="24"/>
          <w:lang w:val="en-US"/>
        </w:rPr>
      </w:pPr>
      <w:r>
        <w:rPr>
          <w:rFonts w:ascii="Times New Roman" w:hAnsi="Times New Roman"/>
          <w:sz w:val="22"/>
          <w:szCs w:val="24"/>
          <w:lang w:val="en-US"/>
        </w:rPr>
        <w:t>Goyal</w:t>
      </w:r>
      <w:r w:rsidR="009733DB">
        <w:rPr>
          <w:rFonts w:ascii="Times New Roman" w:hAnsi="Times New Roman"/>
          <w:sz w:val="22"/>
          <w:szCs w:val="24"/>
          <w:lang w:val="en-US"/>
        </w:rPr>
        <w:t xml:space="preserve"> &amp; Saretto (2009) ‘Cross section of </w:t>
      </w:r>
      <w:r w:rsidR="002E18BF">
        <w:rPr>
          <w:rFonts w:ascii="Times New Roman" w:hAnsi="Times New Roman"/>
          <w:sz w:val="22"/>
          <w:szCs w:val="24"/>
          <w:lang w:val="en-US"/>
        </w:rPr>
        <w:t>option returns and volatility</w:t>
      </w:r>
      <w:r w:rsidR="009733DB">
        <w:rPr>
          <w:rFonts w:ascii="Times New Roman" w:hAnsi="Times New Roman"/>
          <w:sz w:val="22"/>
          <w:szCs w:val="24"/>
          <w:lang w:val="en-US"/>
        </w:rPr>
        <w:t>’</w:t>
      </w:r>
    </w:p>
    <w:p w14:paraId="4BDF0892" w14:textId="77777777" w:rsidR="005C5E2B" w:rsidRDefault="005C5E2B" w:rsidP="00AE51AF">
      <w:pPr>
        <w:spacing w:line="360" w:lineRule="auto"/>
        <w:rPr>
          <w:rFonts w:ascii="Times New Roman" w:hAnsi="Times New Roman"/>
          <w:sz w:val="22"/>
          <w:szCs w:val="24"/>
          <w:lang w:val="en-US"/>
        </w:rPr>
      </w:pPr>
    </w:p>
    <w:p w14:paraId="21CEDB97" w14:textId="77777777" w:rsidR="005C5E2B" w:rsidRDefault="005C5E2B" w:rsidP="005C5E2B">
      <w:pPr>
        <w:spacing w:line="300" w:lineRule="atLeast"/>
        <w:rPr>
          <w:rFonts w:ascii="Times New Roman" w:hAnsi="Times New Roman"/>
          <w:sz w:val="22"/>
          <w:lang w:val="en-US"/>
        </w:rPr>
      </w:pPr>
      <w:r w:rsidRPr="005C5E2B">
        <w:rPr>
          <w:rFonts w:ascii="Times New Roman" w:hAnsi="Times New Roman"/>
          <w:sz w:val="22"/>
          <w:lang w:val="en-US"/>
        </w:rPr>
        <w:t>Hirshleifer, David; Lim, Sonya S.; Teoh, Siew Hong (2009).</w:t>
      </w:r>
      <w:r w:rsidRPr="005C5E2B">
        <w:rPr>
          <w:rFonts w:ascii="Times New Roman" w:hAnsi="Times New Roman"/>
          <w:sz w:val="22"/>
          <w:lang w:val="en-US"/>
        </w:rPr>
        <w:br/>
        <w:t xml:space="preserve">“Driven to Distraction: Extraneous Events and Underreaction to Earnings News.” </w:t>
      </w:r>
      <w:r w:rsidRPr="003836A3">
        <w:rPr>
          <w:rStyle w:val="Emphasis"/>
          <w:rFonts w:ascii="Times New Roman" w:hAnsi="Times New Roman"/>
          <w:sz w:val="22"/>
          <w:lang w:val="en-US"/>
        </w:rPr>
        <w:t>The Journal of Finance</w:t>
      </w:r>
      <w:r w:rsidRPr="003836A3">
        <w:rPr>
          <w:rFonts w:ascii="Times New Roman" w:hAnsi="Times New Roman"/>
          <w:sz w:val="22"/>
          <w:lang w:val="en-US"/>
        </w:rPr>
        <w:t>, 64(5), 2289–2325.</w:t>
      </w:r>
      <w:r w:rsidRPr="003836A3">
        <w:rPr>
          <w:rFonts w:ascii="Times New Roman" w:hAnsi="Times New Roman"/>
          <w:sz w:val="22"/>
          <w:lang w:val="en-US"/>
        </w:rPr>
        <w:br/>
        <w:t>DOI: 10.1111/j.1540-6261.2009.01501.x</w:t>
      </w:r>
    </w:p>
    <w:p w14:paraId="23E5E459" w14:textId="77777777" w:rsidR="008D1A47" w:rsidRDefault="008D1A47" w:rsidP="005C5E2B">
      <w:pPr>
        <w:spacing w:line="300" w:lineRule="atLeast"/>
        <w:rPr>
          <w:rFonts w:ascii="Times New Roman" w:hAnsi="Times New Roman"/>
          <w:sz w:val="22"/>
          <w:lang w:val="en-US"/>
        </w:rPr>
      </w:pPr>
    </w:p>
    <w:p w14:paraId="585D6241" w14:textId="17AB9DEE" w:rsidR="008D1A47" w:rsidRPr="003836A3" w:rsidRDefault="008D1A47" w:rsidP="005C5E2B">
      <w:pPr>
        <w:spacing w:line="300" w:lineRule="atLeast"/>
        <w:rPr>
          <w:rFonts w:ascii="Times New Roman" w:hAnsi="Times New Roman"/>
          <w:color w:val="auto"/>
          <w:sz w:val="22"/>
          <w:lang w:val="en-US"/>
        </w:rPr>
      </w:pPr>
      <w:r w:rsidRPr="008D1A47">
        <w:rPr>
          <w:rFonts w:ascii="Times New Roman" w:hAnsi="Times New Roman"/>
          <w:color w:val="auto"/>
          <w:sz w:val="22"/>
        </w:rPr>
        <w:t xml:space="preserve">Interactive Brokers. (2024). </w:t>
      </w:r>
      <w:r w:rsidRPr="008D1A47">
        <w:rPr>
          <w:rFonts w:ascii="Times New Roman" w:hAnsi="Times New Roman"/>
          <w:i/>
          <w:iCs/>
          <w:color w:val="auto"/>
          <w:sz w:val="22"/>
        </w:rPr>
        <w:t>Margin requirements</w:t>
      </w:r>
      <w:r w:rsidRPr="008D1A47">
        <w:rPr>
          <w:rFonts w:ascii="Times New Roman" w:hAnsi="Times New Roman"/>
          <w:color w:val="auto"/>
          <w:sz w:val="22"/>
        </w:rPr>
        <w:t xml:space="preserve">. </w:t>
      </w:r>
      <w:r w:rsidR="00E56F76" w:rsidRPr="00E56F76">
        <w:rPr>
          <w:rFonts w:ascii="Times New Roman" w:hAnsi="Times New Roman"/>
          <w:color w:val="auto"/>
          <w:sz w:val="22"/>
        </w:rPr>
        <w:t>https://www.interactivebrokers.com.au/en/trading/marginRequirements/marginUSOptions.php</w:t>
      </w:r>
    </w:p>
    <w:p w14:paraId="5167A3AB" w14:textId="77777777" w:rsidR="005C5E2B" w:rsidRDefault="005C5E2B" w:rsidP="00AE51AF">
      <w:pPr>
        <w:spacing w:line="360" w:lineRule="auto"/>
        <w:rPr>
          <w:rFonts w:ascii="Times New Roman" w:hAnsi="Times New Roman"/>
          <w:sz w:val="22"/>
          <w:szCs w:val="24"/>
          <w:lang w:val="en-US"/>
        </w:rPr>
      </w:pPr>
    </w:p>
    <w:p w14:paraId="2D4F3B6B" w14:textId="2CF706A6" w:rsidR="00240FC9" w:rsidRPr="00262BE6" w:rsidRDefault="00240FC9" w:rsidP="00AE51AF">
      <w:pPr>
        <w:spacing w:line="360" w:lineRule="auto"/>
        <w:rPr>
          <w:rFonts w:ascii="Times New Roman" w:hAnsi="Times New Roman"/>
          <w:sz w:val="22"/>
          <w:szCs w:val="24"/>
          <w:lang w:val="en-US"/>
        </w:rPr>
      </w:pPr>
      <w:r w:rsidRPr="00240FC9">
        <w:rPr>
          <w:rFonts w:ascii="Times New Roman" w:hAnsi="Times New Roman"/>
          <w:sz w:val="22"/>
          <w:szCs w:val="24"/>
        </w:rPr>
        <w:t xml:space="preserve">Isakov, D., &amp; Perret, C. P. (2015). Are stock price reactions to earnings announcements predictable? </w:t>
      </w:r>
      <w:r w:rsidRPr="00240FC9">
        <w:rPr>
          <w:rFonts w:ascii="Times New Roman" w:hAnsi="Times New Roman"/>
          <w:i/>
          <w:iCs/>
          <w:sz w:val="22"/>
          <w:szCs w:val="24"/>
        </w:rPr>
        <w:t>Journal of Banking &amp; Finance</w:t>
      </w:r>
      <w:r w:rsidRPr="00240FC9">
        <w:rPr>
          <w:rFonts w:ascii="Times New Roman" w:hAnsi="Times New Roman"/>
          <w:sz w:val="22"/>
          <w:szCs w:val="24"/>
        </w:rPr>
        <w:t xml:space="preserve">, </w:t>
      </w:r>
      <w:r w:rsidRPr="00240FC9">
        <w:rPr>
          <w:rFonts w:ascii="Times New Roman" w:hAnsi="Times New Roman"/>
          <w:i/>
          <w:iCs/>
          <w:sz w:val="22"/>
          <w:szCs w:val="24"/>
        </w:rPr>
        <w:t>60</w:t>
      </w:r>
      <w:r w:rsidRPr="00240FC9">
        <w:rPr>
          <w:rFonts w:ascii="Times New Roman" w:hAnsi="Times New Roman"/>
          <w:sz w:val="22"/>
          <w:szCs w:val="24"/>
        </w:rPr>
        <w:t xml:space="preserve">, 230–240. </w:t>
      </w:r>
      <w:hyperlink r:id="rId32" w:tgtFrame="_blank" w:history="1">
        <w:r w:rsidRPr="00240FC9">
          <w:rPr>
            <w:rStyle w:val="Hyperlink"/>
            <w:rFonts w:ascii="Times New Roman" w:hAnsi="Times New Roman"/>
            <w:sz w:val="22"/>
            <w:szCs w:val="24"/>
          </w:rPr>
          <w:t>https://doi.org/10.1016/j.jbankfin.2015.08.012</w:t>
        </w:r>
      </w:hyperlink>
    </w:p>
    <w:p w14:paraId="1A96F34D" w14:textId="77777777" w:rsidR="005818D3" w:rsidRDefault="005818D3" w:rsidP="00AE51AF">
      <w:pPr>
        <w:spacing w:line="360" w:lineRule="auto"/>
        <w:rPr>
          <w:rFonts w:ascii="Times New Roman" w:hAnsi="Times New Roman"/>
          <w:sz w:val="22"/>
          <w:szCs w:val="24"/>
          <w:lang w:val="en-US"/>
        </w:rPr>
      </w:pPr>
    </w:p>
    <w:p w14:paraId="29240EFC" w14:textId="5684B3B5" w:rsidR="000C2C6C" w:rsidRPr="000C2C6C" w:rsidRDefault="000C2C6C" w:rsidP="00AE51AF">
      <w:pPr>
        <w:spacing w:line="360" w:lineRule="auto"/>
        <w:rPr>
          <w:rFonts w:ascii="Times New Roman" w:hAnsi="Times New Roman"/>
          <w:sz w:val="24"/>
          <w:szCs w:val="28"/>
          <w:lang w:val="en-US"/>
        </w:rPr>
      </w:pPr>
      <w:r w:rsidRPr="000C2C6C">
        <w:rPr>
          <w:rFonts w:ascii="Times New Roman" w:hAnsi="Times New Roman"/>
          <w:sz w:val="22"/>
          <w:szCs w:val="24"/>
          <w:lang w:val="en-US"/>
        </w:rPr>
        <w:t xml:space="preserve">Kelly, B., L. Pástor, and P. Veronesi. 2016. The price of political uncertainty: Theory and evidence from the option market. </w:t>
      </w:r>
      <w:r w:rsidRPr="003836A3">
        <w:rPr>
          <w:rFonts w:ascii="Times New Roman" w:hAnsi="Times New Roman"/>
          <w:sz w:val="22"/>
          <w:szCs w:val="24"/>
          <w:lang w:val="en-US"/>
        </w:rPr>
        <w:t>Journal of Finance 71:2417–80.</w:t>
      </w:r>
    </w:p>
    <w:p w14:paraId="5A3B939F" w14:textId="77777777" w:rsidR="000C2C6C" w:rsidRPr="00E656B3" w:rsidRDefault="000C2C6C" w:rsidP="00AE51AF">
      <w:pPr>
        <w:spacing w:line="360" w:lineRule="auto"/>
        <w:rPr>
          <w:rFonts w:ascii="Times New Roman" w:hAnsi="Times New Roman"/>
          <w:sz w:val="22"/>
          <w:szCs w:val="24"/>
          <w:lang w:val="en-US"/>
        </w:rPr>
      </w:pPr>
    </w:p>
    <w:p w14:paraId="50AEF33C" w14:textId="6857CFA0" w:rsidR="002D10A2" w:rsidRDefault="002D10A2" w:rsidP="00AE51AF">
      <w:pPr>
        <w:spacing w:line="360" w:lineRule="auto"/>
        <w:rPr>
          <w:rFonts w:ascii="Times New Roman" w:hAnsi="Times New Roman"/>
          <w:sz w:val="22"/>
          <w:szCs w:val="24"/>
          <w:lang w:val="en-US"/>
        </w:rPr>
      </w:pPr>
      <w:r>
        <w:rPr>
          <w:rFonts w:ascii="Times New Roman" w:hAnsi="Times New Roman"/>
          <w:sz w:val="22"/>
          <w:szCs w:val="24"/>
          <w:lang w:val="en-US"/>
        </w:rPr>
        <w:t>Larmont &amp; Frazzini (2007)</w:t>
      </w:r>
      <w:r w:rsidR="002136E2">
        <w:rPr>
          <w:rFonts w:ascii="Times New Roman" w:hAnsi="Times New Roman"/>
          <w:sz w:val="22"/>
          <w:szCs w:val="24"/>
          <w:lang w:val="en-US"/>
        </w:rPr>
        <w:t>, ‘The Earnings Announcement and Trading Volume’ (NBER Working Paper 13090)</w:t>
      </w:r>
    </w:p>
    <w:p w14:paraId="440774BB" w14:textId="77777777" w:rsidR="005E79DC" w:rsidRDefault="005E79DC" w:rsidP="00AE51AF">
      <w:pPr>
        <w:spacing w:line="360" w:lineRule="auto"/>
        <w:rPr>
          <w:rFonts w:ascii="Times New Roman" w:hAnsi="Times New Roman"/>
          <w:sz w:val="22"/>
          <w:szCs w:val="24"/>
          <w:lang w:val="en-US"/>
        </w:rPr>
      </w:pPr>
    </w:p>
    <w:p w14:paraId="53A0D585" w14:textId="77777777" w:rsidR="005E79DC" w:rsidRPr="003836A3" w:rsidRDefault="005E79DC" w:rsidP="005E79DC">
      <w:pPr>
        <w:spacing w:line="300" w:lineRule="atLeast"/>
        <w:rPr>
          <w:rFonts w:ascii="Times New Roman" w:hAnsi="Times New Roman"/>
          <w:color w:val="auto"/>
          <w:sz w:val="22"/>
          <w:lang w:val="en-US"/>
        </w:rPr>
      </w:pPr>
      <w:r w:rsidRPr="005E79DC">
        <w:rPr>
          <w:rFonts w:ascii="Times New Roman" w:hAnsi="Times New Roman"/>
          <w:sz w:val="22"/>
        </w:rPr>
        <w:t>Lei, Qin; Wang, Xuewu (Wesley); Yan, Zhipeng (2017).</w:t>
      </w:r>
      <w:r w:rsidRPr="005E79DC">
        <w:rPr>
          <w:rFonts w:ascii="Times New Roman" w:hAnsi="Times New Roman"/>
          <w:sz w:val="22"/>
        </w:rPr>
        <w:br/>
      </w:r>
      <w:r w:rsidRPr="005E79DC">
        <w:rPr>
          <w:rFonts w:ascii="Times New Roman" w:hAnsi="Times New Roman"/>
          <w:sz w:val="22"/>
          <w:lang w:val="en-US"/>
        </w:rPr>
        <w:t xml:space="preserve">“Volatility Spread and Stock Market Response to Earnings Announcements.” </w:t>
      </w:r>
      <w:r w:rsidRPr="003836A3">
        <w:rPr>
          <w:rStyle w:val="Emphasis"/>
          <w:rFonts w:ascii="Times New Roman" w:hAnsi="Times New Roman"/>
          <w:sz w:val="22"/>
          <w:lang w:val="en-US"/>
        </w:rPr>
        <w:t>Journal of Banking &amp; Finance</w:t>
      </w:r>
      <w:r w:rsidRPr="003836A3">
        <w:rPr>
          <w:rFonts w:ascii="Times New Roman" w:hAnsi="Times New Roman"/>
          <w:sz w:val="22"/>
          <w:lang w:val="en-US"/>
        </w:rPr>
        <w:t>, 81, 44–61.</w:t>
      </w:r>
      <w:r w:rsidRPr="003836A3">
        <w:rPr>
          <w:rFonts w:ascii="Times New Roman" w:hAnsi="Times New Roman"/>
          <w:sz w:val="22"/>
          <w:lang w:val="en-US"/>
        </w:rPr>
        <w:br/>
        <w:t>DOI: 10.1016/j.jbankfin.2017.04.002</w:t>
      </w:r>
    </w:p>
    <w:p w14:paraId="79551C59" w14:textId="77777777" w:rsidR="005E79DC" w:rsidRDefault="005E79DC" w:rsidP="00AE51AF">
      <w:pPr>
        <w:spacing w:line="360" w:lineRule="auto"/>
        <w:rPr>
          <w:rFonts w:ascii="Times New Roman" w:hAnsi="Times New Roman"/>
          <w:sz w:val="22"/>
          <w:szCs w:val="24"/>
          <w:lang w:val="en-US"/>
        </w:rPr>
      </w:pPr>
    </w:p>
    <w:p w14:paraId="10513084" w14:textId="1FE3626E" w:rsidR="00DC00D7" w:rsidRPr="008D0E0B" w:rsidRDefault="00DC00D7" w:rsidP="00DC00D7">
      <w:pPr>
        <w:spacing w:line="360" w:lineRule="auto"/>
        <w:rPr>
          <w:rFonts w:ascii="Times New Roman" w:hAnsi="Times New Roman"/>
          <w:sz w:val="22"/>
          <w:szCs w:val="24"/>
          <w:lang w:val="en-US"/>
        </w:rPr>
      </w:pPr>
      <w:r w:rsidRPr="00DC00D7">
        <w:rPr>
          <w:rFonts w:ascii="Times New Roman" w:hAnsi="Times New Roman"/>
          <w:sz w:val="22"/>
          <w:szCs w:val="24"/>
          <w:lang w:val="en-US"/>
        </w:rPr>
        <w:t xml:space="preserve">Li, J., &amp; Zhao, X. (2009). VIX and the earnings announcement premium. </w:t>
      </w:r>
      <w:r w:rsidRPr="00DC00D7">
        <w:rPr>
          <w:rFonts w:ascii="Times New Roman" w:hAnsi="Times New Roman"/>
          <w:i/>
          <w:iCs/>
          <w:sz w:val="22"/>
          <w:szCs w:val="24"/>
          <w:lang w:val="en-US"/>
        </w:rPr>
        <w:t>Financial Management</w:t>
      </w:r>
      <w:r w:rsidRPr="00DC00D7">
        <w:rPr>
          <w:rFonts w:ascii="Times New Roman" w:hAnsi="Times New Roman"/>
          <w:sz w:val="22"/>
          <w:szCs w:val="24"/>
          <w:lang w:val="en-US"/>
        </w:rPr>
        <w:t xml:space="preserve">, </w:t>
      </w:r>
      <w:r w:rsidRPr="00DC00D7">
        <w:rPr>
          <w:rFonts w:ascii="Times New Roman" w:hAnsi="Times New Roman"/>
          <w:i/>
          <w:iCs/>
          <w:sz w:val="22"/>
          <w:szCs w:val="24"/>
          <w:lang w:val="en-US"/>
        </w:rPr>
        <w:t>38</w:t>
      </w:r>
      <w:r w:rsidRPr="00DC00D7">
        <w:rPr>
          <w:rFonts w:ascii="Times New Roman" w:hAnsi="Times New Roman"/>
          <w:sz w:val="22"/>
          <w:szCs w:val="24"/>
          <w:lang w:val="en-US"/>
        </w:rPr>
        <w:t xml:space="preserve">(1), 1–21. </w:t>
      </w:r>
      <w:hyperlink r:id="rId33" w:tgtFrame="_blank" w:history="1">
        <w:r w:rsidRPr="00DC00D7">
          <w:rPr>
            <w:rStyle w:val="Hyperlink"/>
            <w:rFonts w:ascii="Times New Roman" w:hAnsi="Times New Roman"/>
            <w:sz w:val="22"/>
            <w:szCs w:val="24"/>
            <w:lang w:val="en-US"/>
          </w:rPr>
          <w:t>https://doi.org/10.1111/j.1755-053x.2009.01026.x</w:t>
        </w:r>
      </w:hyperlink>
    </w:p>
    <w:p w14:paraId="06AD2E45" w14:textId="77777777" w:rsidR="00711E6F" w:rsidRDefault="00711E6F" w:rsidP="00AE51AF">
      <w:pPr>
        <w:spacing w:line="360" w:lineRule="auto"/>
        <w:rPr>
          <w:rFonts w:ascii="Times New Roman" w:hAnsi="Times New Roman"/>
          <w:sz w:val="22"/>
          <w:szCs w:val="24"/>
          <w:lang w:val="en-US"/>
        </w:rPr>
      </w:pPr>
    </w:p>
    <w:p w14:paraId="4F1878E0" w14:textId="205D43EF" w:rsidR="002352B8" w:rsidRDefault="002352B8" w:rsidP="002352B8">
      <w:pPr>
        <w:spacing w:line="300" w:lineRule="atLeast"/>
      </w:pPr>
      <w:r w:rsidRPr="002352B8">
        <w:rPr>
          <w:rStyle w:val="Strong"/>
          <w:rFonts w:ascii="Times New Roman" w:hAnsi="Times New Roman"/>
          <w:b w:val="0"/>
          <w:bCs w:val="0"/>
          <w:sz w:val="22"/>
          <w:lang w:val="en-US"/>
        </w:rPr>
        <w:t xml:space="preserve"> Lipkin</w:t>
      </w:r>
      <w:r>
        <w:rPr>
          <w:rStyle w:val="Strong"/>
          <w:rFonts w:ascii="Times New Roman" w:hAnsi="Times New Roman"/>
          <w:b w:val="0"/>
          <w:bCs w:val="0"/>
          <w:sz w:val="22"/>
          <w:lang w:val="en-US"/>
        </w:rPr>
        <w:t xml:space="preserve"> M.</w:t>
      </w:r>
      <w:r w:rsidRPr="002352B8">
        <w:rPr>
          <w:rStyle w:val="Strong"/>
          <w:rFonts w:ascii="Times New Roman" w:hAnsi="Times New Roman"/>
          <w:b w:val="0"/>
          <w:bCs w:val="0"/>
          <w:sz w:val="22"/>
          <w:lang w:val="en-US"/>
        </w:rPr>
        <w:t>, and</w:t>
      </w:r>
      <w:r>
        <w:rPr>
          <w:rStyle w:val="Strong"/>
          <w:rFonts w:ascii="Times New Roman" w:hAnsi="Times New Roman"/>
          <w:b w:val="0"/>
          <w:bCs w:val="0"/>
          <w:sz w:val="22"/>
          <w:lang w:val="en-US"/>
        </w:rPr>
        <w:t xml:space="preserve"> </w:t>
      </w:r>
      <w:r w:rsidRPr="002352B8">
        <w:rPr>
          <w:rStyle w:val="Strong"/>
          <w:rFonts w:ascii="Times New Roman" w:hAnsi="Times New Roman"/>
          <w:b w:val="0"/>
          <w:bCs w:val="0"/>
          <w:sz w:val="22"/>
          <w:lang w:val="en-US"/>
        </w:rPr>
        <w:t>Tatevossian (2024).</w:t>
      </w:r>
      <w:r>
        <w:rPr>
          <w:rFonts w:ascii="Times New Roman" w:hAnsi="Times New Roman"/>
          <w:b/>
          <w:bCs/>
          <w:sz w:val="22"/>
          <w:lang w:val="en-US"/>
        </w:rPr>
        <w:t xml:space="preserve"> </w:t>
      </w:r>
      <w:r w:rsidRPr="002352B8">
        <w:rPr>
          <w:rStyle w:val="Strong"/>
          <w:rFonts w:ascii="Times New Roman" w:hAnsi="Times New Roman"/>
          <w:b w:val="0"/>
          <w:bCs w:val="0"/>
          <w:sz w:val="22"/>
          <w:lang w:val="en-US"/>
        </w:rPr>
        <w:t xml:space="preserve">“Earnings Moves and Pre-Earnings Implied Volatility.” </w:t>
      </w:r>
      <w:r w:rsidRPr="002352B8">
        <w:rPr>
          <w:rStyle w:val="Emphasis"/>
          <w:rFonts w:ascii="Times New Roman" w:hAnsi="Times New Roman"/>
          <w:b/>
          <w:bCs/>
          <w:sz w:val="22"/>
          <w:lang w:val="en-US"/>
        </w:rPr>
        <w:t>Journal of Risk</w:t>
      </w:r>
      <w:r w:rsidRPr="002352B8">
        <w:rPr>
          <w:rStyle w:val="Strong"/>
          <w:rFonts w:ascii="Times New Roman" w:hAnsi="Times New Roman"/>
          <w:b w:val="0"/>
          <w:bCs w:val="0"/>
          <w:sz w:val="22"/>
          <w:lang w:val="en-US"/>
        </w:rPr>
        <w:t xml:space="preserve">, Volume 27, Number 2, pp. 77–94.DOI: </w:t>
      </w:r>
      <w:hyperlink r:id="rId34" w:tgtFrame="_blank" w:history="1">
        <w:r w:rsidRPr="002352B8">
          <w:rPr>
            <w:rStyle w:val="Hyperlink"/>
            <w:rFonts w:ascii="Times New Roman" w:hAnsi="Times New Roman"/>
            <w:b/>
            <w:bCs/>
            <w:sz w:val="22"/>
            <w:lang w:val="en-US"/>
          </w:rPr>
          <w:t>10.21314/JOR.2024.016</w:t>
        </w:r>
      </w:hyperlink>
      <w:r w:rsidRPr="002352B8">
        <w:rPr>
          <w:rFonts w:ascii="Times New Roman" w:hAnsi="Times New Roman"/>
          <w:b/>
          <w:bCs/>
          <w:sz w:val="22"/>
          <w:lang w:val="en-US"/>
        </w:rPr>
        <w:t xml:space="preserve"> </w:t>
      </w:r>
      <w:hyperlink r:id="rId35" w:history="1">
        <w:r w:rsidRPr="002352B8">
          <w:rPr>
            <w:rStyle w:val="Hyperlink"/>
            <w:rFonts w:ascii="Times New Roman" w:hAnsi="Times New Roman"/>
            <w:b/>
            <w:bCs/>
            <w:sz w:val="22"/>
            <w:lang w:val="en-US"/>
          </w:rPr>
          <w:t>[risk.net]</w:t>
        </w:r>
      </w:hyperlink>
    </w:p>
    <w:p w14:paraId="43604412" w14:textId="77777777" w:rsidR="001D4813" w:rsidRDefault="001D4813" w:rsidP="00AE51AF">
      <w:pPr>
        <w:spacing w:line="360" w:lineRule="auto"/>
        <w:rPr>
          <w:rFonts w:ascii="Times New Roman" w:hAnsi="Times New Roman"/>
          <w:sz w:val="22"/>
          <w:szCs w:val="24"/>
          <w:lang w:val="en-US"/>
        </w:rPr>
      </w:pPr>
    </w:p>
    <w:p w14:paraId="4AB5B3D7" w14:textId="52B34F37" w:rsidR="004C24C1" w:rsidRDefault="004C24C1" w:rsidP="00AE51AF">
      <w:pPr>
        <w:spacing w:line="360" w:lineRule="auto"/>
        <w:rPr>
          <w:rFonts w:ascii="Times New Roman" w:hAnsi="Times New Roman"/>
          <w:sz w:val="22"/>
          <w:szCs w:val="24"/>
          <w:lang w:val="en-US"/>
        </w:rPr>
      </w:pPr>
      <w:r w:rsidRPr="004C24C1">
        <w:rPr>
          <w:rFonts w:ascii="Times New Roman" w:hAnsi="Times New Roman"/>
          <w:sz w:val="22"/>
          <w:szCs w:val="24"/>
        </w:rPr>
        <w:t xml:space="preserve">Muravyev, D., &amp; Pearson, N. D. (2020). Options trading costs are lower than you think. </w:t>
      </w:r>
      <w:r w:rsidRPr="004C24C1">
        <w:rPr>
          <w:rFonts w:ascii="Times New Roman" w:hAnsi="Times New Roman"/>
          <w:i/>
          <w:iCs/>
          <w:sz w:val="22"/>
          <w:szCs w:val="24"/>
        </w:rPr>
        <w:t>The Review of Financial Studies</w:t>
      </w:r>
      <w:r w:rsidRPr="004C24C1">
        <w:rPr>
          <w:rFonts w:ascii="Times New Roman" w:hAnsi="Times New Roman"/>
          <w:sz w:val="22"/>
          <w:szCs w:val="24"/>
        </w:rPr>
        <w:t xml:space="preserve">, </w:t>
      </w:r>
      <w:r w:rsidRPr="004C24C1">
        <w:rPr>
          <w:rFonts w:ascii="Times New Roman" w:hAnsi="Times New Roman"/>
          <w:i/>
          <w:iCs/>
          <w:sz w:val="22"/>
          <w:szCs w:val="24"/>
        </w:rPr>
        <w:t>33</w:t>
      </w:r>
      <w:r w:rsidRPr="004C24C1">
        <w:rPr>
          <w:rFonts w:ascii="Times New Roman" w:hAnsi="Times New Roman"/>
          <w:sz w:val="22"/>
          <w:szCs w:val="24"/>
        </w:rPr>
        <w:t xml:space="preserve">(10), 4973–5014. </w:t>
      </w:r>
      <w:hyperlink r:id="rId36" w:tgtFrame="_blank" w:history="1">
        <w:r w:rsidRPr="004C24C1">
          <w:rPr>
            <w:rStyle w:val="Hyperlink"/>
            <w:rFonts w:ascii="Times New Roman" w:hAnsi="Times New Roman"/>
            <w:sz w:val="22"/>
            <w:szCs w:val="24"/>
          </w:rPr>
          <w:t>https://doi.org/10.1093/rfs/hhz146</w:t>
        </w:r>
      </w:hyperlink>
    </w:p>
    <w:p w14:paraId="514AD60F" w14:textId="77777777" w:rsidR="004C24C1" w:rsidRDefault="004C24C1" w:rsidP="00AE51AF">
      <w:pPr>
        <w:spacing w:line="360" w:lineRule="auto"/>
        <w:rPr>
          <w:rFonts w:ascii="Times New Roman" w:hAnsi="Times New Roman"/>
          <w:sz w:val="22"/>
          <w:szCs w:val="24"/>
          <w:lang w:val="en-US"/>
        </w:rPr>
      </w:pPr>
    </w:p>
    <w:p w14:paraId="3E6D00EA" w14:textId="5078BDCD" w:rsidR="00CF7227" w:rsidRDefault="00CF7227" w:rsidP="00AE51AF">
      <w:pPr>
        <w:spacing w:line="360" w:lineRule="auto"/>
        <w:rPr>
          <w:rFonts w:ascii="Times New Roman" w:hAnsi="Times New Roman"/>
          <w:sz w:val="22"/>
          <w:szCs w:val="24"/>
        </w:rPr>
      </w:pPr>
      <w:r w:rsidRPr="00CF7227">
        <w:rPr>
          <w:rFonts w:ascii="Times New Roman" w:hAnsi="Times New Roman"/>
          <w:sz w:val="22"/>
          <w:szCs w:val="24"/>
          <w:lang w:val="en-US"/>
        </w:rPr>
        <w:t xml:space="preserve">Patell, J. M., and M. A. Wolfson. 1979. Anticipated information releases reflected in call option prices. </w:t>
      </w:r>
      <w:r w:rsidRPr="00CF7227">
        <w:rPr>
          <w:rFonts w:ascii="Times New Roman" w:hAnsi="Times New Roman"/>
          <w:sz w:val="22"/>
          <w:szCs w:val="24"/>
        </w:rPr>
        <w:t>Journal of Accounting and Economics 1:117–40.</w:t>
      </w:r>
    </w:p>
    <w:p w14:paraId="64AE09DD" w14:textId="77777777" w:rsidR="00CF7227" w:rsidRDefault="00CF7227" w:rsidP="00AE51AF">
      <w:pPr>
        <w:spacing w:line="360" w:lineRule="auto"/>
        <w:rPr>
          <w:rFonts w:ascii="Times New Roman" w:hAnsi="Times New Roman"/>
          <w:sz w:val="22"/>
          <w:szCs w:val="24"/>
        </w:rPr>
      </w:pPr>
    </w:p>
    <w:p w14:paraId="0DF00586" w14:textId="25EE987D" w:rsidR="00CF7227" w:rsidRPr="003836A3" w:rsidRDefault="00CF7227" w:rsidP="00AE51AF">
      <w:pPr>
        <w:spacing w:line="360" w:lineRule="auto"/>
        <w:rPr>
          <w:rFonts w:ascii="Times New Roman" w:hAnsi="Times New Roman"/>
          <w:sz w:val="22"/>
          <w:szCs w:val="24"/>
          <w:lang w:val="en-US"/>
        </w:rPr>
      </w:pPr>
      <w:r w:rsidRPr="00CF7227">
        <w:rPr>
          <w:rFonts w:ascii="Times New Roman" w:hAnsi="Times New Roman"/>
          <w:sz w:val="22"/>
          <w:szCs w:val="24"/>
          <w:lang w:val="en-US"/>
        </w:rPr>
        <w:t xml:space="preserve">Patell, J. M., and M. A. Wolfson. 1981. The ex ante and ex post price effects of quarterly earnings announcements reflected in option and stock prices. </w:t>
      </w:r>
      <w:r w:rsidRPr="003836A3">
        <w:rPr>
          <w:rFonts w:ascii="Times New Roman" w:hAnsi="Times New Roman"/>
          <w:sz w:val="22"/>
          <w:szCs w:val="24"/>
          <w:lang w:val="en-US"/>
        </w:rPr>
        <w:t>Journal of Accounting Research 19:434–58.</w:t>
      </w:r>
    </w:p>
    <w:p w14:paraId="41AE87A8" w14:textId="77777777" w:rsidR="00090B63" w:rsidRPr="003836A3" w:rsidRDefault="00090B63" w:rsidP="00AE51AF">
      <w:pPr>
        <w:spacing w:line="360" w:lineRule="auto"/>
        <w:rPr>
          <w:rFonts w:ascii="Times New Roman" w:hAnsi="Times New Roman"/>
          <w:sz w:val="22"/>
          <w:szCs w:val="24"/>
          <w:lang w:val="en-US"/>
        </w:rPr>
      </w:pPr>
    </w:p>
    <w:p w14:paraId="13597947" w14:textId="4C5F6640" w:rsidR="00090B63" w:rsidRPr="00DA5B30" w:rsidRDefault="00090B63" w:rsidP="00AE51AF">
      <w:pPr>
        <w:spacing w:line="360" w:lineRule="auto"/>
        <w:rPr>
          <w:rFonts w:ascii="Times New Roman" w:hAnsi="Times New Roman"/>
          <w:sz w:val="32"/>
          <w:szCs w:val="36"/>
          <w:lang w:val="en-US"/>
        </w:rPr>
      </w:pPr>
      <w:r w:rsidRPr="00DA5B30">
        <w:rPr>
          <w:rFonts w:ascii="Times New Roman" w:hAnsi="Times New Roman"/>
          <w:sz w:val="22"/>
          <w:szCs w:val="24"/>
          <w:lang w:val="en-US"/>
        </w:rPr>
        <w:lastRenderedPageBreak/>
        <w:t xml:space="preserve">Patell, J. M., and M. A. Wolfson. 1984. The intraday speed of adjustment of stock prices to earnings and dividend announcements. </w:t>
      </w:r>
      <w:r w:rsidRPr="003836A3">
        <w:rPr>
          <w:rFonts w:ascii="Times New Roman" w:hAnsi="Times New Roman"/>
          <w:sz w:val="22"/>
          <w:szCs w:val="24"/>
          <w:lang w:val="en-US"/>
        </w:rPr>
        <w:t>Journal of Financial Economics 13:223–52</w:t>
      </w:r>
    </w:p>
    <w:p w14:paraId="71158C52" w14:textId="2A7DE356" w:rsidR="00C67F0F" w:rsidRDefault="00C67F0F" w:rsidP="00AE51AF">
      <w:pPr>
        <w:spacing w:line="360" w:lineRule="auto"/>
        <w:rPr>
          <w:rFonts w:ascii="Times New Roman" w:hAnsi="Times New Roman"/>
          <w:sz w:val="22"/>
          <w:szCs w:val="24"/>
          <w:lang w:val="en-US"/>
        </w:rPr>
      </w:pPr>
    </w:p>
    <w:p w14:paraId="3AF62229" w14:textId="77777777" w:rsidR="003D2A8D" w:rsidRPr="003836A3" w:rsidRDefault="003D2A8D" w:rsidP="003D2A8D">
      <w:pPr>
        <w:spacing w:line="300" w:lineRule="atLeast"/>
        <w:rPr>
          <w:rFonts w:ascii="Times New Roman" w:hAnsi="Times New Roman"/>
          <w:color w:val="auto"/>
          <w:sz w:val="22"/>
          <w:lang w:val="en-US"/>
        </w:rPr>
      </w:pPr>
      <w:r w:rsidRPr="003D2A8D">
        <w:rPr>
          <w:rFonts w:ascii="Times New Roman" w:hAnsi="Times New Roman"/>
          <w:sz w:val="22"/>
          <w:lang w:val="en-US"/>
        </w:rPr>
        <w:t>Rogers, Jonathan L.; Skinner, Douglas J.; Van Buskirk, Andrew (2009).</w:t>
      </w:r>
      <w:r w:rsidRPr="003D2A8D">
        <w:rPr>
          <w:rFonts w:ascii="Times New Roman" w:hAnsi="Times New Roman"/>
          <w:sz w:val="22"/>
          <w:lang w:val="en-US"/>
        </w:rPr>
        <w:br/>
        <w:t xml:space="preserve">“Earnings Guidance and Market Uncertainty.” </w:t>
      </w:r>
      <w:r w:rsidRPr="003D2A8D">
        <w:rPr>
          <w:rStyle w:val="Emphasis"/>
          <w:rFonts w:ascii="Times New Roman" w:hAnsi="Times New Roman"/>
          <w:sz w:val="22"/>
          <w:lang w:val="en-US"/>
        </w:rPr>
        <w:t>Journal of Accounting and Economics</w:t>
      </w:r>
      <w:r w:rsidRPr="003D2A8D">
        <w:rPr>
          <w:rFonts w:ascii="Times New Roman" w:hAnsi="Times New Roman"/>
          <w:sz w:val="22"/>
          <w:lang w:val="en-US"/>
        </w:rPr>
        <w:t>, 48(1), 90–109.</w:t>
      </w:r>
      <w:r w:rsidRPr="003D2A8D">
        <w:rPr>
          <w:rFonts w:ascii="Times New Roman" w:hAnsi="Times New Roman"/>
          <w:sz w:val="22"/>
          <w:lang w:val="en-US"/>
        </w:rPr>
        <w:br/>
      </w:r>
      <w:r w:rsidRPr="003836A3">
        <w:rPr>
          <w:rFonts w:ascii="Times New Roman" w:hAnsi="Times New Roman"/>
          <w:sz w:val="22"/>
          <w:lang w:val="en-US"/>
        </w:rPr>
        <w:t>DOI: 10.1016/j.jacceco.2009.07.001</w:t>
      </w:r>
    </w:p>
    <w:p w14:paraId="2FEEBFA7" w14:textId="77777777" w:rsidR="003D2A8D" w:rsidRDefault="003D2A8D" w:rsidP="00AE51AF">
      <w:pPr>
        <w:spacing w:line="360" w:lineRule="auto"/>
        <w:rPr>
          <w:rFonts w:ascii="Times New Roman" w:hAnsi="Times New Roman"/>
          <w:sz w:val="22"/>
          <w:szCs w:val="24"/>
          <w:lang w:val="en-US"/>
        </w:rPr>
      </w:pPr>
    </w:p>
    <w:p w14:paraId="7AED82AD" w14:textId="77777777" w:rsidR="003D2A8D" w:rsidRDefault="003D2A8D" w:rsidP="00AE51AF">
      <w:pPr>
        <w:spacing w:line="360" w:lineRule="auto"/>
        <w:rPr>
          <w:rFonts w:ascii="Times New Roman" w:hAnsi="Times New Roman"/>
          <w:sz w:val="22"/>
          <w:szCs w:val="24"/>
          <w:lang w:val="en-US"/>
        </w:rPr>
      </w:pPr>
    </w:p>
    <w:p w14:paraId="6B0EF30A" w14:textId="488AE440" w:rsidR="00C67F0F" w:rsidRDefault="00C67F0F" w:rsidP="00AE51AF">
      <w:pPr>
        <w:spacing w:line="360" w:lineRule="auto"/>
        <w:rPr>
          <w:rFonts w:ascii="Times New Roman" w:hAnsi="Times New Roman"/>
          <w:sz w:val="22"/>
          <w:szCs w:val="24"/>
          <w:lang w:val="en-US"/>
        </w:rPr>
      </w:pPr>
      <w:r>
        <w:rPr>
          <w:rFonts w:ascii="Times New Roman" w:hAnsi="Times New Roman"/>
          <w:sz w:val="22"/>
          <w:szCs w:val="24"/>
          <w:lang w:val="en-US"/>
        </w:rPr>
        <w:t xml:space="preserve">Savor &amp; </w:t>
      </w:r>
      <w:r w:rsidR="006A7014">
        <w:rPr>
          <w:rFonts w:ascii="Times New Roman" w:hAnsi="Times New Roman"/>
          <w:sz w:val="22"/>
          <w:szCs w:val="24"/>
          <w:lang w:val="en-US"/>
        </w:rPr>
        <w:t>Wilson (2016)</w:t>
      </w:r>
      <w:r w:rsidR="00442375">
        <w:rPr>
          <w:rFonts w:ascii="Times New Roman" w:hAnsi="Times New Roman"/>
          <w:sz w:val="22"/>
          <w:szCs w:val="24"/>
          <w:lang w:val="en-US"/>
        </w:rPr>
        <w:t>, ‘Earnings Announcements and Systemic Risk’, Journal of Finance, 71(1), 83-138</w:t>
      </w:r>
    </w:p>
    <w:p w14:paraId="42EBF230" w14:textId="77777777" w:rsidR="00DC05DA" w:rsidRDefault="00DC05DA" w:rsidP="00AE51AF">
      <w:pPr>
        <w:spacing w:line="360" w:lineRule="auto"/>
        <w:rPr>
          <w:rFonts w:ascii="Times New Roman" w:hAnsi="Times New Roman"/>
          <w:sz w:val="22"/>
          <w:szCs w:val="24"/>
          <w:lang w:val="en-US"/>
        </w:rPr>
      </w:pPr>
    </w:p>
    <w:p w14:paraId="301EC4E8" w14:textId="77777777" w:rsidR="00DC05DA" w:rsidRPr="00DC05DA" w:rsidRDefault="00DC05DA" w:rsidP="00DC05DA">
      <w:pPr>
        <w:spacing w:line="360" w:lineRule="auto"/>
        <w:rPr>
          <w:rFonts w:ascii="Times New Roman" w:hAnsi="Times New Roman"/>
          <w:sz w:val="22"/>
          <w:szCs w:val="24"/>
          <w:lang w:val="en-US"/>
        </w:rPr>
      </w:pPr>
      <w:r w:rsidRPr="00DC05DA">
        <w:rPr>
          <w:rFonts w:ascii="Times New Roman" w:hAnsi="Times New Roman"/>
          <w:sz w:val="22"/>
          <w:szCs w:val="24"/>
          <w:lang w:val="en-US"/>
        </w:rPr>
        <w:t xml:space="preserve">Wilder, J. W., Jr. (1978). </w:t>
      </w:r>
      <w:r w:rsidRPr="00DC05DA">
        <w:rPr>
          <w:rFonts w:ascii="Times New Roman" w:hAnsi="Times New Roman"/>
          <w:i/>
          <w:iCs/>
          <w:sz w:val="22"/>
          <w:szCs w:val="24"/>
          <w:lang w:val="en-US"/>
        </w:rPr>
        <w:t>New concepts in technical trading systems</w:t>
      </w:r>
      <w:r w:rsidRPr="00DC05DA">
        <w:rPr>
          <w:rFonts w:ascii="Times New Roman" w:hAnsi="Times New Roman"/>
          <w:sz w:val="22"/>
          <w:szCs w:val="24"/>
          <w:lang w:val="en-US"/>
        </w:rPr>
        <w:t>. Trend Research.</w:t>
      </w:r>
    </w:p>
    <w:p w14:paraId="33883203" w14:textId="77777777" w:rsidR="00DC05DA" w:rsidRDefault="00DC05DA" w:rsidP="00AE51AF">
      <w:pPr>
        <w:spacing w:line="360" w:lineRule="auto"/>
        <w:rPr>
          <w:rFonts w:ascii="Times New Roman" w:hAnsi="Times New Roman"/>
          <w:sz w:val="22"/>
          <w:szCs w:val="24"/>
          <w:lang w:val="en-US"/>
        </w:rPr>
      </w:pPr>
    </w:p>
    <w:p w14:paraId="77B6CA29" w14:textId="77777777" w:rsidR="00177973" w:rsidRDefault="00177973" w:rsidP="00AE51AF">
      <w:pPr>
        <w:spacing w:line="360" w:lineRule="auto"/>
        <w:rPr>
          <w:rFonts w:ascii="Times New Roman" w:hAnsi="Times New Roman"/>
          <w:sz w:val="22"/>
          <w:szCs w:val="24"/>
          <w:lang w:val="en-US"/>
        </w:rPr>
      </w:pPr>
    </w:p>
    <w:p w14:paraId="0F1388AB" w14:textId="441C5DDB" w:rsidR="00177973" w:rsidRPr="00AE51AF" w:rsidRDefault="00177973" w:rsidP="00AE51AF">
      <w:pPr>
        <w:spacing w:line="360" w:lineRule="auto"/>
        <w:rPr>
          <w:rFonts w:ascii="Times New Roman" w:hAnsi="Times New Roman"/>
          <w:sz w:val="22"/>
          <w:szCs w:val="24"/>
          <w:lang w:val="en-US"/>
        </w:rPr>
      </w:pPr>
      <w:r w:rsidRPr="00177973">
        <w:rPr>
          <w:rFonts w:ascii="Times New Roman" w:hAnsi="Times New Roman"/>
          <w:sz w:val="22"/>
          <w:szCs w:val="24"/>
        </w:rPr>
        <w:t xml:space="preserve">Zanin, M., Rodríguez-González, A., Menasalvas Ruiz, E., &amp; Papo, D. (2018). Assessing time series reversibility through permutation patterns. </w:t>
      </w:r>
      <w:r w:rsidRPr="00177973">
        <w:rPr>
          <w:rFonts w:ascii="Times New Roman" w:hAnsi="Times New Roman"/>
          <w:i/>
          <w:iCs/>
          <w:sz w:val="22"/>
          <w:szCs w:val="24"/>
        </w:rPr>
        <w:t>Entropy</w:t>
      </w:r>
      <w:r w:rsidRPr="00177973">
        <w:rPr>
          <w:rFonts w:ascii="Times New Roman" w:hAnsi="Times New Roman"/>
          <w:sz w:val="22"/>
          <w:szCs w:val="24"/>
        </w:rPr>
        <w:t xml:space="preserve">, </w:t>
      </w:r>
      <w:r w:rsidRPr="00177973">
        <w:rPr>
          <w:rFonts w:ascii="Times New Roman" w:hAnsi="Times New Roman"/>
          <w:i/>
          <w:iCs/>
          <w:sz w:val="22"/>
          <w:szCs w:val="24"/>
        </w:rPr>
        <w:t>20</w:t>
      </w:r>
      <w:r w:rsidRPr="00177973">
        <w:rPr>
          <w:rFonts w:ascii="Times New Roman" w:hAnsi="Times New Roman"/>
          <w:sz w:val="22"/>
          <w:szCs w:val="24"/>
        </w:rPr>
        <w:t xml:space="preserve">(9), 665. </w:t>
      </w:r>
      <w:hyperlink r:id="rId37" w:tgtFrame="_blank" w:history="1">
        <w:r w:rsidRPr="00177973">
          <w:rPr>
            <w:rStyle w:val="Hyperlink"/>
            <w:rFonts w:ascii="Times New Roman" w:hAnsi="Times New Roman"/>
            <w:sz w:val="22"/>
            <w:szCs w:val="24"/>
          </w:rPr>
          <w:t>https://doi.org/10.3390/e20090665</w:t>
        </w:r>
      </w:hyperlink>
    </w:p>
    <w:sectPr w:rsidR="00177973" w:rsidRPr="00AE51AF" w:rsidSect="000F1B87">
      <w:pgSz w:w="11906" w:h="16838"/>
      <w:pgMar w:top="1417" w:right="1417" w:bottom="1134"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C38A3" w14:textId="77777777" w:rsidR="00146205" w:rsidRDefault="00146205">
      <w:r>
        <w:separator/>
      </w:r>
    </w:p>
  </w:endnote>
  <w:endnote w:type="continuationSeparator" w:id="0">
    <w:p w14:paraId="4563A982" w14:textId="77777777" w:rsidR="00146205" w:rsidRDefault="001462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ter">
    <w:altName w:val="Calibri"/>
    <w:charset w:val="00"/>
    <w:family w:val="auto"/>
    <w:pitch w:val="variable"/>
    <w:sig w:usb0="E0000AFF" w:usb1="5200A1FF" w:usb2="00000021"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55097" w14:textId="77777777" w:rsidR="00146205" w:rsidRDefault="00146205">
      <w:r>
        <w:separator/>
      </w:r>
    </w:p>
  </w:footnote>
  <w:footnote w:type="continuationSeparator" w:id="0">
    <w:p w14:paraId="29934E61" w14:textId="77777777" w:rsidR="00146205" w:rsidRDefault="001462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545B2"/>
    <w:multiLevelType w:val="hybridMultilevel"/>
    <w:tmpl w:val="1A467686"/>
    <w:lvl w:ilvl="0" w:tplc="04090001">
      <w:start w:val="1"/>
      <w:numFmt w:val="bullet"/>
      <w:lvlText w:val=""/>
      <w:lvlJc w:val="left"/>
      <w:pPr>
        <w:ind w:left="1135" w:hanging="360"/>
      </w:pPr>
      <w:rPr>
        <w:rFonts w:ascii="Symbol" w:hAnsi="Symbol" w:hint="default"/>
      </w:rPr>
    </w:lvl>
    <w:lvl w:ilvl="1" w:tplc="04090003" w:tentative="1">
      <w:start w:val="1"/>
      <w:numFmt w:val="bullet"/>
      <w:lvlText w:val="o"/>
      <w:lvlJc w:val="left"/>
      <w:pPr>
        <w:ind w:left="1855" w:hanging="360"/>
      </w:pPr>
      <w:rPr>
        <w:rFonts w:ascii="Courier New" w:hAnsi="Courier New" w:cs="Courier New" w:hint="default"/>
      </w:rPr>
    </w:lvl>
    <w:lvl w:ilvl="2" w:tplc="04090005" w:tentative="1">
      <w:start w:val="1"/>
      <w:numFmt w:val="bullet"/>
      <w:lvlText w:val=""/>
      <w:lvlJc w:val="left"/>
      <w:pPr>
        <w:ind w:left="2575" w:hanging="360"/>
      </w:pPr>
      <w:rPr>
        <w:rFonts w:ascii="Wingdings" w:hAnsi="Wingdings" w:hint="default"/>
      </w:rPr>
    </w:lvl>
    <w:lvl w:ilvl="3" w:tplc="04090001" w:tentative="1">
      <w:start w:val="1"/>
      <w:numFmt w:val="bullet"/>
      <w:lvlText w:val=""/>
      <w:lvlJc w:val="left"/>
      <w:pPr>
        <w:ind w:left="3295" w:hanging="360"/>
      </w:pPr>
      <w:rPr>
        <w:rFonts w:ascii="Symbol" w:hAnsi="Symbol" w:hint="default"/>
      </w:rPr>
    </w:lvl>
    <w:lvl w:ilvl="4" w:tplc="04090003" w:tentative="1">
      <w:start w:val="1"/>
      <w:numFmt w:val="bullet"/>
      <w:lvlText w:val="o"/>
      <w:lvlJc w:val="left"/>
      <w:pPr>
        <w:ind w:left="4015" w:hanging="360"/>
      </w:pPr>
      <w:rPr>
        <w:rFonts w:ascii="Courier New" w:hAnsi="Courier New" w:cs="Courier New" w:hint="default"/>
      </w:rPr>
    </w:lvl>
    <w:lvl w:ilvl="5" w:tplc="04090005" w:tentative="1">
      <w:start w:val="1"/>
      <w:numFmt w:val="bullet"/>
      <w:lvlText w:val=""/>
      <w:lvlJc w:val="left"/>
      <w:pPr>
        <w:ind w:left="4735" w:hanging="360"/>
      </w:pPr>
      <w:rPr>
        <w:rFonts w:ascii="Wingdings" w:hAnsi="Wingdings" w:hint="default"/>
      </w:rPr>
    </w:lvl>
    <w:lvl w:ilvl="6" w:tplc="04090001" w:tentative="1">
      <w:start w:val="1"/>
      <w:numFmt w:val="bullet"/>
      <w:lvlText w:val=""/>
      <w:lvlJc w:val="left"/>
      <w:pPr>
        <w:ind w:left="5455" w:hanging="360"/>
      </w:pPr>
      <w:rPr>
        <w:rFonts w:ascii="Symbol" w:hAnsi="Symbol" w:hint="default"/>
      </w:rPr>
    </w:lvl>
    <w:lvl w:ilvl="7" w:tplc="04090003" w:tentative="1">
      <w:start w:val="1"/>
      <w:numFmt w:val="bullet"/>
      <w:lvlText w:val="o"/>
      <w:lvlJc w:val="left"/>
      <w:pPr>
        <w:ind w:left="6175" w:hanging="360"/>
      </w:pPr>
      <w:rPr>
        <w:rFonts w:ascii="Courier New" w:hAnsi="Courier New" w:cs="Courier New" w:hint="default"/>
      </w:rPr>
    </w:lvl>
    <w:lvl w:ilvl="8" w:tplc="04090005" w:tentative="1">
      <w:start w:val="1"/>
      <w:numFmt w:val="bullet"/>
      <w:lvlText w:val=""/>
      <w:lvlJc w:val="left"/>
      <w:pPr>
        <w:ind w:left="6895" w:hanging="360"/>
      </w:pPr>
      <w:rPr>
        <w:rFonts w:ascii="Wingdings" w:hAnsi="Wingdings" w:hint="default"/>
      </w:rPr>
    </w:lvl>
  </w:abstractNum>
  <w:abstractNum w:abstractNumId="1" w15:restartNumberingAfterBreak="0">
    <w:nsid w:val="44801ED2"/>
    <w:multiLevelType w:val="hybridMultilevel"/>
    <w:tmpl w:val="04242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FE0C3E"/>
    <w:multiLevelType w:val="multilevel"/>
    <w:tmpl w:val="ACA2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DC79E8"/>
    <w:multiLevelType w:val="hybridMultilevel"/>
    <w:tmpl w:val="03B0DBD4"/>
    <w:lvl w:ilvl="0" w:tplc="2B024BE6">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num w:numId="1" w16cid:durableId="440227866">
    <w:abstractNumId w:val="3"/>
  </w:num>
  <w:num w:numId="2" w16cid:durableId="522590686">
    <w:abstractNumId w:val="1"/>
  </w:num>
  <w:num w:numId="3" w16cid:durableId="763955741">
    <w:abstractNumId w:val="2"/>
  </w:num>
  <w:num w:numId="4" w16cid:durableId="254478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B87"/>
    <w:rsid w:val="00003373"/>
    <w:rsid w:val="000034B7"/>
    <w:rsid w:val="00003972"/>
    <w:rsid w:val="00011C0D"/>
    <w:rsid w:val="00014A68"/>
    <w:rsid w:val="00022A12"/>
    <w:rsid w:val="00022EDE"/>
    <w:rsid w:val="0002413E"/>
    <w:rsid w:val="00025CE3"/>
    <w:rsid w:val="00033FDA"/>
    <w:rsid w:val="000373B1"/>
    <w:rsid w:val="000406CC"/>
    <w:rsid w:val="0004325F"/>
    <w:rsid w:val="0004726A"/>
    <w:rsid w:val="00052ED5"/>
    <w:rsid w:val="000547E7"/>
    <w:rsid w:val="00057621"/>
    <w:rsid w:val="00057F73"/>
    <w:rsid w:val="00066336"/>
    <w:rsid w:val="00066CBF"/>
    <w:rsid w:val="00075DF3"/>
    <w:rsid w:val="00080681"/>
    <w:rsid w:val="00083FD2"/>
    <w:rsid w:val="0008561E"/>
    <w:rsid w:val="00090B63"/>
    <w:rsid w:val="00091988"/>
    <w:rsid w:val="000931AE"/>
    <w:rsid w:val="000944FD"/>
    <w:rsid w:val="00094A21"/>
    <w:rsid w:val="000B1540"/>
    <w:rsid w:val="000B5377"/>
    <w:rsid w:val="000B73BB"/>
    <w:rsid w:val="000C0B6F"/>
    <w:rsid w:val="000C2C6C"/>
    <w:rsid w:val="000C4B53"/>
    <w:rsid w:val="000C4C19"/>
    <w:rsid w:val="000D7E91"/>
    <w:rsid w:val="000E19C2"/>
    <w:rsid w:val="000F1B87"/>
    <w:rsid w:val="000F76A5"/>
    <w:rsid w:val="00105F24"/>
    <w:rsid w:val="00111A1E"/>
    <w:rsid w:val="001168E8"/>
    <w:rsid w:val="0011738E"/>
    <w:rsid w:val="00120C3F"/>
    <w:rsid w:val="00124AC5"/>
    <w:rsid w:val="00133949"/>
    <w:rsid w:val="00137BC8"/>
    <w:rsid w:val="001403EE"/>
    <w:rsid w:val="00146205"/>
    <w:rsid w:val="001473B9"/>
    <w:rsid w:val="00155331"/>
    <w:rsid w:val="0015724E"/>
    <w:rsid w:val="00160B95"/>
    <w:rsid w:val="0016346B"/>
    <w:rsid w:val="001639D9"/>
    <w:rsid w:val="00164290"/>
    <w:rsid w:val="0016734C"/>
    <w:rsid w:val="00171222"/>
    <w:rsid w:val="001714B4"/>
    <w:rsid w:val="0017534A"/>
    <w:rsid w:val="001761B1"/>
    <w:rsid w:val="00177973"/>
    <w:rsid w:val="00182D5B"/>
    <w:rsid w:val="001853D4"/>
    <w:rsid w:val="00187A27"/>
    <w:rsid w:val="00191D35"/>
    <w:rsid w:val="00194B44"/>
    <w:rsid w:val="001A0586"/>
    <w:rsid w:val="001A154B"/>
    <w:rsid w:val="001A278A"/>
    <w:rsid w:val="001A321C"/>
    <w:rsid w:val="001A3704"/>
    <w:rsid w:val="001A38D2"/>
    <w:rsid w:val="001A3916"/>
    <w:rsid w:val="001A46A8"/>
    <w:rsid w:val="001A6040"/>
    <w:rsid w:val="001A6BA4"/>
    <w:rsid w:val="001B3EE7"/>
    <w:rsid w:val="001B56BA"/>
    <w:rsid w:val="001B6902"/>
    <w:rsid w:val="001B6A80"/>
    <w:rsid w:val="001B6FDD"/>
    <w:rsid w:val="001B70BB"/>
    <w:rsid w:val="001B70DE"/>
    <w:rsid w:val="001C2E8A"/>
    <w:rsid w:val="001C346F"/>
    <w:rsid w:val="001C73D3"/>
    <w:rsid w:val="001C7CFB"/>
    <w:rsid w:val="001D02BB"/>
    <w:rsid w:val="001D3AF5"/>
    <w:rsid w:val="001D3F07"/>
    <w:rsid w:val="001D4813"/>
    <w:rsid w:val="001D746A"/>
    <w:rsid w:val="001E280C"/>
    <w:rsid w:val="001E29EA"/>
    <w:rsid w:val="001E589D"/>
    <w:rsid w:val="001E6506"/>
    <w:rsid w:val="00200BE2"/>
    <w:rsid w:val="002023F6"/>
    <w:rsid w:val="002033FE"/>
    <w:rsid w:val="00210432"/>
    <w:rsid w:val="002136E2"/>
    <w:rsid w:val="00216D78"/>
    <w:rsid w:val="00217081"/>
    <w:rsid w:val="00230993"/>
    <w:rsid w:val="00231995"/>
    <w:rsid w:val="002320C7"/>
    <w:rsid w:val="002352B8"/>
    <w:rsid w:val="00240FC9"/>
    <w:rsid w:val="002418F6"/>
    <w:rsid w:val="00245AAC"/>
    <w:rsid w:val="00251734"/>
    <w:rsid w:val="0025222C"/>
    <w:rsid w:val="00253715"/>
    <w:rsid w:val="002562CC"/>
    <w:rsid w:val="002601DF"/>
    <w:rsid w:val="00262BE6"/>
    <w:rsid w:val="002671EC"/>
    <w:rsid w:val="002713F3"/>
    <w:rsid w:val="00272579"/>
    <w:rsid w:val="002773D5"/>
    <w:rsid w:val="00277B2C"/>
    <w:rsid w:val="00280A3C"/>
    <w:rsid w:val="00283EF9"/>
    <w:rsid w:val="00297472"/>
    <w:rsid w:val="00297489"/>
    <w:rsid w:val="002A44C6"/>
    <w:rsid w:val="002B06DC"/>
    <w:rsid w:val="002B5172"/>
    <w:rsid w:val="002B72A4"/>
    <w:rsid w:val="002B7CBA"/>
    <w:rsid w:val="002C046A"/>
    <w:rsid w:val="002C46B9"/>
    <w:rsid w:val="002C662A"/>
    <w:rsid w:val="002D10A2"/>
    <w:rsid w:val="002D1242"/>
    <w:rsid w:val="002D12F7"/>
    <w:rsid w:val="002D30EF"/>
    <w:rsid w:val="002D4237"/>
    <w:rsid w:val="002D6105"/>
    <w:rsid w:val="002D7E13"/>
    <w:rsid w:val="002E0CBC"/>
    <w:rsid w:val="002E18BF"/>
    <w:rsid w:val="002F1461"/>
    <w:rsid w:val="002F404B"/>
    <w:rsid w:val="002F430B"/>
    <w:rsid w:val="002F522A"/>
    <w:rsid w:val="002F5BF1"/>
    <w:rsid w:val="00300659"/>
    <w:rsid w:val="00301C46"/>
    <w:rsid w:val="00303EBD"/>
    <w:rsid w:val="0030595B"/>
    <w:rsid w:val="003124C4"/>
    <w:rsid w:val="003155B4"/>
    <w:rsid w:val="00321854"/>
    <w:rsid w:val="00321F9E"/>
    <w:rsid w:val="003255EF"/>
    <w:rsid w:val="0032620C"/>
    <w:rsid w:val="00326BB7"/>
    <w:rsid w:val="0033476E"/>
    <w:rsid w:val="00340BB4"/>
    <w:rsid w:val="003431FC"/>
    <w:rsid w:val="00343782"/>
    <w:rsid w:val="00343896"/>
    <w:rsid w:val="0034764A"/>
    <w:rsid w:val="003509C1"/>
    <w:rsid w:val="0035232D"/>
    <w:rsid w:val="003545D2"/>
    <w:rsid w:val="00354ABC"/>
    <w:rsid w:val="00362E27"/>
    <w:rsid w:val="00364F9B"/>
    <w:rsid w:val="0036694C"/>
    <w:rsid w:val="00371ACB"/>
    <w:rsid w:val="00372429"/>
    <w:rsid w:val="00374C4C"/>
    <w:rsid w:val="0037733C"/>
    <w:rsid w:val="00381DE1"/>
    <w:rsid w:val="003836A3"/>
    <w:rsid w:val="003877A9"/>
    <w:rsid w:val="00393B07"/>
    <w:rsid w:val="00394C0F"/>
    <w:rsid w:val="003954C5"/>
    <w:rsid w:val="00397650"/>
    <w:rsid w:val="003A240A"/>
    <w:rsid w:val="003B0353"/>
    <w:rsid w:val="003B0D53"/>
    <w:rsid w:val="003B3663"/>
    <w:rsid w:val="003B6F72"/>
    <w:rsid w:val="003B7A6F"/>
    <w:rsid w:val="003C60EC"/>
    <w:rsid w:val="003C6D3D"/>
    <w:rsid w:val="003D1024"/>
    <w:rsid w:val="003D209B"/>
    <w:rsid w:val="003D2A8D"/>
    <w:rsid w:val="003D580A"/>
    <w:rsid w:val="003D6A5B"/>
    <w:rsid w:val="003E0539"/>
    <w:rsid w:val="003E2035"/>
    <w:rsid w:val="003E2D1E"/>
    <w:rsid w:val="003E46BA"/>
    <w:rsid w:val="003E6957"/>
    <w:rsid w:val="003F0D89"/>
    <w:rsid w:val="003F7303"/>
    <w:rsid w:val="004028A2"/>
    <w:rsid w:val="00403825"/>
    <w:rsid w:val="00405493"/>
    <w:rsid w:val="00407250"/>
    <w:rsid w:val="00410917"/>
    <w:rsid w:val="004109D9"/>
    <w:rsid w:val="0041681A"/>
    <w:rsid w:val="004171FE"/>
    <w:rsid w:val="00420055"/>
    <w:rsid w:val="00420BBD"/>
    <w:rsid w:val="00421A33"/>
    <w:rsid w:val="004251F6"/>
    <w:rsid w:val="00427AE6"/>
    <w:rsid w:val="00436FDD"/>
    <w:rsid w:val="00437C6C"/>
    <w:rsid w:val="00440AB8"/>
    <w:rsid w:val="00442375"/>
    <w:rsid w:val="004430F3"/>
    <w:rsid w:val="00443BB7"/>
    <w:rsid w:val="00443DFB"/>
    <w:rsid w:val="00451868"/>
    <w:rsid w:val="00470C7E"/>
    <w:rsid w:val="00473590"/>
    <w:rsid w:val="0047685B"/>
    <w:rsid w:val="00476FE5"/>
    <w:rsid w:val="00485AA9"/>
    <w:rsid w:val="004864A4"/>
    <w:rsid w:val="00487E1A"/>
    <w:rsid w:val="00491123"/>
    <w:rsid w:val="00493652"/>
    <w:rsid w:val="004979D1"/>
    <w:rsid w:val="004A279F"/>
    <w:rsid w:val="004A2A35"/>
    <w:rsid w:val="004A56CD"/>
    <w:rsid w:val="004A6732"/>
    <w:rsid w:val="004B0C1D"/>
    <w:rsid w:val="004C24C1"/>
    <w:rsid w:val="004C5126"/>
    <w:rsid w:val="004C60D3"/>
    <w:rsid w:val="004D0CA1"/>
    <w:rsid w:val="004D15B1"/>
    <w:rsid w:val="004D2755"/>
    <w:rsid w:val="004D53CB"/>
    <w:rsid w:val="004D5EE9"/>
    <w:rsid w:val="004D637A"/>
    <w:rsid w:val="004E0315"/>
    <w:rsid w:val="004E0891"/>
    <w:rsid w:val="004E1705"/>
    <w:rsid w:val="004E19F7"/>
    <w:rsid w:val="004E1E55"/>
    <w:rsid w:val="004E2191"/>
    <w:rsid w:val="004E22B4"/>
    <w:rsid w:val="004F1C22"/>
    <w:rsid w:val="004F5FA4"/>
    <w:rsid w:val="004F6695"/>
    <w:rsid w:val="00502B81"/>
    <w:rsid w:val="0050787F"/>
    <w:rsid w:val="0051080B"/>
    <w:rsid w:val="00511781"/>
    <w:rsid w:val="005126D7"/>
    <w:rsid w:val="00512DBD"/>
    <w:rsid w:val="00515B85"/>
    <w:rsid w:val="00524B99"/>
    <w:rsid w:val="00526231"/>
    <w:rsid w:val="0052644D"/>
    <w:rsid w:val="00527EA5"/>
    <w:rsid w:val="005346CF"/>
    <w:rsid w:val="00543ED0"/>
    <w:rsid w:val="00546194"/>
    <w:rsid w:val="005470FB"/>
    <w:rsid w:val="005540A4"/>
    <w:rsid w:val="00554BCB"/>
    <w:rsid w:val="00561866"/>
    <w:rsid w:val="00563835"/>
    <w:rsid w:val="00574461"/>
    <w:rsid w:val="00574CCC"/>
    <w:rsid w:val="00577CBF"/>
    <w:rsid w:val="0058087D"/>
    <w:rsid w:val="00580C64"/>
    <w:rsid w:val="005818D3"/>
    <w:rsid w:val="00581EE9"/>
    <w:rsid w:val="0058284B"/>
    <w:rsid w:val="005836E2"/>
    <w:rsid w:val="00586A4A"/>
    <w:rsid w:val="0059058B"/>
    <w:rsid w:val="005905E0"/>
    <w:rsid w:val="005912B1"/>
    <w:rsid w:val="005929FF"/>
    <w:rsid w:val="00592A4F"/>
    <w:rsid w:val="0059413F"/>
    <w:rsid w:val="00596C72"/>
    <w:rsid w:val="005A0C00"/>
    <w:rsid w:val="005A1974"/>
    <w:rsid w:val="005A1E40"/>
    <w:rsid w:val="005A490B"/>
    <w:rsid w:val="005A75EF"/>
    <w:rsid w:val="005A79B3"/>
    <w:rsid w:val="005B0147"/>
    <w:rsid w:val="005B0808"/>
    <w:rsid w:val="005B1A8F"/>
    <w:rsid w:val="005B1F00"/>
    <w:rsid w:val="005B5EB7"/>
    <w:rsid w:val="005B641F"/>
    <w:rsid w:val="005C10EE"/>
    <w:rsid w:val="005C5E2B"/>
    <w:rsid w:val="005D13FE"/>
    <w:rsid w:val="005D207D"/>
    <w:rsid w:val="005D30EF"/>
    <w:rsid w:val="005D5CCE"/>
    <w:rsid w:val="005D65CF"/>
    <w:rsid w:val="005E38F4"/>
    <w:rsid w:val="005E3DB4"/>
    <w:rsid w:val="005E4BEF"/>
    <w:rsid w:val="005E79DC"/>
    <w:rsid w:val="005F1238"/>
    <w:rsid w:val="005F20D1"/>
    <w:rsid w:val="005F21B0"/>
    <w:rsid w:val="005F5AF1"/>
    <w:rsid w:val="005F6422"/>
    <w:rsid w:val="005F65E0"/>
    <w:rsid w:val="005F7844"/>
    <w:rsid w:val="00607C25"/>
    <w:rsid w:val="006127DD"/>
    <w:rsid w:val="00613E8D"/>
    <w:rsid w:val="006247FE"/>
    <w:rsid w:val="006252FA"/>
    <w:rsid w:val="00630911"/>
    <w:rsid w:val="0063386D"/>
    <w:rsid w:val="006377C3"/>
    <w:rsid w:val="00640362"/>
    <w:rsid w:val="00643023"/>
    <w:rsid w:val="006439C3"/>
    <w:rsid w:val="00644996"/>
    <w:rsid w:val="006647B0"/>
    <w:rsid w:val="006705AB"/>
    <w:rsid w:val="00673A4D"/>
    <w:rsid w:val="00676E30"/>
    <w:rsid w:val="006818A8"/>
    <w:rsid w:val="006823BE"/>
    <w:rsid w:val="00693FA5"/>
    <w:rsid w:val="00694CE7"/>
    <w:rsid w:val="006966F9"/>
    <w:rsid w:val="006A2A50"/>
    <w:rsid w:val="006A2C6E"/>
    <w:rsid w:val="006A4CF8"/>
    <w:rsid w:val="006A7014"/>
    <w:rsid w:val="006A71C8"/>
    <w:rsid w:val="006B21A7"/>
    <w:rsid w:val="006B57E1"/>
    <w:rsid w:val="006B7DB7"/>
    <w:rsid w:val="006C062F"/>
    <w:rsid w:val="006C3A15"/>
    <w:rsid w:val="006D3DB9"/>
    <w:rsid w:val="006D4DAF"/>
    <w:rsid w:val="006D5A0C"/>
    <w:rsid w:val="006E21F5"/>
    <w:rsid w:val="006F0622"/>
    <w:rsid w:val="006F42D2"/>
    <w:rsid w:val="006F46A3"/>
    <w:rsid w:val="006F58C7"/>
    <w:rsid w:val="006F5F95"/>
    <w:rsid w:val="006F727E"/>
    <w:rsid w:val="006F733D"/>
    <w:rsid w:val="00711E6F"/>
    <w:rsid w:val="00714D5A"/>
    <w:rsid w:val="007213F8"/>
    <w:rsid w:val="007256AC"/>
    <w:rsid w:val="007342A5"/>
    <w:rsid w:val="00737D8E"/>
    <w:rsid w:val="00741452"/>
    <w:rsid w:val="00742BC7"/>
    <w:rsid w:val="007438A8"/>
    <w:rsid w:val="007505E3"/>
    <w:rsid w:val="0075250C"/>
    <w:rsid w:val="00753938"/>
    <w:rsid w:val="007541A2"/>
    <w:rsid w:val="00760CF7"/>
    <w:rsid w:val="007624D1"/>
    <w:rsid w:val="00763037"/>
    <w:rsid w:val="007672F5"/>
    <w:rsid w:val="007708AA"/>
    <w:rsid w:val="0077757C"/>
    <w:rsid w:val="00780EB5"/>
    <w:rsid w:val="0079057A"/>
    <w:rsid w:val="00791FC3"/>
    <w:rsid w:val="00792787"/>
    <w:rsid w:val="007927C3"/>
    <w:rsid w:val="007A3D16"/>
    <w:rsid w:val="007A40C8"/>
    <w:rsid w:val="007A52DA"/>
    <w:rsid w:val="007A661D"/>
    <w:rsid w:val="007A68B1"/>
    <w:rsid w:val="007B04CB"/>
    <w:rsid w:val="007B4802"/>
    <w:rsid w:val="007C079D"/>
    <w:rsid w:val="007C4EAB"/>
    <w:rsid w:val="007C5896"/>
    <w:rsid w:val="007C750F"/>
    <w:rsid w:val="007D348E"/>
    <w:rsid w:val="007E0B68"/>
    <w:rsid w:val="007E6EDA"/>
    <w:rsid w:val="007F0836"/>
    <w:rsid w:val="007F3890"/>
    <w:rsid w:val="007F6B11"/>
    <w:rsid w:val="007F725B"/>
    <w:rsid w:val="00804E20"/>
    <w:rsid w:val="00805A13"/>
    <w:rsid w:val="008106D3"/>
    <w:rsid w:val="00810D79"/>
    <w:rsid w:val="0081603A"/>
    <w:rsid w:val="00817F69"/>
    <w:rsid w:val="00820334"/>
    <w:rsid w:val="008211D2"/>
    <w:rsid w:val="00822E7F"/>
    <w:rsid w:val="00822FEE"/>
    <w:rsid w:val="00823C52"/>
    <w:rsid w:val="0082658D"/>
    <w:rsid w:val="0083062D"/>
    <w:rsid w:val="00830A7B"/>
    <w:rsid w:val="008340CB"/>
    <w:rsid w:val="00841AE7"/>
    <w:rsid w:val="00841CF9"/>
    <w:rsid w:val="00843323"/>
    <w:rsid w:val="00843AD5"/>
    <w:rsid w:val="008448E2"/>
    <w:rsid w:val="00854D24"/>
    <w:rsid w:val="0085512C"/>
    <w:rsid w:val="00856BDB"/>
    <w:rsid w:val="008604F7"/>
    <w:rsid w:val="00861180"/>
    <w:rsid w:val="008611CD"/>
    <w:rsid w:val="00861766"/>
    <w:rsid w:val="008651C0"/>
    <w:rsid w:val="00874DA2"/>
    <w:rsid w:val="0087774D"/>
    <w:rsid w:val="008806D4"/>
    <w:rsid w:val="00880B3B"/>
    <w:rsid w:val="00881A4A"/>
    <w:rsid w:val="00884234"/>
    <w:rsid w:val="0088599A"/>
    <w:rsid w:val="00885B1A"/>
    <w:rsid w:val="00890816"/>
    <w:rsid w:val="00892F69"/>
    <w:rsid w:val="008938CF"/>
    <w:rsid w:val="00894275"/>
    <w:rsid w:val="008978AF"/>
    <w:rsid w:val="008A418E"/>
    <w:rsid w:val="008A5F49"/>
    <w:rsid w:val="008A7AA7"/>
    <w:rsid w:val="008B19CB"/>
    <w:rsid w:val="008B2D99"/>
    <w:rsid w:val="008B2E8C"/>
    <w:rsid w:val="008B30F0"/>
    <w:rsid w:val="008D0E0B"/>
    <w:rsid w:val="008D1A47"/>
    <w:rsid w:val="008D510F"/>
    <w:rsid w:val="008D62AB"/>
    <w:rsid w:val="008D748E"/>
    <w:rsid w:val="008E121C"/>
    <w:rsid w:val="008E12BC"/>
    <w:rsid w:val="008E1ABC"/>
    <w:rsid w:val="008E35A4"/>
    <w:rsid w:val="008E66EA"/>
    <w:rsid w:val="008E6DF3"/>
    <w:rsid w:val="008F1C5B"/>
    <w:rsid w:val="008F3B4C"/>
    <w:rsid w:val="008F489B"/>
    <w:rsid w:val="008F546A"/>
    <w:rsid w:val="008F5E01"/>
    <w:rsid w:val="00906852"/>
    <w:rsid w:val="00910BB3"/>
    <w:rsid w:val="00911F71"/>
    <w:rsid w:val="0091696F"/>
    <w:rsid w:val="009247CF"/>
    <w:rsid w:val="00925DFA"/>
    <w:rsid w:val="00926747"/>
    <w:rsid w:val="00930809"/>
    <w:rsid w:val="0094233F"/>
    <w:rsid w:val="009430CE"/>
    <w:rsid w:val="009445B1"/>
    <w:rsid w:val="009510D4"/>
    <w:rsid w:val="0095361D"/>
    <w:rsid w:val="009558FF"/>
    <w:rsid w:val="00963E7B"/>
    <w:rsid w:val="00964BDF"/>
    <w:rsid w:val="00966217"/>
    <w:rsid w:val="0096723C"/>
    <w:rsid w:val="009733DB"/>
    <w:rsid w:val="0097404E"/>
    <w:rsid w:val="009744B5"/>
    <w:rsid w:val="00974DE5"/>
    <w:rsid w:val="0097535C"/>
    <w:rsid w:val="0098019D"/>
    <w:rsid w:val="00984952"/>
    <w:rsid w:val="00984E25"/>
    <w:rsid w:val="00991922"/>
    <w:rsid w:val="009979F6"/>
    <w:rsid w:val="009A315F"/>
    <w:rsid w:val="009A7476"/>
    <w:rsid w:val="009B49A1"/>
    <w:rsid w:val="009B588C"/>
    <w:rsid w:val="009B6268"/>
    <w:rsid w:val="009C0961"/>
    <w:rsid w:val="009C4B43"/>
    <w:rsid w:val="009C52D8"/>
    <w:rsid w:val="009C76A1"/>
    <w:rsid w:val="009C7A61"/>
    <w:rsid w:val="009D068B"/>
    <w:rsid w:val="009D0A81"/>
    <w:rsid w:val="009D1C33"/>
    <w:rsid w:val="009D28E7"/>
    <w:rsid w:val="009D7316"/>
    <w:rsid w:val="009D7DB6"/>
    <w:rsid w:val="009E39F4"/>
    <w:rsid w:val="009E4665"/>
    <w:rsid w:val="009E4AFF"/>
    <w:rsid w:val="009E5DF9"/>
    <w:rsid w:val="00A01D08"/>
    <w:rsid w:val="00A03159"/>
    <w:rsid w:val="00A03A31"/>
    <w:rsid w:val="00A071B2"/>
    <w:rsid w:val="00A078F9"/>
    <w:rsid w:val="00A12028"/>
    <w:rsid w:val="00A17C48"/>
    <w:rsid w:val="00A21BE9"/>
    <w:rsid w:val="00A21FB2"/>
    <w:rsid w:val="00A3734E"/>
    <w:rsid w:val="00A40CFD"/>
    <w:rsid w:val="00A45F81"/>
    <w:rsid w:val="00A475CB"/>
    <w:rsid w:val="00A54046"/>
    <w:rsid w:val="00A567F7"/>
    <w:rsid w:val="00A64824"/>
    <w:rsid w:val="00A70108"/>
    <w:rsid w:val="00A73FA5"/>
    <w:rsid w:val="00A769C4"/>
    <w:rsid w:val="00A8275E"/>
    <w:rsid w:val="00A871C8"/>
    <w:rsid w:val="00A95911"/>
    <w:rsid w:val="00A95D79"/>
    <w:rsid w:val="00A95EE9"/>
    <w:rsid w:val="00AA00F0"/>
    <w:rsid w:val="00AB0BE3"/>
    <w:rsid w:val="00AB42B3"/>
    <w:rsid w:val="00AB4CD4"/>
    <w:rsid w:val="00AB6CDB"/>
    <w:rsid w:val="00AB7396"/>
    <w:rsid w:val="00AB7610"/>
    <w:rsid w:val="00AC2230"/>
    <w:rsid w:val="00AC264D"/>
    <w:rsid w:val="00AC49D5"/>
    <w:rsid w:val="00AC5143"/>
    <w:rsid w:val="00AD2297"/>
    <w:rsid w:val="00AD2F3E"/>
    <w:rsid w:val="00AD43CD"/>
    <w:rsid w:val="00AD4DEC"/>
    <w:rsid w:val="00AD6097"/>
    <w:rsid w:val="00AE18BA"/>
    <w:rsid w:val="00AE2086"/>
    <w:rsid w:val="00AE3D54"/>
    <w:rsid w:val="00AE51AF"/>
    <w:rsid w:val="00AE6E18"/>
    <w:rsid w:val="00AF1549"/>
    <w:rsid w:val="00AF1B7B"/>
    <w:rsid w:val="00AF24F6"/>
    <w:rsid w:val="00B009AD"/>
    <w:rsid w:val="00B00AA0"/>
    <w:rsid w:val="00B014B1"/>
    <w:rsid w:val="00B019DF"/>
    <w:rsid w:val="00B063A2"/>
    <w:rsid w:val="00B11D61"/>
    <w:rsid w:val="00B12B6E"/>
    <w:rsid w:val="00B1565B"/>
    <w:rsid w:val="00B21326"/>
    <w:rsid w:val="00B22867"/>
    <w:rsid w:val="00B26019"/>
    <w:rsid w:val="00B27FFE"/>
    <w:rsid w:val="00B30B42"/>
    <w:rsid w:val="00B35D24"/>
    <w:rsid w:val="00B42CB5"/>
    <w:rsid w:val="00B52958"/>
    <w:rsid w:val="00B530E0"/>
    <w:rsid w:val="00B53B22"/>
    <w:rsid w:val="00B57421"/>
    <w:rsid w:val="00B60BB9"/>
    <w:rsid w:val="00B60F7B"/>
    <w:rsid w:val="00B62079"/>
    <w:rsid w:val="00B6518A"/>
    <w:rsid w:val="00B661BD"/>
    <w:rsid w:val="00B7438A"/>
    <w:rsid w:val="00B757D9"/>
    <w:rsid w:val="00B867E2"/>
    <w:rsid w:val="00B92569"/>
    <w:rsid w:val="00B927FE"/>
    <w:rsid w:val="00B92FF6"/>
    <w:rsid w:val="00B97EFB"/>
    <w:rsid w:val="00BA2314"/>
    <w:rsid w:val="00BA7D18"/>
    <w:rsid w:val="00BB1F33"/>
    <w:rsid w:val="00BB2183"/>
    <w:rsid w:val="00BB2878"/>
    <w:rsid w:val="00BB2B3C"/>
    <w:rsid w:val="00BB63BB"/>
    <w:rsid w:val="00BB6F9D"/>
    <w:rsid w:val="00BC1088"/>
    <w:rsid w:val="00BC7D86"/>
    <w:rsid w:val="00BD1E51"/>
    <w:rsid w:val="00BD221E"/>
    <w:rsid w:val="00BD551A"/>
    <w:rsid w:val="00BD6192"/>
    <w:rsid w:val="00BE16D1"/>
    <w:rsid w:val="00BE175F"/>
    <w:rsid w:val="00BE35A8"/>
    <w:rsid w:val="00BE6458"/>
    <w:rsid w:val="00BE6A32"/>
    <w:rsid w:val="00BF1FB7"/>
    <w:rsid w:val="00BF2889"/>
    <w:rsid w:val="00BF42DD"/>
    <w:rsid w:val="00BF6364"/>
    <w:rsid w:val="00C0504A"/>
    <w:rsid w:val="00C06199"/>
    <w:rsid w:val="00C07C70"/>
    <w:rsid w:val="00C10163"/>
    <w:rsid w:val="00C10D42"/>
    <w:rsid w:val="00C12348"/>
    <w:rsid w:val="00C20B2D"/>
    <w:rsid w:val="00C21169"/>
    <w:rsid w:val="00C22D0E"/>
    <w:rsid w:val="00C2428B"/>
    <w:rsid w:val="00C3167D"/>
    <w:rsid w:val="00C35028"/>
    <w:rsid w:val="00C35407"/>
    <w:rsid w:val="00C44996"/>
    <w:rsid w:val="00C544CB"/>
    <w:rsid w:val="00C60257"/>
    <w:rsid w:val="00C62B4C"/>
    <w:rsid w:val="00C65772"/>
    <w:rsid w:val="00C65E59"/>
    <w:rsid w:val="00C67F0F"/>
    <w:rsid w:val="00C715D9"/>
    <w:rsid w:val="00C811C2"/>
    <w:rsid w:val="00C85441"/>
    <w:rsid w:val="00C915F1"/>
    <w:rsid w:val="00C91AC6"/>
    <w:rsid w:val="00C93F75"/>
    <w:rsid w:val="00C96CE7"/>
    <w:rsid w:val="00CA0B80"/>
    <w:rsid w:val="00CA2642"/>
    <w:rsid w:val="00CA2F4B"/>
    <w:rsid w:val="00CA4082"/>
    <w:rsid w:val="00CA7ADB"/>
    <w:rsid w:val="00CB0E07"/>
    <w:rsid w:val="00CB1205"/>
    <w:rsid w:val="00CC0C74"/>
    <w:rsid w:val="00CC51D8"/>
    <w:rsid w:val="00CC7A2F"/>
    <w:rsid w:val="00CD26CE"/>
    <w:rsid w:val="00CD5945"/>
    <w:rsid w:val="00CD7080"/>
    <w:rsid w:val="00CD7EC1"/>
    <w:rsid w:val="00CE33E4"/>
    <w:rsid w:val="00CE4183"/>
    <w:rsid w:val="00CE5F7E"/>
    <w:rsid w:val="00CF0C17"/>
    <w:rsid w:val="00CF2D79"/>
    <w:rsid w:val="00CF6B3E"/>
    <w:rsid w:val="00CF70B6"/>
    <w:rsid w:val="00CF7227"/>
    <w:rsid w:val="00D044C2"/>
    <w:rsid w:val="00D04EE3"/>
    <w:rsid w:val="00D118F2"/>
    <w:rsid w:val="00D130AA"/>
    <w:rsid w:val="00D14F79"/>
    <w:rsid w:val="00D17451"/>
    <w:rsid w:val="00D17783"/>
    <w:rsid w:val="00D2531F"/>
    <w:rsid w:val="00D30005"/>
    <w:rsid w:val="00D35275"/>
    <w:rsid w:val="00D41ABD"/>
    <w:rsid w:val="00D43839"/>
    <w:rsid w:val="00D51D6C"/>
    <w:rsid w:val="00D51E0A"/>
    <w:rsid w:val="00D521B5"/>
    <w:rsid w:val="00D53235"/>
    <w:rsid w:val="00D54602"/>
    <w:rsid w:val="00D56346"/>
    <w:rsid w:val="00D57D7E"/>
    <w:rsid w:val="00D60FCA"/>
    <w:rsid w:val="00D632F4"/>
    <w:rsid w:val="00D6455B"/>
    <w:rsid w:val="00D663E4"/>
    <w:rsid w:val="00D6697A"/>
    <w:rsid w:val="00D66CD2"/>
    <w:rsid w:val="00D7054F"/>
    <w:rsid w:val="00D74C7B"/>
    <w:rsid w:val="00D76A17"/>
    <w:rsid w:val="00D76DB5"/>
    <w:rsid w:val="00D80574"/>
    <w:rsid w:val="00D84EB1"/>
    <w:rsid w:val="00D8523C"/>
    <w:rsid w:val="00D93F3D"/>
    <w:rsid w:val="00D96530"/>
    <w:rsid w:val="00DA29A4"/>
    <w:rsid w:val="00DA49E3"/>
    <w:rsid w:val="00DA5756"/>
    <w:rsid w:val="00DA5B30"/>
    <w:rsid w:val="00DB6F62"/>
    <w:rsid w:val="00DC00D7"/>
    <w:rsid w:val="00DC05DA"/>
    <w:rsid w:val="00DC4014"/>
    <w:rsid w:val="00DC441A"/>
    <w:rsid w:val="00DC51DF"/>
    <w:rsid w:val="00DC5ADD"/>
    <w:rsid w:val="00DC619C"/>
    <w:rsid w:val="00DC7BFD"/>
    <w:rsid w:val="00DD2F53"/>
    <w:rsid w:val="00DD681A"/>
    <w:rsid w:val="00DE4E25"/>
    <w:rsid w:val="00DE6AE4"/>
    <w:rsid w:val="00DF07AA"/>
    <w:rsid w:val="00DF0B6C"/>
    <w:rsid w:val="00DF17F3"/>
    <w:rsid w:val="00DF304C"/>
    <w:rsid w:val="00DF374E"/>
    <w:rsid w:val="00DF54C9"/>
    <w:rsid w:val="00DF7421"/>
    <w:rsid w:val="00E05906"/>
    <w:rsid w:val="00E11BDB"/>
    <w:rsid w:val="00E13EE5"/>
    <w:rsid w:val="00E1615A"/>
    <w:rsid w:val="00E2051A"/>
    <w:rsid w:val="00E25668"/>
    <w:rsid w:val="00E2612F"/>
    <w:rsid w:val="00E32C3B"/>
    <w:rsid w:val="00E37456"/>
    <w:rsid w:val="00E40125"/>
    <w:rsid w:val="00E4176E"/>
    <w:rsid w:val="00E41FC6"/>
    <w:rsid w:val="00E4324D"/>
    <w:rsid w:val="00E43C85"/>
    <w:rsid w:val="00E45FD0"/>
    <w:rsid w:val="00E47B62"/>
    <w:rsid w:val="00E503A7"/>
    <w:rsid w:val="00E55C5F"/>
    <w:rsid w:val="00E56F76"/>
    <w:rsid w:val="00E6105F"/>
    <w:rsid w:val="00E61180"/>
    <w:rsid w:val="00E61FB3"/>
    <w:rsid w:val="00E62F3D"/>
    <w:rsid w:val="00E63578"/>
    <w:rsid w:val="00E65689"/>
    <w:rsid w:val="00E656B3"/>
    <w:rsid w:val="00E735F4"/>
    <w:rsid w:val="00E74310"/>
    <w:rsid w:val="00E74C5B"/>
    <w:rsid w:val="00E8459C"/>
    <w:rsid w:val="00E90CB3"/>
    <w:rsid w:val="00E94EA9"/>
    <w:rsid w:val="00EA0224"/>
    <w:rsid w:val="00EA6B33"/>
    <w:rsid w:val="00EB17C4"/>
    <w:rsid w:val="00EB2AAA"/>
    <w:rsid w:val="00EB4F53"/>
    <w:rsid w:val="00EB7F03"/>
    <w:rsid w:val="00EC109C"/>
    <w:rsid w:val="00EC26DE"/>
    <w:rsid w:val="00EC3329"/>
    <w:rsid w:val="00EC3C2D"/>
    <w:rsid w:val="00EC411D"/>
    <w:rsid w:val="00EC4370"/>
    <w:rsid w:val="00EC6C3A"/>
    <w:rsid w:val="00ED74EA"/>
    <w:rsid w:val="00EE1A6C"/>
    <w:rsid w:val="00EE1D95"/>
    <w:rsid w:val="00EE380A"/>
    <w:rsid w:val="00EE468E"/>
    <w:rsid w:val="00EF5CE2"/>
    <w:rsid w:val="00EF6919"/>
    <w:rsid w:val="00F006E4"/>
    <w:rsid w:val="00F03652"/>
    <w:rsid w:val="00F051A1"/>
    <w:rsid w:val="00F051FA"/>
    <w:rsid w:val="00F11056"/>
    <w:rsid w:val="00F125B3"/>
    <w:rsid w:val="00F14998"/>
    <w:rsid w:val="00F16FA5"/>
    <w:rsid w:val="00F2072C"/>
    <w:rsid w:val="00F214F9"/>
    <w:rsid w:val="00F222A9"/>
    <w:rsid w:val="00F22AEB"/>
    <w:rsid w:val="00F23FDC"/>
    <w:rsid w:val="00F2525D"/>
    <w:rsid w:val="00F30986"/>
    <w:rsid w:val="00F30C57"/>
    <w:rsid w:val="00F32F5F"/>
    <w:rsid w:val="00F36FAF"/>
    <w:rsid w:val="00F423CC"/>
    <w:rsid w:val="00F449A4"/>
    <w:rsid w:val="00F456E6"/>
    <w:rsid w:val="00F46669"/>
    <w:rsid w:val="00F5039D"/>
    <w:rsid w:val="00F55CA8"/>
    <w:rsid w:val="00F654AB"/>
    <w:rsid w:val="00F73207"/>
    <w:rsid w:val="00F8096B"/>
    <w:rsid w:val="00F8441A"/>
    <w:rsid w:val="00F84776"/>
    <w:rsid w:val="00F86B01"/>
    <w:rsid w:val="00F87247"/>
    <w:rsid w:val="00F9383C"/>
    <w:rsid w:val="00FA0316"/>
    <w:rsid w:val="00FA1801"/>
    <w:rsid w:val="00FA3E88"/>
    <w:rsid w:val="00FA42B9"/>
    <w:rsid w:val="00FA6AE9"/>
    <w:rsid w:val="00FA7702"/>
    <w:rsid w:val="00FB0769"/>
    <w:rsid w:val="00FB2757"/>
    <w:rsid w:val="00FB558C"/>
    <w:rsid w:val="00FB5C70"/>
    <w:rsid w:val="00FC10D8"/>
    <w:rsid w:val="00FC19B5"/>
    <w:rsid w:val="00FC5557"/>
    <w:rsid w:val="00FD061B"/>
    <w:rsid w:val="00FD4B36"/>
    <w:rsid w:val="00FE19CA"/>
    <w:rsid w:val="00FF27CD"/>
    <w:rsid w:val="00FF3350"/>
    <w:rsid w:val="00FF4F85"/>
    <w:rsid w:val="00FF63E6"/>
    <w:rsid w:val="00FF751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D631FDF"/>
  <w15:chartTrackingRefBased/>
  <w15:docId w15:val="{0F95385F-92A5-4613-B02B-E75F3D90A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0" w:line="240" w:lineRule="auto"/>
    </w:pPr>
    <w:rPr>
      <w:rFonts w:ascii="Inter" w:hAnsi="Inter" w:cs="Times New Roman"/>
      <w:color w:val="303030"/>
      <w:sz w:val="20"/>
    </w:rPr>
  </w:style>
  <w:style w:type="paragraph" w:styleId="Heading1">
    <w:name w:val="heading 1"/>
    <w:basedOn w:val="Normal"/>
    <w:next w:val="Normal"/>
    <w:link w:val="Heading1Char"/>
    <w:uiPriority w:val="9"/>
    <w:qFormat/>
    <w:rsid w:val="000F1B8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F1B8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F1B87"/>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F1B87"/>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0F1B87"/>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0F1B8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F1B8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F1B8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F1B8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B8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F1B8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F1B8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F1B87"/>
    <w:rPr>
      <w:rFonts w:eastAsiaTheme="majorEastAsia" w:cstheme="majorBidi"/>
      <w:i/>
      <w:iCs/>
      <w:color w:val="365F91" w:themeColor="accent1" w:themeShade="BF"/>
      <w:sz w:val="20"/>
    </w:rPr>
  </w:style>
  <w:style w:type="character" w:customStyle="1" w:styleId="Heading5Char">
    <w:name w:val="Heading 5 Char"/>
    <w:basedOn w:val="DefaultParagraphFont"/>
    <w:link w:val="Heading5"/>
    <w:uiPriority w:val="9"/>
    <w:semiHidden/>
    <w:rsid w:val="000F1B87"/>
    <w:rPr>
      <w:rFonts w:eastAsiaTheme="majorEastAsia" w:cstheme="majorBidi"/>
      <w:color w:val="365F91" w:themeColor="accent1" w:themeShade="BF"/>
      <w:sz w:val="20"/>
    </w:rPr>
  </w:style>
  <w:style w:type="character" w:customStyle="1" w:styleId="Heading6Char">
    <w:name w:val="Heading 6 Char"/>
    <w:basedOn w:val="DefaultParagraphFont"/>
    <w:link w:val="Heading6"/>
    <w:uiPriority w:val="9"/>
    <w:semiHidden/>
    <w:rsid w:val="000F1B87"/>
    <w:rPr>
      <w:rFonts w:eastAsiaTheme="majorEastAsia" w:cstheme="majorBidi"/>
      <w:i/>
      <w:iCs/>
      <w:color w:val="595959" w:themeColor="text1" w:themeTint="A6"/>
      <w:sz w:val="20"/>
    </w:rPr>
  </w:style>
  <w:style w:type="character" w:customStyle="1" w:styleId="Heading7Char">
    <w:name w:val="Heading 7 Char"/>
    <w:basedOn w:val="DefaultParagraphFont"/>
    <w:link w:val="Heading7"/>
    <w:uiPriority w:val="9"/>
    <w:semiHidden/>
    <w:rsid w:val="000F1B87"/>
    <w:rPr>
      <w:rFonts w:eastAsiaTheme="majorEastAsia" w:cstheme="majorBidi"/>
      <w:color w:val="595959" w:themeColor="text1" w:themeTint="A6"/>
      <w:sz w:val="20"/>
    </w:rPr>
  </w:style>
  <w:style w:type="character" w:customStyle="1" w:styleId="Heading8Char">
    <w:name w:val="Heading 8 Char"/>
    <w:basedOn w:val="DefaultParagraphFont"/>
    <w:link w:val="Heading8"/>
    <w:uiPriority w:val="9"/>
    <w:semiHidden/>
    <w:rsid w:val="000F1B87"/>
    <w:rPr>
      <w:rFonts w:eastAsiaTheme="majorEastAsia" w:cstheme="majorBidi"/>
      <w:i/>
      <w:iCs/>
      <w:color w:val="272727" w:themeColor="text1" w:themeTint="D8"/>
      <w:sz w:val="20"/>
    </w:rPr>
  </w:style>
  <w:style w:type="character" w:customStyle="1" w:styleId="Heading9Char">
    <w:name w:val="Heading 9 Char"/>
    <w:basedOn w:val="DefaultParagraphFont"/>
    <w:link w:val="Heading9"/>
    <w:uiPriority w:val="9"/>
    <w:semiHidden/>
    <w:rsid w:val="000F1B87"/>
    <w:rPr>
      <w:rFonts w:eastAsiaTheme="majorEastAsia" w:cstheme="majorBidi"/>
      <w:color w:val="272727" w:themeColor="text1" w:themeTint="D8"/>
      <w:sz w:val="20"/>
    </w:rPr>
  </w:style>
  <w:style w:type="paragraph" w:styleId="Title">
    <w:name w:val="Title"/>
    <w:basedOn w:val="Normal"/>
    <w:next w:val="Normal"/>
    <w:link w:val="TitleChar"/>
    <w:uiPriority w:val="10"/>
    <w:qFormat/>
    <w:rsid w:val="000F1B87"/>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0F1B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B8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B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B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F1B87"/>
    <w:rPr>
      <w:rFonts w:ascii="Inter" w:hAnsi="Inter" w:cs="Times New Roman"/>
      <w:i/>
      <w:iCs/>
      <w:color w:val="404040" w:themeColor="text1" w:themeTint="BF"/>
      <w:sz w:val="20"/>
    </w:rPr>
  </w:style>
  <w:style w:type="paragraph" w:styleId="ListParagraph">
    <w:name w:val="List Paragraph"/>
    <w:basedOn w:val="Normal"/>
    <w:uiPriority w:val="34"/>
    <w:qFormat/>
    <w:rsid w:val="000F1B87"/>
    <w:pPr>
      <w:ind w:left="720"/>
      <w:contextualSpacing/>
    </w:pPr>
  </w:style>
  <w:style w:type="character" w:styleId="IntenseEmphasis">
    <w:name w:val="Intense Emphasis"/>
    <w:basedOn w:val="DefaultParagraphFont"/>
    <w:uiPriority w:val="21"/>
    <w:qFormat/>
    <w:rsid w:val="000F1B87"/>
    <w:rPr>
      <w:i/>
      <w:iCs/>
      <w:color w:val="365F91" w:themeColor="accent1" w:themeShade="BF"/>
    </w:rPr>
  </w:style>
  <w:style w:type="paragraph" w:styleId="IntenseQuote">
    <w:name w:val="Intense Quote"/>
    <w:basedOn w:val="Normal"/>
    <w:next w:val="Normal"/>
    <w:link w:val="IntenseQuoteChar"/>
    <w:uiPriority w:val="30"/>
    <w:qFormat/>
    <w:rsid w:val="000F1B8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F1B87"/>
    <w:rPr>
      <w:rFonts w:ascii="Inter" w:hAnsi="Inter" w:cs="Times New Roman"/>
      <w:i/>
      <w:iCs/>
      <w:color w:val="365F91" w:themeColor="accent1" w:themeShade="BF"/>
      <w:sz w:val="20"/>
    </w:rPr>
  </w:style>
  <w:style w:type="character" w:styleId="IntenseReference">
    <w:name w:val="Intense Reference"/>
    <w:basedOn w:val="DefaultParagraphFont"/>
    <w:uiPriority w:val="32"/>
    <w:qFormat/>
    <w:rsid w:val="000F1B87"/>
    <w:rPr>
      <w:b/>
      <w:bCs/>
      <w:smallCaps/>
      <w:color w:val="365F91" w:themeColor="accent1" w:themeShade="BF"/>
      <w:spacing w:val="5"/>
    </w:rPr>
  </w:style>
  <w:style w:type="paragraph" w:styleId="Header">
    <w:name w:val="header"/>
    <w:basedOn w:val="Normal"/>
    <w:link w:val="HeaderChar"/>
    <w:uiPriority w:val="99"/>
    <w:unhideWhenUsed/>
    <w:rsid w:val="000F1B87"/>
    <w:pPr>
      <w:tabs>
        <w:tab w:val="center" w:pos="4536"/>
        <w:tab w:val="right" w:pos="9072"/>
      </w:tabs>
    </w:pPr>
  </w:style>
  <w:style w:type="character" w:customStyle="1" w:styleId="HeaderChar">
    <w:name w:val="Header Char"/>
    <w:basedOn w:val="DefaultParagraphFont"/>
    <w:link w:val="Header"/>
    <w:uiPriority w:val="99"/>
    <w:rsid w:val="000F1B87"/>
    <w:rPr>
      <w:rFonts w:ascii="Inter" w:hAnsi="Inter" w:cs="Times New Roman"/>
      <w:color w:val="303030"/>
      <w:sz w:val="20"/>
    </w:rPr>
  </w:style>
  <w:style w:type="paragraph" w:styleId="Footer">
    <w:name w:val="footer"/>
    <w:basedOn w:val="Normal"/>
    <w:link w:val="FooterChar"/>
    <w:uiPriority w:val="99"/>
    <w:unhideWhenUsed/>
    <w:rsid w:val="000F1B87"/>
    <w:pPr>
      <w:tabs>
        <w:tab w:val="center" w:pos="4536"/>
        <w:tab w:val="right" w:pos="9072"/>
      </w:tabs>
    </w:pPr>
  </w:style>
  <w:style w:type="character" w:customStyle="1" w:styleId="FooterChar">
    <w:name w:val="Footer Char"/>
    <w:basedOn w:val="DefaultParagraphFont"/>
    <w:link w:val="Footer"/>
    <w:uiPriority w:val="99"/>
    <w:rsid w:val="000F1B87"/>
    <w:rPr>
      <w:rFonts w:ascii="Inter" w:hAnsi="Inter" w:cs="Times New Roman"/>
      <w:color w:val="303030"/>
      <w:sz w:val="20"/>
    </w:rPr>
  </w:style>
  <w:style w:type="character" w:styleId="Emphasis">
    <w:name w:val="Emphasis"/>
    <w:basedOn w:val="DefaultParagraphFont"/>
    <w:uiPriority w:val="20"/>
    <w:qFormat/>
    <w:rsid w:val="00737D8E"/>
    <w:rPr>
      <w:i/>
      <w:iCs/>
    </w:rPr>
  </w:style>
  <w:style w:type="character" w:styleId="Hyperlink">
    <w:name w:val="Hyperlink"/>
    <w:basedOn w:val="DefaultParagraphFont"/>
    <w:uiPriority w:val="99"/>
    <w:unhideWhenUsed/>
    <w:rsid w:val="00737D8E"/>
    <w:rPr>
      <w:color w:val="0000FF"/>
      <w:u w:val="single"/>
    </w:rPr>
  </w:style>
  <w:style w:type="character" w:styleId="Strong">
    <w:name w:val="Strong"/>
    <w:basedOn w:val="DefaultParagraphFont"/>
    <w:uiPriority w:val="22"/>
    <w:qFormat/>
    <w:rsid w:val="002352B8"/>
    <w:rPr>
      <w:b/>
      <w:bCs/>
    </w:rPr>
  </w:style>
  <w:style w:type="character" w:styleId="UnresolvedMention">
    <w:name w:val="Unresolved Mention"/>
    <w:basedOn w:val="DefaultParagraphFont"/>
    <w:uiPriority w:val="99"/>
    <w:semiHidden/>
    <w:unhideWhenUsed/>
    <w:rsid w:val="00280A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95993">
      <w:bodyDiv w:val="1"/>
      <w:marLeft w:val="0"/>
      <w:marRight w:val="0"/>
      <w:marTop w:val="0"/>
      <w:marBottom w:val="0"/>
      <w:divBdr>
        <w:top w:val="none" w:sz="0" w:space="0" w:color="auto"/>
        <w:left w:val="none" w:sz="0" w:space="0" w:color="auto"/>
        <w:bottom w:val="none" w:sz="0" w:space="0" w:color="auto"/>
        <w:right w:val="none" w:sz="0" w:space="0" w:color="auto"/>
      </w:divBdr>
      <w:divsChild>
        <w:div w:id="261642793">
          <w:marLeft w:val="0"/>
          <w:marRight w:val="0"/>
          <w:marTop w:val="0"/>
          <w:marBottom w:val="0"/>
          <w:divBdr>
            <w:top w:val="none" w:sz="0" w:space="0" w:color="auto"/>
            <w:left w:val="none" w:sz="0" w:space="0" w:color="auto"/>
            <w:bottom w:val="none" w:sz="0" w:space="0" w:color="auto"/>
            <w:right w:val="none" w:sz="0" w:space="0" w:color="auto"/>
          </w:divBdr>
        </w:div>
      </w:divsChild>
    </w:div>
    <w:div w:id="100733616">
      <w:bodyDiv w:val="1"/>
      <w:marLeft w:val="0"/>
      <w:marRight w:val="0"/>
      <w:marTop w:val="0"/>
      <w:marBottom w:val="0"/>
      <w:divBdr>
        <w:top w:val="none" w:sz="0" w:space="0" w:color="auto"/>
        <w:left w:val="none" w:sz="0" w:space="0" w:color="auto"/>
        <w:bottom w:val="none" w:sz="0" w:space="0" w:color="auto"/>
        <w:right w:val="none" w:sz="0" w:space="0" w:color="auto"/>
      </w:divBdr>
      <w:divsChild>
        <w:div w:id="1704554077">
          <w:marLeft w:val="0"/>
          <w:marRight w:val="0"/>
          <w:marTop w:val="0"/>
          <w:marBottom w:val="0"/>
          <w:divBdr>
            <w:top w:val="none" w:sz="0" w:space="0" w:color="auto"/>
            <w:left w:val="none" w:sz="0" w:space="0" w:color="auto"/>
            <w:bottom w:val="none" w:sz="0" w:space="0" w:color="auto"/>
            <w:right w:val="none" w:sz="0" w:space="0" w:color="auto"/>
          </w:divBdr>
        </w:div>
      </w:divsChild>
    </w:div>
    <w:div w:id="262147359">
      <w:bodyDiv w:val="1"/>
      <w:marLeft w:val="0"/>
      <w:marRight w:val="0"/>
      <w:marTop w:val="0"/>
      <w:marBottom w:val="0"/>
      <w:divBdr>
        <w:top w:val="none" w:sz="0" w:space="0" w:color="auto"/>
        <w:left w:val="none" w:sz="0" w:space="0" w:color="auto"/>
        <w:bottom w:val="none" w:sz="0" w:space="0" w:color="auto"/>
        <w:right w:val="none" w:sz="0" w:space="0" w:color="auto"/>
      </w:divBdr>
      <w:divsChild>
        <w:div w:id="1379009793">
          <w:marLeft w:val="0"/>
          <w:marRight w:val="0"/>
          <w:marTop w:val="0"/>
          <w:marBottom w:val="0"/>
          <w:divBdr>
            <w:top w:val="none" w:sz="0" w:space="0" w:color="auto"/>
            <w:left w:val="none" w:sz="0" w:space="0" w:color="auto"/>
            <w:bottom w:val="none" w:sz="0" w:space="0" w:color="auto"/>
            <w:right w:val="none" w:sz="0" w:space="0" w:color="auto"/>
          </w:divBdr>
        </w:div>
      </w:divsChild>
    </w:div>
    <w:div w:id="865405204">
      <w:bodyDiv w:val="1"/>
      <w:marLeft w:val="0"/>
      <w:marRight w:val="0"/>
      <w:marTop w:val="0"/>
      <w:marBottom w:val="0"/>
      <w:divBdr>
        <w:top w:val="none" w:sz="0" w:space="0" w:color="auto"/>
        <w:left w:val="none" w:sz="0" w:space="0" w:color="auto"/>
        <w:bottom w:val="none" w:sz="0" w:space="0" w:color="auto"/>
        <w:right w:val="none" w:sz="0" w:space="0" w:color="auto"/>
      </w:divBdr>
      <w:divsChild>
        <w:div w:id="1437289118">
          <w:marLeft w:val="0"/>
          <w:marRight w:val="0"/>
          <w:marTop w:val="0"/>
          <w:marBottom w:val="0"/>
          <w:divBdr>
            <w:top w:val="none" w:sz="0" w:space="0" w:color="auto"/>
            <w:left w:val="none" w:sz="0" w:space="0" w:color="auto"/>
            <w:bottom w:val="none" w:sz="0" w:space="0" w:color="auto"/>
            <w:right w:val="none" w:sz="0" w:space="0" w:color="auto"/>
          </w:divBdr>
        </w:div>
      </w:divsChild>
    </w:div>
    <w:div w:id="891962057">
      <w:bodyDiv w:val="1"/>
      <w:marLeft w:val="0"/>
      <w:marRight w:val="0"/>
      <w:marTop w:val="0"/>
      <w:marBottom w:val="0"/>
      <w:divBdr>
        <w:top w:val="none" w:sz="0" w:space="0" w:color="auto"/>
        <w:left w:val="none" w:sz="0" w:space="0" w:color="auto"/>
        <w:bottom w:val="none" w:sz="0" w:space="0" w:color="auto"/>
        <w:right w:val="none" w:sz="0" w:space="0" w:color="auto"/>
      </w:divBdr>
      <w:divsChild>
        <w:div w:id="1177966172">
          <w:marLeft w:val="0"/>
          <w:marRight w:val="0"/>
          <w:marTop w:val="0"/>
          <w:marBottom w:val="0"/>
          <w:divBdr>
            <w:top w:val="none" w:sz="0" w:space="0" w:color="auto"/>
            <w:left w:val="none" w:sz="0" w:space="0" w:color="auto"/>
            <w:bottom w:val="none" w:sz="0" w:space="0" w:color="auto"/>
            <w:right w:val="none" w:sz="0" w:space="0" w:color="auto"/>
          </w:divBdr>
        </w:div>
      </w:divsChild>
    </w:div>
    <w:div w:id="912281987">
      <w:bodyDiv w:val="1"/>
      <w:marLeft w:val="0"/>
      <w:marRight w:val="0"/>
      <w:marTop w:val="0"/>
      <w:marBottom w:val="0"/>
      <w:divBdr>
        <w:top w:val="none" w:sz="0" w:space="0" w:color="auto"/>
        <w:left w:val="none" w:sz="0" w:space="0" w:color="auto"/>
        <w:bottom w:val="none" w:sz="0" w:space="0" w:color="auto"/>
        <w:right w:val="none" w:sz="0" w:space="0" w:color="auto"/>
      </w:divBdr>
      <w:divsChild>
        <w:div w:id="1377465497">
          <w:marLeft w:val="0"/>
          <w:marRight w:val="0"/>
          <w:marTop w:val="0"/>
          <w:marBottom w:val="0"/>
          <w:divBdr>
            <w:top w:val="none" w:sz="0" w:space="0" w:color="auto"/>
            <w:left w:val="none" w:sz="0" w:space="0" w:color="auto"/>
            <w:bottom w:val="none" w:sz="0" w:space="0" w:color="auto"/>
            <w:right w:val="none" w:sz="0" w:space="0" w:color="auto"/>
          </w:divBdr>
        </w:div>
      </w:divsChild>
    </w:div>
    <w:div w:id="964896850">
      <w:bodyDiv w:val="1"/>
      <w:marLeft w:val="0"/>
      <w:marRight w:val="0"/>
      <w:marTop w:val="0"/>
      <w:marBottom w:val="0"/>
      <w:divBdr>
        <w:top w:val="none" w:sz="0" w:space="0" w:color="auto"/>
        <w:left w:val="none" w:sz="0" w:space="0" w:color="auto"/>
        <w:bottom w:val="none" w:sz="0" w:space="0" w:color="auto"/>
        <w:right w:val="none" w:sz="0" w:space="0" w:color="auto"/>
      </w:divBdr>
      <w:divsChild>
        <w:div w:id="405761460">
          <w:marLeft w:val="0"/>
          <w:marRight w:val="0"/>
          <w:marTop w:val="0"/>
          <w:marBottom w:val="0"/>
          <w:divBdr>
            <w:top w:val="none" w:sz="0" w:space="0" w:color="auto"/>
            <w:left w:val="none" w:sz="0" w:space="0" w:color="auto"/>
            <w:bottom w:val="none" w:sz="0" w:space="0" w:color="auto"/>
            <w:right w:val="none" w:sz="0" w:space="0" w:color="auto"/>
          </w:divBdr>
        </w:div>
      </w:divsChild>
    </w:div>
    <w:div w:id="1290087713">
      <w:bodyDiv w:val="1"/>
      <w:marLeft w:val="0"/>
      <w:marRight w:val="0"/>
      <w:marTop w:val="0"/>
      <w:marBottom w:val="0"/>
      <w:divBdr>
        <w:top w:val="none" w:sz="0" w:space="0" w:color="auto"/>
        <w:left w:val="none" w:sz="0" w:space="0" w:color="auto"/>
        <w:bottom w:val="none" w:sz="0" w:space="0" w:color="auto"/>
        <w:right w:val="none" w:sz="0" w:space="0" w:color="auto"/>
      </w:divBdr>
      <w:divsChild>
        <w:div w:id="701588222">
          <w:marLeft w:val="0"/>
          <w:marRight w:val="0"/>
          <w:marTop w:val="0"/>
          <w:marBottom w:val="0"/>
          <w:divBdr>
            <w:top w:val="none" w:sz="0" w:space="0" w:color="auto"/>
            <w:left w:val="none" w:sz="0" w:space="0" w:color="auto"/>
            <w:bottom w:val="none" w:sz="0" w:space="0" w:color="auto"/>
            <w:right w:val="none" w:sz="0" w:space="0" w:color="auto"/>
          </w:divBdr>
        </w:div>
      </w:divsChild>
    </w:div>
    <w:div w:id="2022969971">
      <w:bodyDiv w:val="1"/>
      <w:marLeft w:val="0"/>
      <w:marRight w:val="0"/>
      <w:marTop w:val="0"/>
      <w:marBottom w:val="0"/>
      <w:divBdr>
        <w:top w:val="none" w:sz="0" w:space="0" w:color="auto"/>
        <w:left w:val="none" w:sz="0" w:space="0" w:color="auto"/>
        <w:bottom w:val="none" w:sz="0" w:space="0" w:color="auto"/>
        <w:right w:val="none" w:sz="0" w:space="0" w:color="auto"/>
      </w:divBdr>
      <w:divsChild>
        <w:div w:id="2617667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google.com/search?q=https://doi.org/10.1017/S002210900000305X" TargetMode="External"/><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hyperlink" Target="https://www.risk.net/journal-of-risk/7960706/earnings-moves-and-pre-earnings-implied-volatility"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i.org/10.1093/rfs/hhg030" TargetMode="External"/><Relationship Id="rId33" Type="http://schemas.openxmlformats.org/officeDocument/2006/relationships/hyperlink" Target="https://doi.org/10.1111/j.1755-053x.2009.01026.x"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doi.org/10.1093/rfs/hhy06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google.com/search?q=https://doi.org/10.1093/rfs/13.1.1" TargetMode="External"/><Relationship Id="rId32" Type="http://schemas.openxmlformats.org/officeDocument/2006/relationships/hyperlink" Target="https://www.google.com/search?q=https://doi.org/10.1016/j.jbankfin.2015.08.012" TargetMode="External"/><Relationship Id="rId37" Type="http://schemas.openxmlformats.org/officeDocument/2006/relationships/hyperlink" Target="https://doi.org/10.3390/e20090665"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1142/S2382626615500057" TargetMode="External"/><Relationship Id="rId28" Type="http://schemas.openxmlformats.org/officeDocument/2006/relationships/hyperlink" Target="https://www.google.com/search?q=https://doi.org/10.2139/ssrn.4116805" TargetMode="External"/><Relationship Id="rId36" Type="http://schemas.openxmlformats.org/officeDocument/2006/relationships/hyperlink" Target="https://doi.org/10.1093/rfs/hhz146"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doi.org/10.1017/s0022109018000285"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doi.org/10.1111/j.1540-6261.2012.01795.x" TargetMode="External"/><Relationship Id="rId30" Type="http://schemas.openxmlformats.org/officeDocument/2006/relationships/hyperlink" Target="https://www.google.com/search?q=https://doi.org/10.1002/fut.20467" TargetMode="External"/><Relationship Id="rId35" Type="http://schemas.openxmlformats.org/officeDocument/2006/relationships/hyperlink" Target="https://www.risk.net/journal-of-risk/7960706/earnings-moves-and-pre-earnings-implied-volatility"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7377</TotalTime>
  <Pages>19</Pages>
  <Words>5865</Words>
  <Characters>33436</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s IT Solutions</Company>
  <LinksUpToDate>false</LinksUpToDate>
  <CharactersWithSpaces>39223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Borisov Petar 0855 EH</dc:creator>
  <cp:keywords/>
  <dc:description/>
  <cp:lastModifiedBy>Borisov, Petar Nikolaev</cp:lastModifiedBy>
  <cp:revision>429</cp:revision>
  <cp:lastPrinted>2025-12-09T17:56:00Z</cp:lastPrinted>
  <dcterms:created xsi:type="dcterms:W3CDTF">2025-12-09T18:21:00Z</dcterms:created>
  <dcterms:modified xsi:type="dcterms:W3CDTF">2026-05-03T14:17:00Z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efb3d8-da8e-4bca-ad86-9c58735adff5_Enabled">
    <vt:lpwstr>true</vt:lpwstr>
  </property>
  <property fmtid="{D5CDD505-2E9C-101B-9397-08002B2CF9AE}" pid="3" name="MSIP_Label_d3efb3d8-da8e-4bca-ad86-9c58735adff5_SetDate">
    <vt:lpwstr>2025-12-09T17:57:28Z</vt:lpwstr>
  </property>
  <property fmtid="{D5CDD505-2E9C-101B-9397-08002B2CF9AE}" pid="4" name="MSIP_Label_d3efb3d8-da8e-4bca-ad86-9c58735adff5_Method">
    <vt:lpwstr>Privileged</vt:lpwstr>
  </property>
  <property fmtid="{D5CDD505-2E9C-101B-9397-08002B2CF9AE}" pid="5" name="MSIP_Label_d3efb3d8-da8e-4bca-ad86-9c58735adff5_Name">
    <vt:lpwstr>d3efb3d8-da8e-4bca-ad86-9c58735adff5</vt:lpwstr>
  </property>
  <property fmtid="{D5CDD505-2E9C-101B-9397-08002B2CF9AE}" pid="6" name="MSIP_Label_d3efb3d8-da8e-4bca-ad86-9c58735adff5_SiteId">
    <vt:lpwstr>3ad0376a-54d3-49a6-9e20-52de0a92fc89</vt:lpwstr>
  </property>
  <property fmtid="{D5CDD505-2E9C-101B-9397-08002B2CF9AE}" pid="7" name="MSIP_Label_d3efb3d8-da8e-4bca-ad86-9c58735adff5_ActionId">
    <vt:lpwstr>b489b7cc-6307-4a46-88f3-fae97f0c92a4</vt:lpwstr>
  </property>
  <property fmtid="{D5CDD505-2E9C-101B-9397-08002B2CF9AE}" pid="8" name="MSIP_Label_d3efb3d8-da8e-4bca-ad86-9c58735adff5_ContentBits">
    <vt:lpwstr>0</vt:lpwstr>
  </property>
  <property fmtid="{D5CDD505-2E9C-101B-9397-08002B2CF9AE}" pid="9" name="MSIP_Label_d3efb3d8-da8e-4bca-ad86-9c58735adff5_Tag">
    <vt:lpwstr>10, 0, 1, 1</vt:lpwstr>
  </property>
</Properties>
</file>