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Digitale</w:t>
      </w:r>
      <w:r>
        <w:t xml:space="preserve"> </w:t>
      </w:r>
      <w:r>
        <w:t xml:space="preserve">Medien</w:t>
      </w:r>
      <w:r>
        <w:t xml:space="preserve"> </w:t>
      </w:r>
      <w:r>
        <w:t xml:space="preserve">im</w:t>
      </w:r>
      <w:r>
        <w:t xml:space="preserve"> </w:t>
      </w:r>
      <w:r>
        <w:t xml:space="preserve">Deutschunterricht</w:t>
      </w:r>
    </w:p>
    <w:p>
      <w:pPr>
        <w:pStyle w:val="Author"/>
      </w:pPr>
      <w:r>
        <w:t xml:space="preserve">Peter</w:t>
      </w:r>
      <w:r>
        <w:t xml:space="preserve"> </w:t>
      </w:r>
      <w:r>
        <w:t xml:space="preserve">Baumgartner</w:t>
      </w:r>
    </w:p>
    <w:p>
      <w:pPr>
        <w:pStyle w:val="Date"/>
      </w:pPr>
      <w:r>
        <w:t xml:space="preserve">2017-04-16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SourceCode"/>
      </w:pPr>
      <w:r>
        <w:rPr>
          <w:rStyle w:val="VerbatimChar"/>
        </w:rPr>
        <w:t xml:space="preserve">## Loading required package: tidyverse</w:t>
      </w:r>
    </w:p>
    <w:p>
      <w:pPr>
        <w:pStyle w:val="SourceCode"/>
      </w:pPr>
      <w:r>
        <w:rPr>
          <w:rStyle w:val="VerbatimChar"/>
        </w:rPr>
        <w:t xml:space="preserve">## Loading tidyverse: ggplot2</w:t>
      </w:r>
      <w:r>
        <w:br w:type="textWrapping"/>
      </w:r>
      <w:r>
        <w:rPr>
          <w:rStyle w:val="VerbatimChar"/>
        </w:rPr>
        <w:t xml:space="preserve">## Loading tidyverse: tibble</w:t>
      </w:r>
      <w:r>
        <w:br w:type="textWrapping"/>
      </w:r>
      <w:r>
        <w:rPr>
          <w:rStyle w:val="VerbatimChar"/>
        </w:rPr>
        <w:t xml:space="preserve">## Loading tidyverse: tidyr</w:t>
      </w:r>
      <w:r>
        <w:br w:type="textWrapping"/>
      </w:r>
      <w:r>
        <w:rPr>
          <w:rStyle w:val="VerbatimChar"/>
        </w:rPr>
        <w:t xml:space="preserve">## Loading tidyverse: readr</w:t>
      </w:r>
      <w:r>
        <w:br w:type="textWrapping"/>
      </w:r>
      <w:r>
        <w:rPr>
          <w:rStyle w:val="VerbatimChar"/>
        </w:rPr>
        <w:t xml:space="preserve">## Loading tidyverse: purrr</w:t>
      </w:r>
      <w:r>
        <w:br w:type="textWrapping"/>
      </w:r>
      <w:r>
        <w:rPr>
          <w:rStyle w:val="VerbatimChar"/>
        </w:rPr>
        <w:t xml:space="preserve">## Loading tidyverse: dplyr</w:t>
      </w:r>
    </w:p>
    <w:p>
      <w:pPr>
        <w:pStyle w:val="SourceCode"/>
      </w:pPr>
      <w:r>
        <w:rPr>
          <w:rStyle w:val="VerbatimChar"/>
        </w:rPr>
        <w:t xml:space="preserve">## Conflicts with tidy packages ----------------------------------------------</w:t>
      </w:r>
    </w:p>
    <w:p>
      <w:pPr>
        <w:pStyle w:val="SourceCode"/>
      </w:pPr>
      <w:r>
        <w:rPr>
          <w:rStyle w:val="VerbatimChar"/>
        </w:rPr>
        <w:t xml:space="preserve">## filter(): dplyr, stats</w:t>
      </w:r>
      <w:r>
        <w:br w:type="textWrapping"/>
      </w:r>
      <w:r>
        <w:rPr>
          <w:rStyle w:val="VerbatimChar"/>
        </w:rPr>
        <w:t xml:space="preserve">## lag():    dplyr, stats</w:t>
      </w:r>
    </w:p>
    <w:p>
      <w:pPr>
        <w:pStyle w:val="SourceCode"/>
      </w:pPr>
      <w:r>
        <w:rPr>
          <w:rStyle w:val="VerbatimChar"/>
        </w:rPr>
        <w:t xml:space="preserve">## Loading required package: reshape2</w:t>
      </w:r>
    </w:p>
    <w:p>
      <w:pPr>
        <w:pStyle w:val="SourceCode"/>
      </w:pPr>
      <w:r>
        <w:rPr>
          <w:rStyle w:val="VerbatimChar"/>
        </w:rPr>
        <w:t xml:space="preserve">## </w:t>
      </w:r>
      <w:r>
        <w:br w:type="textWrapping"/>
      </w:r>
      <w:r>
        <w:rPr>
          <w:rStyle w:val="VerbatimChar"/>
        </w:rPr>
        <w:t xml:space="preserve">## Attaching package: 'reshape2'</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smiths</w:t>
      </w:r>
    </w:p>
    <w:p>
      <w:pPr>
        <w:pStyle w:val="SourceCode"/>
      </w:pPr>
      <w:r>
        <w:rPr>
          <w:rStyle w:val="VerbatimChar"/>
        </w:rPr>
        <w:t xml:space="preserve">## Loading required package: readxl</w:t>
      </w:r>
    </w:p>
    <w:p>
      <w:pPr>
        <w:pStyle w:val="SourceCode"/>
      </w:pPr>
      <w:r>
        <w:rPr>
          <w:rStyle w:val="VerbatimChar"/>
        </w:rPr>
        <w:t xml:space="preserve">## Loading required package: pander</w:t>
      </w:r>
    </w:p>
    <w:p>
      <w:pPr>
        <w:pStyle w:val="SourceCode"/>
      </w:pPr>
      <w:r>
        <w:rPr>
          <w:rStyle w:val="VerbatimChar"/>
        </w:rPr>
        <w:t xml:space="preserve">## Loading required package: gcookbook</w:t>
      </w:r>
    </w:p>
    <w:p>
      <w:pPr>
        <w:pStyle w:val="Heading1"/>
      </w:pPr>
      <w:bookmarkStart w:id="21" w:name="fragestellung"/>
      <w:bookmarkEnd w:id="21"/>
      <w:r>
        <w:t xml:space="preserve">Fragestellung</w:t>
      </w:r>
    </w:p>
    <w:p>
      <w:pPr>
        <w:pStyle w:val="FirstParagraph"/>
      </w:pPr>
      <w:r>
        <w:t xml:space="preserve">Im Nationalen Bildungsbericht für Österreich</w:t>
      </w:r>
      <w:r>
        <w:t xml:space="preserve"> </w:t>
      </w:r>
      <w:r>
        <w:t xml:space="preserve">(Bruneforth, Michael et al., 2016; Bruneforth, Michael, Lassnigg, Lorenz, Vogtenhuber, Stefan, Schreiner, Claudia, &amp; Breit, Simon, 2016)</w:t>
      </w:r>
      <w:r>
        <w:t xml:space="preserve"> </w:t>
      </w:r>
      <w:r>
        <w:t xml:space="preserve">wurde — trotz einer im europäischen Vergleich relativ guten technischen Schulausstattung (5. Rangplatz) — ein niedriger Nutzungsgrad digialter Medien im Unterricht konstatiert (25. Rangplatz im Spektrum der 27 EU-Länder). Als Erklärung für diese geringe Nutzung von Bildungstechnologien wurde "eine mangelhafte</w:t>
      </w:r>
      <w:r>
        <w:t xml:space="preserve"> </w:t>
      </w:r>
      <w:r>
        <w:rPr>
          <w:i/>
        </w:rPr>
        <w:t xml:space="preserve">fachdidaktische</w:t>
      </w:r>
      <w:r>
        <w:t xml:space="preserve"> </w:t>
      </w:r>
      <w:r>
        <w:t xml:space="preserve">Medienkompetenz der Lehrenden" vermutet</w:t>
      </w:r>
      <w:r>
        <w:t xml:space="preserve"> </w:t>
      </w:r>
      <w:r>
        <w:t xml:space="preserve">(Baumgartner, Peter, Brandhofer, Gerhard, Ebner, Martin, Gradinger, Petra, &amp; Korte, Martin, 2016, S.98)</w:t>
      </w:r>
      <w:r>
        <w:t xml:space="preserve">.</w:t>
      </w:r>
    </w:p>
    <w:p>
      <w:pPr>
        <w:pStyle w:val="BodyText"/>
      </w:pPr>
      <w:r>
        <w:t xml:space="preserve">Eine empirische Erhebung unter Deutsch-Lehrer/innen im Bundesland Tirol geht dieser Annahme nach. Woran liegt es, dass — trotz hoher persönlicher Nutzung der IKT für den privaten Gebrauch und zur Unterrichtsvorbereitung (a.a.0., S.98f) — digitale Medien im Unterricht wenig eingesetzt werden?</w:t>
      </w:r>
    </w:p>
    <w:p>
      <w:pPr>
        <w:pStyle w:val="Heading1"/>
      </w:pPr>
      <w:bookmarkStart w:id="22" w:name="theoretischer-hintergrund"/>
      <w:bookmarkEnd w:id="22"/>
      <w:r>
        <w:t xml:space="preserve">Theoretischer Hintergrund</w:t>
      </w:r>
    </w:p>
    <w:p>
      <w:pPr>
        <w:pStyle w:val="FirstParagraph"/>
      </w:pPr>
      <w:r>
        <w:t xml:space="preserve">Im Rahmen einer Projektarbeit an der Donau-Universität Krems wurde im Studiengang</w:t>
      </w:r>
      <w:r>
        <w:t xml:space="preserve"> </w:t>
      </w:r>
      <w:hyperlink r:id="rId23">
        <w:r>
          <w:rPr>
            <w:rStyle w:val="Hyperlink"/>
          </w:rPr>
          <w:t xml:space="preserve">eEducation</w:t>
        </w:r>
      </w:hyperlink>
      <w:r>
        <w:t xml:space="preserve"> </w:t>
      </w:r>
      <w:r>
        <w:t xml:space="preserve">eine</w:t>
      </w:r>
      <w:r>
        <w:t xml:space="preserve"> </w:t>
      </w:r>
      <w:hyperlink r:id="rId24">
        <w:r>
          <w:rPr>
            <w:rStyle w:val="Hyperlink"/>
          </w:rPr>
          <w:t xml:space="preserve">Plattform audiemus</w:t>
        </w:r>
      </w:hyperlink>
      <w:r>
        <w:t xml:space="preserve"> </w:t>
      </w:r>
      <w:r>
        <w:t xml:space="preserve">für Hörverständnisaufgaben für die Sekundarstufe 1 entwickelt. Im Zuge der anschließenden Masterthesis</w:t>
      </w:r>
      <w:r>
        <w:t xml:space="preserve"> </w:t>
      </w:r>
      <w:r>
        <w:t xml:space="preserve">(Mair, 2017)</w:t>
      </w:r>
      <w:r>
        <w:t xml:space="preserve"> </w:t>
      </w:r>
      <w:r>
        <w:t xml:space="preserve">wurde im Rahmen einer Design-Based Research Studie</w:t>
      </w:r>
      <w:r>
        <w:t xml:space="preserve"> </w:t>
      </w:r>
      <w:r>
        <w:t xml:space="preserve">(Collective, 2003; Reinmann, 2005)</w:t>
      </w:r>
      <w:r>
        <w:t xml:space="preserve"> </w:t>
      </w:r>
      <w:r>
        <w:t xml:space="preserve">Deutschlehrer/innen als potentielle Nutzer/innen der Plattform befragt. Neben den Rückmeldungen zur Plattform selbst, auf die sich die Masterthese konzentrierte, enthielt der</w:t>
      </w:r>
      <w:r>
        <w:t xml:space="preserve"> </w:t>
      </w:r>
      <w:hyperlink r:id="rId25">
        <w:r>
          <w:rPr>
            <w:rStyle w:val="Hyperlink"/>
          </w:rPr>
          <w:t xml:space="preserve">Fragebogen</w:t>
        </w:r>
      </w:hyperlink>
      <w:r>
        <w:t xml:space="preserve"> </w:t>
      </w:r>
      <w:r>
        <w:t xml:space="preserve">auch Items zur technischen Schulausstattung, Mediennutzung und Faktoren, die für den Einsatz digitaler Medien im Deutschunterricht nach Ansicht der Befragten förderlich sein könnten. Datensatz, Berechnung, Grafiken und andere Unterlagen können über</w:t>
      </w:r>
      <w:r>
        <w:t xml:space="preserve"> </w:t>
      </w:r>
      <w:hyperlink r:id="rId26">
        <w:r>
          <w:rPr>
            <w:rStyle w:val="Hyperlink"/>
          </w:rPr>
          <w:t xml:space="preserve">GitHub</w:t>
        </w:r>
      </w:hyperlink>
      <w:r>
        <w:t xml:space="preserve"> </w:t>
      </w:r>
      <w:r>
        <w:t xml:space="preserve">vollständig eingesehen werden.</w:t>
      </w:r>
    </w:p>
    <w:p>
      <w:pPr>
        <w:pStyle w:val="Heading1"/>
      </w:pPr>
      <w:bookmarkStart w:id="27" w:name="methodische-durchfuhrung"/>
      <w:bookmarkEnd w:id="27"/>
      <w:r>
        <w:t xml:space="preserve">Methodische Durchführung</w:t>
      </w:r>
    </w:p>
    <w:p>
      <w:pPr>
        <w:pStyle w:val="FirstParagraph"/>
      </w:pPr>
      <w:r>
        <w:t xml:space="preserve">Der Fragebogen wurde über einen Schulverteiler von Direktor/innen an 334 Deutsch-Lehrer/innen weiter geleitet (AHS: 41/12%, NMS: 252:76%, PTS: 40/12%). Da die Hauptproponentin der Audiemus-Plattform in einer PTS arbeitet, war der Rücklauf für diesen Schultyps überproportional hoch (AHS: 5/14%, NMS: 18/50%, PTS: 13/36%), wohingegen NMS unterrpräsentiert ist. Die Stichprobe ist daher bezogen auf die Schultype nicht als repräsentativ zu bezeichnen (X^2 = 20,75, df = 2, p &gt; .001).</w:t>
      </w:r>
    </w:p>
    <w:p>
      <w:pPr>
        <w:pStyle w:val="SourceCode"/>
      </w:pPr>
      <w:r>
        <w:rPr>
          <w:rStyle w:val="NormalTok"/>
        </w:rPr>
        <w:t xml:space="preserve">&gt;</w:t>
      </w:r>
      <w:r>
        <w:rPr>
          <w:rStyle w:val="StringTok"/>
        </w:rPr>
        <w:t xml:space="preserve"> </w:t>
      </w:r>
      <w:r>
        <w:rPr>
          <w:rStyle w:val="NormalTok"/>
        </w:rPr>
        <w:t xml:space="preserve">umfrage &lt;-</w:t>
      </w:r>
      <w:r>
        <w:rPr>
          <w:rStyle w:val="StringTok"/>
        </w:rPr>
        <w:t xml:space="preserve"> </w:t>
      </w:r>
      <w:r>
        <w:rPr>
          <w:rStyle w:val="KeywordTok"/>
        </w:rPr>
        <w:t xml:space="preserve">readRDS</w:t>
      </w:r>
      <w:r>
        <w:rPr>
          <w:rStyle w:val="NormalTok"/>
        </w:rPr>
        <w:t xml:space="preserve">(</w:t>
      </w:r>
      <w:r>
        <w:rPr>
          <w:rStyle w:val="StringTok"/>
        </w:rPr>
        <w:t xml:space="preserve">"../daten/audiemus.rds"</w:t>
      </w:r>
      <w:r>
        <w:rPr>
          <w:rStyle w:val="NormalTok"/>
        </w:rPr>
        <w:t xml:space="preserve">)</w:t>
      </w:r>
      <w:r>
        <w:br w:type="textWrapping"/>
      </w:r>
      <w:r>
        <w:rPr>
          <w:rStyle w:val="NormalTok"/>
        </w:rPr>
        <w:t xml:space="preserve">&gt;</w:t>
      </w:r>
      <w:r>
        <w:rPr>
          <w:rStyle w:val="StringTok"/>
        </w:rPr>
        <w:t xml:space="preserve"> </w:t>
      </w:r>
      <w:r>
        <w:rPr>
          <w:rStyle w:val="NormalTok"/>
        </w:rPr>
        <w:t xml:space="preserve">kommentare &lt;-</w:t>
      </w:r>
      <w:r>
        <w:rPr>
          <w:rStyle w:val="StringTok"/>
        </w:rPr>
        <w:t xml:space="preserve"> </w:t>
      </w:r>
      <w:r>
        <w:rPr>
          <w:rStyle w:val="KeywordTok"/>
        </w:rPr>
        <w:t xml:space="preserve">readRDS</w:t>
      </w:r>
      <w:r>
        <w:rPr>
          <w:rStyle w:val="NormalTok"/>
        </w:rPr>
        <w:t xml:space="preserve">(</w:t>
      </w:r>
      <w:r>
        <w:rPr>
          <w:rStyle w:val="StringTok"/>
        </w:rPr>
        <w:t xml:space="preserve">"../daten/kommentare.rds"</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NormalTok"/>
        </w:rPr>
        <w:t xml:space="preserve">x.abs &lt;-</w:t>
      </w:r>
      <w:r>
        <w:rPr>
          <w:rStyle w:val="StringTok"/>
        </w:rPr>
        <w:t xml:space="preserve"> </w:t>
      </w:r>
      <w:r>
        <w:rPr>
          <w:rStyle w:val="KeywordTok"/>
        </w:rPr>
        <w:t xml:space="preserve">table</w:t>
      </w:r>
      <w:r>
        <w:rPr>
          <w:rStyle w:val="NormalTok"/>
        </w:rPr>
        <w:t xml:space="preserve">(umfrage$schultyp)</w:t>
      </w:r>
      <w:r>
        <w:br w:type="textWrapping"/>
      </w:r>
      <w:r>
        <w:rPr>
          <w:rStyle w:val="NormalTok"/>
        </w:rPr>
        <w:t xml:space="preserve">&gt;</w:t>
      </w:r>
      <w:r>
        <w:rPr>
          <w:rStyle w:val="StringTok"/>
        </w:rPr>
        <w:t xml:space="preserve"> </w:t>
      </w:r>
      <w:r>
        <w:rPr>
          <w:rStyle w:val="NormalTok"/>
        </w:rPr>
        <w:t xml:space="preserve">x.rel &lt;-</w:t>
      </w:r>
      <w:r>
        <w:rPr>
          <w:rStyle w:val="StringTok"/>
        </w:rPr>
        <w:t xml:space="preserve"> </w:t>
      </w:r>
      <w:r>
        <w:rPr>
          <w:rStyle w:val="KeywordTok"/>
        </w:rPr>
        <w:t xml:space="preserve">round</w:t>
      </w:r>
      <w:r>
        <w:rPr>
          <w:rStyle w:val="NormalTok"/>
        </w:rPr>
        <w:t xml:space="preserve">(</w:t>
      </w:r>
      <w:r>
        <w:rPr>
          <w:rStyle w:val="KeywordTok"/>
        </w:rPr>
        <w:t xml:space="preserve">prop.table</w:t>
      </w:r>
      <w:r>
        <w:rPr>
          <w:rStyle w:val="NormalTok"/>
        </w:rPr>
        <w:t xml:space="preserve">(</w:t>
      </w:r>
      <w:r>
        <w:rPr>
          <w:rStyle w:val="KeywordTok"/>
        </w:rPr>
        <w:t xml:space="preserve">table</w:t>
      </w:r>
      <w:r>
        <w:rPr>
          <w:rStyle w:val="NormalTok"/>
        </w:rPr>
        <w:t xml:space="preserve">(umfrage$schultyp)),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NormalTok"/>
        </w:rPr>
        <w:t xml:space="preserve">x.proz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x.rel,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&gt;</w:t>
      </w:r>
      <w:r>
        <w:rPr>
          <w:rStyle w:val="StringTok"/>
        </w:rPr>
        <w:t xml:space="preserve"> </w:t>
      </w:r>
      <w:r>
        <w:rPr>
          <w:rStyle w:val="NormalTok"/>
        </w:rPr>
        <w:t xml:space="preserve">X.abs &lt;-</w:t>
      </w:r>
      <w:r>
        <w:rPr>
          <w:rStyle w:val="StringTok"/>
        </w:rPr>
        <w:t xml:space="preserve"> </w:t>
      </w:r>
      <w:r>
        <w:rPr>
          <w:rStyle w:val="KeywordTok"/>
        </w:rPr>
        <w:t xml:space="preserve">c</w:t>
      </w:r>
      <w:r>
        <w:rPr>
          <w:rStyle w:val="NormalTok"/>
        </w:rPr>
        <w:t xml:space="preserve">(</w:t>
      </w:r>
      <w:r>
        <w:rPr>
          <w:rStyle w:val="DecValTok"/>
        </w:rPr>
        <w:t xml:space="preserve">41</w:t>
      </w:r>
      <w:r>
        <w:rPr>
          <w:rStyle w:val="NormalTok"/>
        </w:rPr>
        <w:t xml:space="preserve">, </w:t>
      </w:r>
      <w:r>
        <w:rPr>
          <w:rStyle w:val="DecValTok"/>
        </w:rPr>
        <w:t xml:space="preserve">253</w:t>
      </w:r>
      <w:r>
        <w:rPr>
          <w:rStyle w:val="NormalTok"/>
        </w:rPr>
        <w:t xml:space="preserve">, </w:t>
      </w:r>
      <w:r>
        <w:rPr>
          <w:rStyle w:val="DecValTok"/>
        </w:rPr>
        <w:t xml:space="preserve">40</w:t>
      </w:r>
      <w:r>
        <w:rPr>
          <w:rStyle w:val="NormalTok"/>
        </w:rPr>
        <w:t xml:space="preserve">)</w:t>
      </w:r>
      <w:r>
        <w:br w:type="textWrapping"/>
      </w:r>
      <w:r>
        <w:rPr>
          <w:rStyle w:val="NormalTok"/>
        </w:rPr>
        <w:t xml:space="preserve">&gt;</w:t>
      </w:r>
      <w:r>
        <w:rPr>
          <w:rStyle w:val="StringTok"/>
        </w:rPr>
        <w:t xml:space="preserve"> </w:t>
      </w:r>
      <w:r>
        <w:rPr>
          <w:rStyle w:val="NormalTok"/>
        </w:rPr>
        <w:t xml:space="preserve">X.rel &lt;-</w:t>
      </w:r>
      <w:r>
        <w:rPr>
          <w:rStyle w:val="StringTok"/>
        </w:rPr>
        <w:t xml:space="preserve"> </w:t>
      </w:r>
      <w:r>
        <w:rPr>
          <w:rStyle w:val="KeywordTok"/>
        </w:rPr>
        <w:t xml:space="preserve">prop.table</w:t>
      </w:r>
      <w:r>
        <w:rPr>
          <w:rStyle w:val="NormalTok"/>
        </w:rPr>
        <w:t xml:space="preserve">(X.abs /</w:t>
      </w:r>
      <w:r>
        <w:rPr>
          <w:rStyle w:val="StringTok"/>
        </w:rPr>
        <w:t xml:space="preserve"> </w:t>
      </w:r>
      <w:r>
        <w:rPr>
          <w:rStyle w:val="KeywordTok"/>
        </w:rPr>
        <w:t xml:space="preserve">sum</w:t>
      </w:r>
      <w:r>
        <w:rPr>
          <w:rStyle w:val="NormalTok"/>
        </w:rPr>
        <w:t xml:space="preserve">(X.abs))</w:t>
      </w:r>
      <w:r>
        <w:br w:type="textWrapping"/>
      </w:r>
      <w:r>
        <w:rPr>
          <w:rStyle w:val="NormalTok"/>
        </w:rPr>
        <w:t xml:space="preserve">&gt;</w:t>
      </w:r>
      <w:r>
        <w:rPr>
          <w:rStyle w:val="StringTok"/>
        </w:rPr>
        <w:t xml:space="preserve"> </w:t>
      </w:r>
      <w:r>
        <w:rPr>
          <w:rStyle w:val="NormalTok"/>
        </w:rPr>
        <w:t xml:space="preserve">X.proz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X.rel, </w:t>
      </w:r>
      <w:r>
        <w:rPr>
          <w:rStyle w:val="DataTypeTok"/>
        </w:rPr>
        <w:t xml:space="preserve">digits =</w:t>
      </w:r>
      <w:r>
        <w:rPr>
          <w:rStyle w:val="NormalTok"/>
        </w:rPr>
        <w:t xml:space="preserve"> </w:t>
      </w:r>
      <w:r>
        <w:rPr>
          <w:rStyle w:val="DecValTok"/>
        </w:rPr>
        <w:t xml:space="preserve">0</w:t>
      </w:r>
      <w:r>
        <w:rPr>
          <w:rStyle w:val="NormalTok"/>
        </w:rPr>
        <w:t xml:space="preserve">)</w:t>
      </w:r>
      <w:r>
        <w:br w:type="textWrapping"/>
      </w:r>
      <w:r>
        <w:rPr>
          <w:rStyle w:val="NormalTok"/>
        </w:rPr>
        <w:t xml:space="preserve">&gt;</w:t>
      </w:r>
      <w:r>
        <w:rPr>
          <w:rStyle w:val="StringTok"/>
        </w:rPr>
        <w:t xml:space="preserve"> </w:t>
      </w:r>
      <w:r>
        <w:rPr>
          <w:rStyle w:val="NormalTok"/>
        </w:rPr>
        <w:t xml:space="preserve">schulart &lt;-</w:t>
      </w:r>
      <w:r>
        <w:rPr>
          <w:rStyle w:val="StringTok"/>
        </w:rPr>
        <w:t xml:space="preserve"> </w:t>
      </w:r>
      <w:r>
        <w:rPr>
          <w:rStyle w:val="KeywordTok"/>
        </w:rPr>
        <w:t xml:space="preserve">cbind</w:t>
      </w:r>
      <w:r>
        <w:rPr>
          <w:rStyle w:val="NormalTok"/>
        </w:rPr>
        <w:t xml:space="preserve">(x.abs, x.proz, X.abs, X.proz)</w:t>
      </w:r>
      <w:r>
        <w:br w:type="textWrapping"/>
      </w:r>
      <w:r>
        <w:rPr>
          <w:rStyle w:val="NormalTok"/>
        </w:rPr>
        <w:t xml:space="preserve">&gt;</w:t>
      </w:r>
      <w:r>
        <w:rPr>
          <w:rStyle w:val="StringTok"/>
        </w:rPr>
        <w:t xml:space="preserve"> </w:t>
      </w:r>
      <w:r>
        <w:rPr>
          <w:rStyle w:val="NormalTok"/>
        </w:rPr>
        <w:t xml:space="preserve">schulart</w:t>
      </w:r>
    </w:p>
    <w:p>
      <w:pPr>
        <w:pStyle w:val="SourceCode"/>
      </w:pPr>
      <w:r>
        <w:rPr>
          <w:rStyle w:val="VerbatimChar"/>
        </w:rPr>
        <w:t xml:space="preserve">    x.abs x.proz X.abs X.proz</w:t>
      </w:r>
      <w:r>
        <w:br w:type="textWrapping"/>
      </w:r>
      <w:r>
        <w:rPr>
          <w:rStyle w:val="VerbatimChar"/>
        </w:rPr>
        <w:t xml:space="preserve">AHS     5     14    41     12</w:t>
      </w:r>
      <w:r>
        <w:br w:type="textWrapping"/>
      </w:r>
      <w:r>
        <w:rPr>
          <w:rStyle w:val="VerbatimChar"/>
        </w:rPr>
        <w:t xml:space="preserve">NMS    18     50   253     76</w:t>
      </w:r>
      <w:r>
        <w:br w:type="textWrapping"/>
      </w:r>
      <w:r>
        <w:rPr>
          <w:rStyle w:val="VerbatimChar"/>
        </w:rPr>
        <w:t xml:space="preserve">PTS    13     36    40     12</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(schulart[, </w:t>
      </w:r>
      <w:r>
        <w:rPr>
          <w:rStyle w:val="KeywordTok"/>
        </w:rPr>
        <w:t xml:space="preserve">c</w:t>
      </w:r>
      <w:r>
        <w:rPr>
          <w:rStyle w:val="NormalTok"/>
        </w:rPr>
        <w:t xml:space="preserve">(</w:t>
      </w:r>
      <w:r>
        <w:rPr>
          <w:rStyle w:val="StringTok"/>
        </w:rPr>
        <w:t xml:space="preserve">"X.proz"</w:t>
      </w:r>
      <w:r>
        <w:rPr>
          <w:rStyle w:val="NormalTok"/>
        </w:rPr>
        <w:t xml:space="preserve">, </w:t>
      </w:r>
      <w:r>
        <w:rPr>
          <w:rStyle w:val="StringTok"/>
        </w:rPr>
        <w:t xml:space="preserve">"x.proz"</w:t>
      </w:r>
      <w:r>
        <w:rPr>
          <w:rStyle w:val="NormalTok"/>
        </w:rPr>
        <w:t xml:space="preserve">)], </w:t>
      </w:r>
      <w:r>
        <w:rPr>
          <w:rStyle w:val="DataTypeTok"/>
        </w:rPr>
        <w:t xml:space="preserve">beside =</w:t>
      </w:r>
      <w:r>
        <w:rPr>
          <w:rStyle w:val="NormalTok"/>
        </w:rPr>
        <w:t xml:space="preserve"> </w:t>
      </w:r>
      <w:r>
        <w:rPr>
          <w:rStyle w:val="OtherTok"/>
        </w:rPr>
        <w:t xml:space="preserve">TRUE</w:t>
      </w:r>
      <w:r>
        <w:rPr>
          <w:rStyle w:val="NormalTok"/>
        </w:rPr>
        <w:t xml:space="preserve">, </w:t>
      </w:r>
      <w:r>
        <w:rPr>
          <w:rStyle w:val="DataTypeTok"/>
        </w:rPr>
        <w:t xml:space="preserve">legend =</w:t>
      </w:r>
      <w:r>
        <w:rPr>
          <w:rStyle w:val="NormalTok"/>
        </w:rPr>
        <w:t xml:space="preserve"> </w:t>
      </w:r>
      <w:r>
        <w:rPr>
          <w:rStyle w:val="KeywordTok"/>
        </w:rPr>
        <w:t xml:space="preserve">rownames</w:t>
      </w:r>
      <w:r>
        <w:rPr>
          <w:rStyle w:val="NormalTok"/>
        </w:rPr>
        <w:t xml:space="preserve">(schulart),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80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reiburg_files/figure-docx/lade-daten-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&gt;</w:t>
      </w:r>
      <w:r>
        <w:rPr>
          <w:rStyle w:val="StringTok"/>
        </w:rPr>
        <w:t xml:space="preserve"> </w:t>
      </w:r>
      <w:r>
        <w:rPr>
          <w:rStyle w:val="KeywordTok"/>
        </w:rPr>
        <w:t xml:space="preserve">chisq.test</w:t>
      </w:r>
      <w:r>
        <w:rPr>
          <w:rStyle w:val="NormalTok"/>
        </w:rPr>
        <w:t xml:space="preserve">(schulart[, </w:t>
      </w:r>
      <w:r>
        <w:rPr>
          <w:rStyle w:val="DecValTok"/>
        </w:rPr>
        <w:t xml:space="preserve">1</w:t>
      </w:r>
      <w:r>
        <w:rPr>
          <w:rStyle w:val="NormalTok"/>
        </w:rPr>
        <w:t xml:space="preserve">], </w:t>
      </w:r>
      <w:r>
        <w:rPr>
          <w:rStyle w:val="DataTypeTok"/>
        </w:rPr>
        <w:t xml:space="preserve">p =</w:t>
      </w:r>
      <w:r>
        <w:rPr>
          <w:rStyle w:val="NormalTok"/>
        </w:rPr>
        <w:t xml:space="preserve"> </w:t>
      </w:r>
      <w:r>
        <w:rPr>
          <w:rStyle w:val="KeywordTok"/>
        </w:rPr>
        <w:t xml:space="preserve">prop.table</w:t>
      </w:r>
      <w:r>
        <w:rPr>
          <w:rStyle w:val="NormalTok"/>
        </w:rPr>
        <w:t xml:space="preserve">(schulart[, </w:t>
      </w:r>
      <w:r>
        <w:rPr>
          <w:rStyle w:val="DecValTok"/>
        </w:rPr>
        <w:t xml:space="preserve">3</w:t>
      </w:r>
      <w:r>
        <w:rPr>
          <w:rStyle w:val="NormalTok"/>
        </w:rPr>
        <w:t xml:space="preserve">]))</w:t>
      </w:r>
    </w:p>
    <w:p>
      <w:pPr>
        <w:pStyle w:val="SourceCode"/>
      </w:pPr>
      <w:r>
        <w:rPr>
          <w:rStyle w:val="VerbatimChar"/>
        </w:rPr>
        <w:t xml:space="preserve"/>
      </w:r>
      <w:r>
        <w:br w:type="textWrapping"/>
      </w:r>
      <w:r>
        <w:rPr>
          <w:rStyle w:val="VerbatimChar"/>
        </w:rPr>
        <w:t xml:space="preserve">    Chi-squared test for given probabilities</w:t>
      </w:r>
      <w:r>
        <w:br w:type="textWrapping"/>
      </w:r>
      <w:r>
        <w:rPr>
          <w:rStyle w:val="VerbatimChar"/>
        </w:rPr>
        <w:t xml:space="preserve"/>
      </w:r>
      <w:r>
        <w:br w:type="textWrapping"/>
      </w:r>
      <w:r>
        <w:rPr>
          <w:rStyle w:val="VerbatimChar"/>
        </w:rPr>
        <w:t xml:space="preserve">data:  schulart[, 1]</w:t>
      </w:r>
      <w:r>
        <w:br w:type="textWrapping"/>
      </w:r>
      <w:r>
        <w:rPr>
          <w:rStyle w:val="VerbatimChar"/>
        </w:rPr>
        <w:t xml:space="preserve">X-squared = 20.737, df = 2, p-value = 3.14e-05</w:t>
      </w:r>
    </w:p>
    <w:p>
      <w:pPr>
        <w:pStyle w:val="SourceCode"/>
      </w:pPr>
      <w:r>
        <w:rPr>
          <w:rStyle w:val="NormalTok"/>
        </w:rPr>
        <w:t xml:space="preserve">&gt;</w:t>
      </w:r>
      <w:r>
        <w:rPr>
          <w:rStyle w:val="StringTok"/>
        </w:rPr>
        <w:t xml:space="preserve"> </w:t>
      </w:r>
      <w:r>
        <w:rPr>
          <w:rStyle w:val="NormalTok"/>
        </w:rPr>
        <w:t xml:space="preserve">schulart_tbl &lt;-</w:t>
      </w:r>
      <w:r>
        <w:rPr>
          <w:rStyle w:val="StringTok"/>
        </w:rPr>
        <w:t xml:space="preserve"> </w:t>
      </w:r>
      <w:r>
        <w:rPr>
          <w:rStyle w:val="KeywordTok"/>
        </w:rPr>
        <w:t xml:space="preserve">rownames_to_column</w:t>
      </w:r>
      <w:r>
        <w:rPr>
          <w:rStyle w:val="NormalTok"/>
        </w:rPr>
        <w:t xml:space="preserve">(</w:t>
      </w:r>
      <w:r>
        <w:rPr>
          <w:rStyle w:val="KeywordTok"/>
        </w:rPr>
        <w:t xml:space="preserve">as_tibble</w:t>
      </w:r>
      <w:r>
        <w:rPr>
          <w:rStyle w:val="NormalTok"/>
        </w:rPr>
        <w:t xml:space="preserve">((schulart)))</w:t>
      </w:r>
      <w:r>
        <w:br w:type="textWrapping"/>
      </w:r>
      <w:r>
        <w:rPr>
          <w:rStyle w:val="NormalTok"/>
        </w:rPr>
        <w:t xml:space="preserve">&gt;</w:t>
      </w:r>
      <w:r>
        <w:rPr>
          <w:rStyle w:val="StringTok"/>
        </w:rPr>
        <w:t xml:space="preserve"> </w:t>
      </w:r>
      <w:r>
        <w:rPr>
          <w:rStyle w:val="KeywordTok"/>
        </w:rPr>
        <w:t xml:space="preserve">names</w:t>
      </w:r>
      <w:r>
        <w:rPr>
          <w:rStyle w:val="NormalTok"/>
        </w:rPr>
        <w:t xml:space="preserve">(schulart_tbl)[</w:t>
      </w:r>
      <w:r>
        <w:rPr>
          <w:rStyle w:val="KeywordTok"/>
        </w:rPr>
        <w:t xml:space="preserve">names</w:t>
      </w:r>
      <w:r>
        <w:rPr>
          <w:rStyle w:val="NormalTok"/>
        </w:rPr>
        <w:t xml:space="preserve">(schulart_tbl) ==</w:t>
      </w:r>
      <w:r>
        <w:rPr>
          <w:rStyle w:val="StringTok"/>
        </w:rPr>
        <w:t xml:space="preserve"> "rowname"</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"Schultyp"</w:t>
      </w:r>
      <w:r>
        <w:rPr>
          <w:rStyle w:val="NormalTok"/>
        </w:rPr>
        <w:t xml:space="preserve">)</w:t>
      </w:r>
      <w:r>
        <w:br w:type="textWrapping"/>
      </w:r>
      <w:r>
        <w:rPr>
          <w:rStyle w:val="NormalTok"/>
        </w:rPr>
        <w:t xml:space="preserve">&gt;</w:t>
      </w:r>
      <w:r>
        <w:rPr>
          <w:rStyle w:val="StringTok"/>
        </w:rPr>
        <w:t xml:space="preserve"> </w:t>
      </w:r>
      <w:r>
        <w:rPr>
          <w:rStyle w:val="NormalTok"/>
        </w:rPr>
        <w:t xml:space="preserve">schulart_tbl$Schultyp &lt;-</w:t>
      </w:r>
      <w:r>
        <w:rPr>
          <w:rStyle w:val="StringTok"/>
        </w:rPr>
        <w:t xml:space="preserve"> </w:t>
      </w:r>
      <w:r>
        <w:rPr>
          <w:rStyle w:val="KeywordTok"/>
        </w:rPr>
        <w:t xml:space="preserve">as.factor</w:t>
      </w:r>
      <w:r>
        <w:rPr>
          <w:rStyle w:val="NormalTok"/>
        </w:rPr>
        <w:t xml:space="preserve">(schulart_tbl$Schultyp)</w:t>
      </w:r>
      <w:r>
        <w:br w:type="textWrapping"/>
      </w:r>
      <w:r>
        <w:rPr>
          <w:rStyle w:val="NormalTok"/>
        </w:rPr>
        <w:t xml:space="preserve">&gt;</w:t>
      </w:r>
      <w:r>
        <w:rPr>
          <w:rStyle w:val="StringTok"/>
        </w:rPr>
        <w:t xml:space="preserve"> </w:t>
      </w:r>
      <w:r>
        <w:rPr>
          <w:rStyle w:val="KeywordTok"/>
        </w:rPr>
        <w:t xml:space="preserve">levels</w:t>
      </w:r>
      <w:r>
        <w:rPr>
          <w:rStyle w:val="NormalTok"/>
        </w:rPr>
        <w:t xml:space="preserve">(schulart_tbl$Schultyp) &lt;-</w:t>
      </w:r>
      <w:r>
        <w:rPr>
          <w:rStyle w:val="StringTok"/>
        </w:rPr>
        <w:t xml:space="preserve"> </w:t>
      </w:r>
      <w:r>
        <w:rPr>
          <w:rStyle w:val="KeywordTok"/>
        </w:rPr>
        <w:t xml:space="preserve">c</w:t>
      </w:r>
      <w:r>
        <w:rPr>
          <w:rStyle w:val="NormalTok"/>
        </w:rPr>
        <w:t xml:space="preserve">(</w:t>
      </w:r>
      <w:r>
        <w:rPr>
          <w:rStyle w:val="StringTok"/>
        </w:rPr>
        <w:t xml:space="preserve">"AHS"</w:t>
      </w:r>
      <w:r>
        <w:rPr>
          <w:rStyle w:val="NormalTok"/>
        </w:rPr>
        <w:t xml:space="preserve">, </w:t>
      </w:r>
      <w:r>
        <w:rPr>
          <w:rStyle w:val="StringTok"/>
        </w:rPr>
        <w:t xml:space="preserve">"NMS"</w:t>
      </w:r>
      <w:r>
        <w:rPr>
          <w:rStyle w:val="NormalTok"/>
        </w:rPr>
        <w:t xml:space="preserve">, </w:t>
      </w:r>
      <w:r>
        <w:rPr>
          <w:rStyle w:val="StringTok"/>
        </w:rPr>
        <w:t xml:space="preserve">"PTS"</w:t>
      </w:r>
      <w:r>
        <w:rPr>
          <w:rStyle w:val="NormalTok"/>
        </w:rPr>
        <w:t xml:space="preserve">)</w:t>
      </w:r>
      <w:r>
        <w:br w:type="textWrapping"/>
      </w:r>
      <w:r>
        <w:rPr>
          <w:rStyle w:val="NormalTok"/>
        </w:rPr>
        <w:t xml:space="preserve">&gt;</w:t>
      </w:r>
      <w:r>
        <w:rPr>
          <w:rStyle w:val="StringTok"/>
        </w:rPr>
        <w:t xml:space="preserve"> </w:t>
      </w:r>
      <w:r>
        <w:rPr>
          <w:rStyle w:val="NormalTok"/>
        </w:rPr>
        <w:t xml:space="preserve">schultyp.weit &lt;-</w:t>
      </w:r>
      <w:r>
        <w:rPr>
          <w:rStyle w:val="StringTok"/>
        </w:rPr>
        <w:t xml:space="preserve"> </w:t>
      </w:r>
      <w:r>
        <w:rPr>
          <w:rStyle w:val="KeywordTok"/>
        </w:rPr>
        <w:t xml:space="preserve">select</w:t>
      </w:r>
      <w:r>
        <w:rPr>
          <w:rStyle w:val="NormalTok"/>
        </w:rPr>
        <w:t xml:space="preserve">(schulart_tbl, Schultyp, X.proz, x.proz)</w:t>
      </w:r>
      <w:r>
        <w:br w:type="textWrapping"/>
      </w:r>
      <w:r>
        <w:rPr>
          <w:rStyle w:val="NormalTok"/>
        </w:rPr>
        <w:t xml:space="preserve">&gt;</w:t>
      </w:r>
      <w:r>
        <w:rPr>
          <w:rStyle w:val="StringTok"/>
        </w:rPr>
        <w:t xml:space="preserve"> </w:t>
      </w:r>
      <w:r>
        <w:rPr>
          <w:rStyle w:val="NormalTok"/>
        </w:rPr>
        <w:t xml:space="preserve">schultyp.weit</w:t>
      </w:r>
    </w:p>
    <w:p>
      <w:pPr>
        <w:pStyle w:val="SourceCode"/>
      </w:pPr>
      <w:r>
        <w:rPr>
          <w:rStyle w:val="VerbatimChar"/>
        </w:rPr>
        <w:t xml:space="preserve"># A tibble: 3 × 3</w:t>
      </w:r>
      <w:r>
        <w:br w:type="textWrapping"/>
      </w:r>
      <w:r>
        <w:rPr>
          <w:rStyle w:val="VerbatimChar"/>
        </w:rPr>
        <w:t xml:space="preserve">  Schultyp X.proz x.proz</w:t>
      </w:r>
      <w:r>
        <w:br w:type="textWrapping"/>
      </w:r>
      <w:r>
        <w:rPr>
          <w:rStyle w:val="VerbatimChar"/>
        </w:rPr>
        <w:t xml:space="preserve">    &lt;fctr&gt;  &lt;dbl&gt;  &lt;dbl&gt;</w:t>
      </w:r>
      <w:r>
        <w:br w:type="textWrapping"/>
      </w:r>
      <w:r>
        <w:rPr>
          <w:rStyle w:val="VerbatimChar"/>
        </w:rPr>
        <w:t xml:space="preserve">1      AHS     12     14</w:t>
      </w:r>
      <w:r>
        <w:br w:type="textWrapping"/>
      </w:r>
      <w:r>
        <w:rPr>
          <w:rStyle w:val="VerbatimChar"/>
        </w:rPr>
        <w:t xml:space="preserve">2      NMS     76     50</w:t>
      </w:r>
      <w:r>
        <w:br w:type="textWrapping"/>
      </w:r>
      <w:r>
        <w:rPr>
          <w:rStyle w:val="VerbatimChar"/>
        </w:rPr>
        <w:t xml:space="preserve">3      PTS     12     36</w:t>
      </w:r>
    </w:p>
    <w:p>
      <w:pPr>
        <w:pStyle w:val="SourceCode"/>
      </w:pPr>
      <w:r>
        <w:rPr>
          <w:rStyle w:val="NormalTok"/>
        </w:rPr>
        <w:t xml:space="preserve">&gt;</w:t>
      </w:r>
      <w:r>
        <w:rPr>
          <w:rStyle w:val="StringTok"/>
        </w:rPr>
        <w:t xml:space="preserve"> </w:t>
      </w:r>
      <w:r>
        <w:rPr>
          <w:rStyle w:val="NormalTok"/>
        </w:rPr>
        <w:t xml:space="preserve">schultyp.lang &lt;-</w:t>
      </w:r>
      <w:r>
        <w:rPr>
          <w:rStyle w:val="StringTok"/>
        </w:rPr>
        <w:t xml:space="preserve"> </w:t>
      </w:r>
      <w:r>
        <w:rPr>
          <w:rStyle w:val="KeywordTok"/>
        </w:rPr>
        <w:t xml:space="preserve">melt</w:t>
      </w:r>
      <w:r>
        <w:rPr>
          <w:rStyle w:val="NormalTok"/>
        </w:rPr>
        <w:t xml:space="preserve">(schultyp.weit, </w:t>
      </w:r>
      <w:r>
        <w:rPr>
          <w:rStyle w:val="DataTypeTok"/>
        </w:rPr>
        <w:t xml:space="preserve">id.vars =</w:t>
      </w:r>
      <w:r>
        <w:rPr>
          <w:rStyle w:val="NormalTok"/>
        </w:rPr>
        <w:t xml:space="preserve"> </w:t>
      </w:r>
      <w:r>
        <w:rPr>
          <w:rStyle w:val="StringTok"/>
        </w:rPr>
        <w:t xml:space="preserve">"Schultyp"</w:t>
      </w:r>
      <w:r>
        <w:rPr>
          <w:rStyle w:val="NormalTok"/>
        </w:rPr>
        <w:t xml:space="preserve">, </w:t>
      </w:r>
      <w:r>
        <w:rPr>
          <w:rStyle w:val="DataTypeTok"/>
        </w:rPr>
        <w:t xml:space="preserve">variable.name =</w:t>
      </w:r>
      <w:r>
        <w:rPr>
          <w:rStyle w:val="NormalTok"/>
        </w:rPr>
        <w:t xml:space="preserve"> </w:t>
      </w:r>
      <w:r>
        <w:rPr>
          <w:rStyle w:val="StringTok"/>
        </w:rPr>
        <w:t xml:space="preserve">"Type"</w:t>
      </w:r>
      <w:r>
        <w:rPr>
          <w:rStyle w:val="NormalTok"/>
        </w:rPr>
        <w:t xml:space="preserve">, </w:t>
      </w:r>
      <w:r>
        <w:rPr>
          <w:rStyle w:val="DataTypeTok"/>
        </w:rPr>
        <w:t xml:space="preserve">value.name =</w:t>
      </w:r>
      <w:r>
        <w:rPr>
          <w:rStyle w:val="NormalTok"/>
        </w:rPr>
        <w:t xml:space="preserve"> </w:t>
      </w:r>
      <w:r>
        <w:rPr>
          <w:rStyle w:val="StringTok"/>
        </w:rPr>
        <w:t xml:space="preserve">"count"</w:t>
      </w:r>
      <w:r>
        <w:rPr>
          <w:rStyle w:val="NormalTok"/>
        </w:rPr>
        <w:t xml:space="preserve">)</w:t>
      </w:r>
      <w:r>
        <w:br w:type="textWrapping"/>
      </w:r>
      <w:r>
        <w:rPr>
          <w:rStyle w:val="NormalTok"/>
        </w:rPr>
        <w:t xml:space="preserve">&gt;</w:t>
      </w:r>
      <w:r>
        <w:rPr>
          <w:rStyle w:val="StringTok"/>
        </w:rPr>
        <w:t xml:space="preserve"> </w:t>
      </w:r>
      <w:r>
        <w:rPr>
          <w:rStyle w:val="NormalTok"/>
        </w:rPr>
        <w:t xml:space="preserve">schultyp.lang</w:t>
      </w:r>
    </w:p>
    <w:p>
      <w:pPr>
        <w:pStyle w:val="SourceCode"/>
      </w:pPr>
      <w:r>
        <w:rPr>
          <w:rStyle w:val="VerbatimChar"/>
        </w:rPr>
        <w:t xml:space="preserve">  Schultyp   Type count</w:t>
      </w:r>
      <w:r>
        <w:br w:type="textWrapping"/>
      </w:r>
      <w:r>
        <w:rPr>
          <w:rStyle w:val="VerbatimChar"/>
        </w:rPr>
        <w:t xml:space="preserve">1      AHS X.proz    12</w:t>
      </w:r>
      <w:r>
        <w:br w:type="textWrapping"/>
      </w:r>
      <w:r>
        <w:rPr>
          <w:rStyle w:val="VerbatimChar"/>
        </w:rPr>
        <w:t xml:space="preserve">2      NMS X.proz    76</w:t>
      </w:r>
      <w:r>
        <w:br w:type="textWrapping"/>
      </w:r>
      <w:r>
        <w:rPr>
          <w:rStyle w:val="VerbatimChar"/>
        </w:rPr>
        <w:t xml:space="preserve">3      PTS X.proz    12</w:t>
      </w:r>
      <w:r>
        <w:br w:type="textWrapping"/>
      </w:r>
      <w:r>
        <w:rPr>
          <w:rStyle w:val="VerbatimChar"/>
        </w:rPr>
        <w:t xml:space="preserve">4      AHS x.proz    14</w:t>
      </w:r>
      <w:r>
        <w:br w:type="textWrapping"/>
      </w:r>
      <w:r>
        <w:rPr>
          <w:rStyle w:val="VerbatimChar"/>
        </w:rPr>
        <w:t xml:space="preserve">5      NMS x.proz    50</w:t>
      </w:r>
      <w:r>
        <w:br w:type="textWrapping"/>
      </w:r>
      <w:r>
        <w:rPr>
          <w:rStyle w:val="VerbatimChar"/>
        </w:rPr>
        <w:t xml:space="preserve">6      PTS x.proz    36</w:t>
      </w:r>
    </w:p>
    <w:p>
      <w:pPr>
        <w:pStyle w:val="SourceCode"/>
      </w:pPr>
      <w:r>
        <w:rPr>
          <w:rStyle w:val="NormalTok"/>
        </w:rPr>
        <w:t xml:space="preserve">&gt;</w:t>
      </w:r>
      <w:r>
        <w:rPr>
          <w:rStyle w:val="StringTok"/>
        </w:rPr>
        <w:t xml:space="preserve"> </w:t>
      </w:r>
      <w:r>
        <w:rPr>
          <w:rStyle w:val="NormalTok"/>
        </w:rPr>
        <w:t xml:space="preserve">bp &lt;-</w:t>
      </w:r>
      <w:r>
        <w:rPr>
          <w:rStyle w:val="StringTok"/>
        </w:rPr>
        <w:t xml:space="preserve"> </w:t>
      </w:r>
      <w:r>
        <w:rPr>
          <w:rStyle w:val="KeywordTok"/>
        </w:rPr>
        <w:t xml:space="preserve">ggplot</w:t>
      </w:r>
      <w:r>
        <w:rPr>
          <w:rStyle w:val="NormalTok"/>
        </w:rPr>
        <w:t xml:space="preserve">(schultyp.lang,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Type, </w:t>
      </w:r>
      <w:r>
        <w:rPr>
          <w:rStyle w:val="DataTypeTok"/>
        </w:rPr>
        <w:t xml:space="preserve">y =</w:t>
      </w:r>
      <w:r>
        <w:rPr>
          <w:rStyle w:val="NormalTok"/>
        </w:rPr>
        <w:t xml:space="preserve"> </w:t>
      </w:r>
      <w:r>
        <w:rPr>
          <w:rStyle w:val="NormalTok"/>
        </w:rPr>
        <w:t xml:space="preserve">count, </w:t>
      </w:r>
      <w:r>
        <w:rPr>
          <w:rStyle w:val="DataTypeTok"/>
        </w:rPr>
        <w:t xml:space="preserve">fill =</w:t>
      </w:r>
      <w:r>
        <w:rPr>
          <w:rStyle w:val="NormalTok"/>
        </w:rPr>
        <w:t xml:space="preserve"> </w:t>
      </w:r>
      <w:r>
        <w:rPr>
          <w:rStyle w:val="NormalTok"/>
        </w:rPr>
        <w:t xml:space="preserve">Schultyp)) +</w:t>
      </w:r>
      <w:r>
        <w:br w:type="textWrapping"/>
      </w:r>
      <w:r>
        <w:rPr>
          <w:rStyle w:val="NormalTok"/>
        </w:rPr>
        <w:t xml:space="preserve">+</w:t>
      </w:r>
      <w:r>
        <w:rPr>
          <w:rStyle w:val="StringTok"/>
        </w:rPr>
        <w:t xml:space="preserve">         </w:t>
      </w:r>
      <w:r>
        <w:rPr>
          <w:rStyle w:val="KeywordTok"/>
        </w:rPr>
        <w:t xml:space="preserve">geom_bar</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&gt;</w:t>
      </w:r>
      <w:r>
        <w:rPr>
          <w:rStyle w:val="StringTok"/>
        </w:rPr>
        <w:t xml:space="preserve"> </w:t>
      </w:r>
      <w:r>
        <w:rPr>
          <w:rStyle w:val="NormalTok"/>
        </w:rPr>
        <w:t xml:space="preserve">bp</w:t>
      </w:r>
    </w:p>
    <w:p>
      <w:pPr>
        <w:pStyle w:val="FirstParagraph"/>
      </w:pPr>
      <w:r>
        <w:drawing>
          <wp:inline>
            <wp:extent cx="5334000" cy="4267200"/>
            <wp:effectExtent b="0" l="0" r="0" t="0"/>
            <wp:docPr descr="" id="1" name="Picture"/>
            <a:graphic>
              <a:graphicData uri="http://schemas.openxmlformats.org/drawingml/2006/picture">
                <pic:pic>
                  <pic:nvPicPr>
                    <pic:cNvPr descr="freiburg_files/figure-docx/lade-daten-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literatur"/>
      <w:bookmarkEnd w:id="30"/>
      <w:r>
        <w:t xml:space="preserve">Literatur</w:t>
      </w:r>
    </w:p>
    <w:p>
      <w:pPr>
        <w:pStyle w:val="Bibliography"/>
      </w:pPr>
      <w:r>
        <w:t xml:space="preserve">Baumgartner, Peter, Brandhofer, Gerhard, Ebner, Martin, Gradinger, Petra, &amp; Korte, Martin. (2016). Medienkompetenz fördern – Lehren und Lernen im digitalen Zeitalter. In Bruneforth, Michael, Eder, Ferdinand, Krainer, Konrad, Schreiner, Claudia, Seel, Andrea, &amp; Spiel, Christiane (Eds.),</w:t>
      </w:r>
      <w:r>
        <w:t xml:space="preserve"> </w:t>
      </w:r>
      <w:r>
        <w:rPr>
          <w:i/>
        </w:rPr>
        <w:t xml:space="preserve">Nationaler Bildungsbericht Österreich 2015: Fokussierte Analysen bildungspolitischer Schwerpunktthemen</w:t>
      </w:r>
      <w:r>
        <w:t xml:space="preserve"> </w:t>
      </w:r>
      <w:r>
        <w:t xml:space="preserve">(Vol. 2, pp. 95–113). Graz: Leykam. Retrieved from</w:t>
      </w:r>
      <w:r>
        <w:t xml:space="preserve"> </w:t>
      </w:r>
      <w:hyperlink r:id="rId31">
        <w:r>
          <w:rPr>
            <w:rStyle w:val="Hyperlink"/>
          </w:rPr>
          <w:t xml:space="preserve">http://dx.doi.org/10.17888/nbb2015-2-3</w:t>
        </w:r>
      </w:hyperlink>
    </w:p>
    <w:p>
      <w:pPr>
        <w:pStyle w:val="Bibliography"/>
      </w:pPr>
      <w:r>
        <w:t xml:space="preserve">Bruneforth, Michael, Eder, Ferdinand, Krainer, Konrad, Schreiner, Claudia, Seel, Andrea, &amp; Spiel, Christiane (Eds.). (2016).</w:t>
      </w:r>
      <w:r>
        <w:t xml:space="preserve"> </w:t>
      </w:r>
      <w:r>
        <w:rPr>
          <w:i/>
        </w:rPr>
        <w:t xml:space="preserve">Nationaler Bildungsbericht Österreich 2015, Band 2</w:t>
      </w:r>
      <w:r>
        <w:t xml:space="preserve"> </w:t>
      </w:r>
      <w:r>
        <w:t xml:space="preserve">(Vol. 2). Graz: Leykam. Retrieved from</w:t>
      </w:r>
      <w:r>
        <w:t xml:space="preserve"> </w:t>
      </w:r>
      <w:hyperlink r:id="rId32">
        <w:r>
          <w:rPr>
            <w:rStyle w:val="Hyperlink"/>
          </w:rPr>
          <w:t xml:space="preserve">http://dx.doi.org/10.17888/nbb2015-2</w:t>
        </w:r>
      </w:hyperlink>
    </w:p>
    <w:p>
      <w:pPr>
        <w:pStyle w:val="Bibliography"/>
      </w:pPr>
      <w:r>
        <w:t xml:space="preserve">Bruneforth, Michael, Lassnigg, Lorenz, Vogtenhuber, Stefan, Schreiner, Claudia, &amp; Breit, Simon (Eds.). (2016).</w:t>
      </w:r>
      <w:r>
        <w:t xml:space="preserve"> </w:t>
      </w:r>
      <w:r>
        <w:rPr>
          <w:i/>
        </w:rPr>
        <w:t xml:space="preserve">Nationaler Bildungsbericht Österreich 2015, Band 1</w:t>
      </w:r>
      <w:r>
        <w:t xml:space="preserve"> </w:t>
      </w:r>
      <w:r>
        <w:t xml:space="preserve">(Vol. 1). Graz: Leykam. Retrieved from</w:t>
      </w:r>
      <w:r>
        <w:t xml:space="preserve"> </w:t>
      </w:r>
      <w:hyperlink r:id="rId33">
        <w:r>
          <w:rPr>
            <w:rStyle w:val="Hyperlink"/>
          </w:rPr>
          <w:t xml:space="preserve">http://dx.doi.org/10.17888/nbb2015-1.2</w:t>
        </w:r>
      </w:hyperlink>
    </w:p>
    <w:p>
      <w:pPr>
        <w:pStyle w:val="Bibliography"/>
      </w:pPr>
      <w:r>
        <w:t xml:space="preserve">Collective, T. D.-B. R. (2003). Design-based research: An emerging paradigm for educational inquiry.</w:t>
      </w:r>
      <w:r>
        <w:t xml:space="preserve"> </w:t>
      </w:r>
      <w:r>
        <w:rPr>
          <w:i/>
        </w:rPr>
        <w:t xml:space="preserve">Educational Researcher</w:t>
      </w:r>
      <w:r>
        <w:t xml:space="preserve">, 5–8. Retrieved from</w:t>
      </w:r>
      <w:r>
        <w:t xml:space="preserve"> </w:t>
      </w:r>
      <w:hyperlink r:id="rId34">
        <w:r>
          <w:rPr>
            <w:rStyle w:val="Hyperlink"/>
          </w:rPr>
          <w:t xml:space="preserve">http://www.jstor.org/stable/3699927</w:t>
        </w:r>
      </w:hyperlink>
    </w:p>
    <w:p>
      <w:pPr>
        <w:pStyle w:val="Bibliography"/>
      </w:pPr>
      <w:r>
        <w:t xml:space="preserve">Mair, C. (2017, March).</w:t>
      </w:r>
      <w:r>
        <w:t xml:space="preserve"> </w:t>
      </w:r>
      <w:r>
        <w:rPr>
          <w:i/>
        </w:rPr>
        <w:t xml:space="preserve">„Audiemus“: Hören, um zu verstehen, verstehen, um zu hören: Gestaltung und Implementierung einer digitalen Lehr-/Lernumgebung für die Sekundarstufe 1 - eine Design-Based Research-Untersuchung</w:t>
      </w:r>
      <w:r>
        <w:t xml:space="preserve"> </w:t>
      </w:r>
      <w:r>
        <w:t xml:space="preserve">(Masterthese). Donau-Universität Krems (DUK), Krems a.d. Donau.</w:t>
      </w:r>
    </w:p>
    <w:p>
      <w:pPr>
        <w:pStyle w:val="Bibliography"/>
      </w:pPr>
      <w:r>
        <w:t xml:space="preserve">Reinmann, G. (2005). Innovation ohne Forschung? Ein Plädoyer für den Design-Based Research-Ansatz in der Lehr-Lernforschung.</w:t>
      </w:r>
      <w:r>
        <w:t xml:space="preserve"> </w:t>
      </w:r>
      <w:r>
        <w:rPr>
          <w:i/>
        </w:rPr>
        <w:t xml:space="preserve">Unterrichtswissenschaft</w:t>
      </w:r>
      <w:r>
        <w:t xml:space="preserve">,</w:t>
      </w:r>
      <w:r>
        <w:t xml:space="preserve"> </w:t>
      </w:r>
      <w:r>
        <w:rPr>
          <w:i/>
        </w:rPr>
        <w:t xml:space="preserve">33</w:t>
      </w:r>
      <w:r>
        <w:t xml:space="preserve">(1), 52–69. Retrieved from</w:t>
      </w:r>
      <w:r>
        <w:t xml:space="preserve"> </w:t>
      </w:r>
      <w:hyperlink r:id="rId35">
        <w:r>
          <w:rPr>
            <w:rStyle w:val="Hyperlink"/>
          </w:rPr>
          <w:t xml:space="preserve">http://www.pedocs.de/frontdoor.php?source_opus=5787</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5b61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dx.doi.org/10.17888/nbb2015-1.2" TargetMode="External" /><Relationship Type="http://schemas.openxmlformats.org/officeDocument/2006/relationships/hyperlink" Id="rId32" Target="http://dx.doi.org/10.17888/nbb2015-2" TargetMode="External" /><Relationship Type="http://schemas.openxmlformats.org/officeDocument/2006/relationships/hyperlink" Id="rId31"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4" Target="http://www.jstor.org/stable/3699927" TargetMode="External" /><Relationship Type="http://schemas.openxmlformats.org/officeDocument/2006/relationships/hyperlink" Id="rId35"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_rels/footnotes.xml.rels><?xml version="1.0" encoding="UTF-8"?>
<Relationships xmlns="http://schemas.openxmlformats.org/package/2006/relationships"><Relationship Type="http://schemas.openxmlformats.org/officeDocument/2006/relationships/hyperlink" Id="rId33" Target="http://dx.doi.org/10.17888/nbb2015-1.2" TargetMode="External" /><Relationship Type="http://schemas.openxmlformats.org/officeDocument/2006/relationships/hyperlink" Id="rId32" Target="http://dx.doi.org/10.17888/nbb2015-2" TargetMode="External" /><Relationship Type="http://schemas.openxmlformats.org/officeDocument/2006/relationships/hyperlink" Id="rId31" Target="http://dx.doi.org/10.17888/nbb2015-2-3" TargetMode="External" /><Relationship Type="http://schemas.openxmlformats.org/officeDocument/2006/relationships/hyperlink" Id="rId24" Target="http://imbstudent.donau-uni.ac.at/audiemus2/" TargetMode="External" /><Relationship Type="http://schemas.openxmlformats.org/officeDocument/2006/relationships/hyperlink" Id="rId23" Target="http://www.donau-uni.ac.at/de/studium/eeducation/index.php" TargetMode="External" /><Relationship Type="http://schemas.openxmlformats.org/officeDocument/2006/relationships/hyperlink" Id="rId34" Target="http://www.jstor.org/stable/3699927" TargetMode="External" /><Relationship Type="http://schemas.openxmlformats.org/officeDocument/2006/relationships/hyperlink" Id="rId35" Target="http://www.pedocs.de/frontdoor.php?source_opus=5787" TargetMode="External" /><Relationship Type="http://schemas.openxmlformats.org/officeDocument/2006/relationships/hyperlink" Id="rId25" Target="https://de.surveymonkey.com/results/SM-2WD2HRDG/" TargetMode="External" /><Relationship Type="http://schemas.openxmlformats.org/officeDocument/2006/relationships/hyperlink" Id="rId26" Target="https://github.com/petzi53/audiem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Digitale Medien im Deutschunterricht</dc:title>
  <dc:creator>Peter Baumgartner</dc:creator>
  <dcterms:created xsi:type="dcterms:W3CDTF">2017-04-16T17:10:00Z</dcterms:created>
  <dcterms:modified xsi:type="dcterms:W3CDTF">2017-04-16T17:10:00Z</dcterms:modified>
</cp:coreProperties>
</file>