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AEB4A" w14:textId="2936F970" w:rsidR="001A4A54" w:rsidRDefault="0000607B" w:rsidP="00863533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>Gain recovery dynamics and p</w:t>
      </w:r>
      <w:r w:rsidR="00737106" w:rsidRPr="00B01ECA">
        <w:rPr>
          <w:rFonts w:ascii="Times New Roman" w:hAnsi="Times New Roman" w:cs="Times New Roman"/>
          <w:b/>
          <w:sz w:val="32"/>
          <w:lang w:val="en-GB"/>
        </w:rPr>
        <w:t xml:space="preserve">assive mode locking </w:t>
      </w:r>
      <w:r w:rsidR="00F571FE" w:rsidRPr="00B01ECA">
        <w:rPr>
          <w:rFonts w:ascii="Times New Roman" w:hAnsi="Times New Roman" w:cs="Times New Roman"/>
          <w:b/>
          <w:sz w:val="32"/>
          <w:lang w:val="en-GB"/>
        </w:rPr>
        <w:t xml:space="preserve">of THz </w:t>
      </w:r>
      <w:r w:rsidR="00FC2823" w:rsidRPr="00B01ECA">
        <w:rPr>
          <w:rFonts w:ascii="Times New Roman" w:hAnsi="Times New Roman" w:cs="Times New Roman"/>
          <w:b/>
          <w:sz w:val="32"/>
          <w:lang w:val="en-GB"/>
        </w:rPr>
        <w:t>quantum cascade lasers</w:t>
      </w:r>
    </w:p>
    <w:p w14:paraId="2A8DE515" w14:textId="61C0B5EA" w:rsidR="0000607B" w:rsidRPr="0000607B" w:rsidRDefault="0000607B" w:rsidP="0000607B">
      <w:pPr>
        <w:pStyle w:val="Title"/>
        <w:rPr>
          <w:lang w:val="de-DE"/>
        </w:rPr>
      </w:pPr>
      <w:r w:rsidRPr="001D2D94">
        <w:rPr>
          <w:rFonts w:eastAsia="MS Mincho"/>
          <w:sz w:val="20"/>
          <w:u w:val="single"/>
        </w:rPr>
        <w:t>P. Tzenov</w:t>
      </w:r>
      <w:r w:rsidRPr="001D2D94">
        <w:rPr>
          <w:rFonts w:eastAsia="MS Mincho"/>
          <w:b w:val="0"/>
          <w:sz w:val="20"/>
          <w:u w:val="single"/>
          <w:vertAlign w:val="superscript"/>
        </w:rPr>
        <w:t>1</w:t>
      </w:r>
      <w:r>
        <w:rPr>
          <w:rFonts w:eastAsia="MS Mincho"/>
          <w:b w:val="0"/>
          <w:sz w:val="20"/>
          <w:vertAlign w:val="superscript"/>
        </w:rPr>
        <w:t>,*</w:t>
      </w:r>
      <w:r w:rsidRPr="0000607B">
        <w:rPr>
          <w:rFonts w:eastAsia="MS Mincho"/>
          <w:b w:val="0"/>
          <w:sz w:val="20"/>
        </w:rPr>
        <w:t xml:space="preserve">, </w:t>
      </w:r>
      <w:r w:rsidRPr="0000607B">
        <w:rPr>
          <w:rFonts w:eastAsia="MS Mincho"/>
          <w:sz w:val="20"/>
        </w:rPr>
        <w:t>I. Babushkin</w:t>
      </w:r>
      <w:r>
        <w:rPr>
          <w:rFonts w:eastAsia="MS Mincho"/>
          <w:b w:val="0"/>
          <w:sz w:val="20"/>
          <w:vertAlign w:val="superscript"/>
        </w:rPr>
        <w:t>2</w:t>
      </w:r>
      <w:r w:rsidRPr="0000607B">
        <w:rPr>
          <w:rFonts w:eastAsia="MS Mincho"/>
          <w:b w:val="0"/>
          <w:sz w:val="20"/>
          <w:vertAlign w:val="superscript"/>
        </w:rPr>
        <w:t>,</w:t>
      </w:r>
      <w:r w:rsidR="0020037A">
        <w:rPr>
          <w:rFonts w:eastAsia="MS Mincho"/>
          <w:b w:val="0"/>
          <w:sz w:val="20"/>
          <w:vertAlign w:val="superscript"/>
        </w:rPr>
        <w:t xml:space="preserve"> </w:t>
      </w:r>
      <w:r>
        <w:rPr>
          <w:rFonts w:eastAsia="MS Mincho"/>
          <w:b w:val="0"/>
          <w:sz w:val="20"/>
          <w:vertAlign w:val="superscript"/>
        </w:rPr>
        <w:t>3</w:t>
      </w:r>
      <w:r>
        <w:rPr>
          <w:rFonts w:eastAsia="MS Mincho"/>
          <w:b w:val="0"/>
          <w:sz w:val="20"/>
        </w:rPr>
        <w:t>,</w:t>
      </w:r>
      <w:r w:rsidRPr="0000607B">
        <w:rPr>
          <w:rFonts w:eastAsia="MS Mincho"/>
          <w:b w:val="0"/>
          <w:sz w:val="20"/>
        </w:rPr>
        <w:t xml:space="preserve"> </w:t>
      </w:r>
      <w:r w:rsidRPr="0000607B">
        <w:rPr>
          <w:sz w:val="20"/>
        </w:rPr>
        <w:t>U. Morgner</w:t>
      </w:r>
      <w:r>
        <w:rPr>
          <w:rFonts w:eastAsia="MS Mincho"/>
          <w:b w:val="0"/>
          <w:sz w:val="20"/>
          <w:vertAlign w:val="superscript"/>
        </w:rPr>
        <w:t>2</w:t>
      </w:r>
      <w:r w:rsidR="00047C3E">
        <w:rPr>
          <w:sz w:val="20"/>
        </w:rPr>
        <w:t xml:space="preserve"> and</w:t>
      </w:r>
      <w:r w:rsidRPr="0000607B">
        <w:rPr>
          <w:sz w:val="20"/>
        </w:rPr>
        <w:t xml:space="preserve"> </w:t>
      </w:r>
      <w:r w:rsidRPr="0000607B">
        <w:rPr>
          <w:rFonts w:eastAsia="MS Mincho"/>
          <w:sz w:val="20"/>
        </w:rPr>
        <w:t>C. Jirauschek</w:t>
      </w:r>
      <w:r w:rsidRPr="0000607B">
        <w:rPr>
          <w:rFonts w:eastAsia="MS Mincho"/>
          <w:b w:val="0"/>
          <w:sz w:val="20"/>
          <w:vertAlign w:val="superscript"/>
        </w:rPr>
        <w:t>1</w:t>
      </w:r>
    </w:p>
    <w:p w14:paraId="74797322" w14:textId="0D9CAD1F" w:rsidR="0020037A" w:rsidRPr="00DF19E3" w:rsidRDefault="0020037A" w:rsidP="0020037A">
      <w:pPr>
        <w:pStyle w:val="Address"/>
        <w:tabs>
          <w:tab w:val="clear" w:pos="360"/>
        </w:tabs>
        <w:spacing w:before="0" w:line="240" w:lineRule="auto"/>
        <w:ind w:left="0"/>
        <w:jc w:val="center"/>
        <w:rPr>
          <w:rFonts w:ascii="Times New Roman" w:hAnsi="Times New Roman"/>
          <w:i/>
          <w:sz w:val="20"/>
          <w:szCs w:val="22"/>
        </w:rPr>
      </w:pPr>
      <w:r w:rsidRPr="00DF19E3">
        <w:rPr>
          <w:rFonts w:ascii="Times New Roman" w:hAnsi="Times New Roman"/>
          <w:i/>
          <w:sz w:val="20"/>
          <w:szCs w:val="22"/>
          <w:vertAlign w:val="superscript"/>
        </w:rPr>
        <w:t>1</w:t>
      </w:r>
      <w:r w:rsidRPr="00DF19E3">
        <w:rPr>
          <w:rFonts w:ascii="Times New Roman" w:hAnsi="Times New Roman"/>
          <w:i/>
          <w:sz w:val="20"/>
          <w:szCs w:val="22"/>
        </w:rPr>
        <w:t xml:space="preserve"> </w:t>
      </w:r>
      <w:r w:rsidRPr="0000607B">
        <w:rPr>
          <w:rFonts w:ascii="Times New Roman" w:eastAsia="MS Mincho" w:hAnsi="Times New Roman"/>
          <w:i/>
          <w:iCs/>
          <w:sz w:val="20"/>
          <w:szCs w:val="16"/>
          <w:lang w:eastAsia="ja-JP"/>
        </w:rPr>
        <w:t>Technical University of Munich, D-80333 Munich, Germany</w:t>
      </w:r>
    </w:p>
    <w:p w14:paraId="7242CDDE" w14:textId="0B7A4ADA" w:rsidR="0020037A" w:rsidRDefault="0020037A" w:rsidP="0020037A">
      <w:pPr>
        <w:pStyle w:val="Address"/>
        <w:tabs>
          <w:tab w:val="clear" w:pos="360"/>
        </w:tabs>
        <w:spacing w:before="0" w:line="240" w:lineRule="auto"/>
        <w:ind w:left="0"/>
        <w:jc w:val="center"/>
        <w:rPr>
          <w:rFonts w:ascii="Times New Roman" w:hAnsi="Times New Roman"/>
          <w:i/>
          <w:sz w:val="20"/>
          <w:szCs w:val="16"/>
        </w:rPr>
      </w:pPr>
      <w:r w:rsidRPr="00DF19E3">
        <w:rPr>
          <w:rStyle w:val="Affiliation"/>
          <w:i/>
          <w:sz w:val="20"/>
          <w:szCs w:val="22"/>
          <w:vertAlign w:val="superscript"/>
        </w:rPr>
        <w:t>2</w:t>
      </w:r>
      <w:r w:rsidRPr="00DF19E3">
        <w:rPr>
          <w:rStyle w:val="Affiliation"/>
          <w:i/>
          <w:sz w:val="20"/>
          <w:szCs w:val="22"/>
        </w:rPr>
        <w:t xml:space="preserve"> </w:t>
      </w:r>
      <w:r w:rsidRPr="0000607B">
        <w:rPr>
          <w:rFonts w:ascii="Times New Roman" w:hAnsi="Times New Roman"/>
          <w:i/>
          <w:sz w:val="20"/>
          <w:szCs w:val="16"/>
        </w:rPr>
        <w:t>Institute of Quantum Optics, Leibniz University Hannover, 30167 Hannover, Germany</w:t>
      </w:r>
    </w:p>
    <w:p w14:paraId="1A9EC1F5" w14:textId="77777777" w:rsidR="0020037A" w:rsidRPr="0000607B" w:rsidRDefault="0020037A" w:rsidP="00200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/>
          <w:color w:val="000000"/>
          <w:sz w:val="20"/>
          <w:szCs w:val="16"/>
          <w:lang w:val="en-GB"/>
        </w:rPr>
      </w:pPr>
      <w:r w:rsidRPr="0020037A">
        <w:rPr>
          <w:rStyle w:val="Affiliation"/>
          <w:i/>
          <w:sz w:val="20"/>
          <w:vertAlign w:val="superscript"/>
          <w:lang w:val="en-GB"/>
        </w:rPr>
        <w:t>3</w:t>
      </w:r>
      <w:r w:rsidRPr="0020037A">
        <w:rPr>
          <w:rStyle w:val="Affiliation"/>
          <w:i/>
          <w:sz w:val="20"/>
          <w:lang w:val="en-GB"/>
        </w:rPr>
        <w:t xml:space="preserve"> </w:t>
      </w:r>
      <w:r w:rsidRPr="0000607B">
        <w:rPr>
          <w:rFonts w:ascii="Times New Roman" w:hAnsi="Times New Roman" w:cs="Times New Roman"/>
          <w:i/>
          <w:color w:val="000000"/>
          <w:sz w:val="20"/>
          <w:szCs w:val="16"/>
          <w:lang w:val="en-GB"/>
        </w:rPr>
        <w:t>Max Born Institute, 12489 Berlin, Germany</w:t>
      </w:r>
    </w:p>
    <w:p w14:paraId="0F7AEB4E" w14:textId="6AA09C14" w:rsidR="00070440" w:rsidRPr="00B01ECA" w:rsidRDefault="001F7A58" w:rsidP="0000607B">
      <w:pPr>
        <w:pStyle w:val="Address"/>
        <w:tabs>
          <w:tab w:val="clear" w:pos="360"/>
        </w:tabs>
        <w:spacing w:before="0" w:after="480" w:line="240" w:lineRule="auto"/>
        <w:ind w:left="0"/>
        <w:jc w:val="center"/>
        <w:rPr>
          <w:rFonts w:ascii="Times New Roman" w:hAnsi="Times New Roman"/>
          <w:i/>
          <w:sz w:val="20"/>
          <w:szCs w:val="22"/>
        </w:rPr>
      </w:pPr>
      <w:r w:rsidRPr="00B01ECA">
        <w:rPr>
          <w:rFonts w:ascii="Times New Roman" w:hAnsi="Times New Roman"/>
          <w:i/>
          <w:sz w:val="20"/>
          <w:szCs w:val="22"/>
        </w:rPr>
        <w:t>*Contact E</w:t>
      </w:r>
      <w:r w:rsidR="00070440" w:rsidRPr="00B01ECA">
        <w:rPr>
          <w:rFonts w:ascii="Times New Roman" w:hAnsi="Times New Roman"/>
          <w:i/>
          <w:sz w:val="20"/>
          <w:szCs w:val="22"/>
        </w:rPr>
        <w:t xml:space="preserve">mail: </w:t>
      </w:r>
      <w:r w:rsidR="00C90865" w:rsidRPr="00B01ECA">
        <w:rPr>
          <w:rFonts w:ascii="Times New Roman" w:hAnsi="Times New Roman"/>
          <w:i/>
          <w:sz w:val="20"/>
          <w:szCs w:val="22"/>
        </w:rPr>
        <w:t>petar.tzenov@tum.de</w:t>
      </w:r>
    </w:p>
    <w:p w14:paraId="46399637" w14:textId="70085FF1" w:rsidR="00106BBD" w:rsidRPr="00F01E99" w:rsidRDefault="00106BBD" w:rsidP="00106BBD">
      <w:pPr>
        <w:spacing w:before="360" w:after="120" w:line="240" w:lineRule="auto"/>
        <w:jc w:val="both"/>
        <w:rPr>
          <w:rFonts w:ascii="Times New Roman" w:hAnsi="Times New Roman" w:cs="Times New Roman"/>
          <w:b/>
          <w:lang w:val="en-GB"/>
        </w:rPr>
      </w:pPr>
      <w:r w:rsidRPr="00F01E99">
        <w:rPr>
          <w:rFonts w:ascii="Times New Roman" w:hAnsi="Times New Roman" w:cs="Times New Roman"/>
          <w:b/>
          <w:lang w:val="en-GB"/>
        </w:rPr>
        <w:t>Introduction</w:t>
      </w:r>
      <w:r w:rsidR="00B01ECA" w:rsidRPr="00F01E99">
        <w:rPr>
          <w:rFonts w:ascii="Times New Roman" w:hAnsi="Times New Roman" w:cs="Times New Roman"/>
          <w:b/>
          <w:lang w:val="en-GB"/>
        </w:rPr>
        <w:t xml:space="preserve"> &amp; Motivation</w:t>
      </w:r>
    </w:p>
    <w:p w14:paraId="05AF59A5" w14:textId="33FEC091" w:rsidR="003F7CF3" w:rsidRPr="00B01ECA" w:rsidRDefault="00641E2D" w:rsidP="00B01ECA">
      <w:pPr>
        <w:spacing w:before="80" w:after="120" w:line="240" w:lineRule="auto"/>
        <w:jc w:val="both"/>
        <w:rPr>
          <w:rFonts w:ascii="Times New Roman" w:hAnsi="Times New Roman" w:cs="Times New Roman"/>
          <w:b/>
          <w:sz w:val="22"/>
          <w:lang w:val="en-GB"/>
        </w:rPr>
      </w:pPr>
      <w:r w:rsidRPr="00B01ECA">
        <w:rPr>
          <w:rFonts w:ascii="Times New Roman" w:hAnsi="Times New Roman" w:cs="Times New Roman"/>
          <w:sz w:val="22"/>
          <w:lang w:val="en-GB"/>
        </w:rPr>
        <w:t xml:space="preserve">It is a </w:t>
      </w:r>
      <w:r w:rsidR="00A7636D" w:rsidRPr="00B01ECA">
        <w:rPr>
          <w:rFonts w:ascii="Times New Roman" w:hAnsi="Times New Roman" w:cs="Times New Roman"/>
          <w:sz w:val="22"/>
          <w:lang w:val="en-GB"/>
        </w:rPr>
        <w:t>well-established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D0185" w:rsidRPr="00B01ECA">
        <w:rPr>
          <w:rFonts w:ascii="Times New Roman" w:hAnsi="Times New Roman" w:cs="Times New Roman"/>
          <w:sz w:val="22"/>
          <w:lang w:val="en-GB"/>
        </w:rPr>
        <w:t>fact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t</w:t>
      </w:r>
      <w:r w:rsidR="00234CFF" w:rsidRPr="00B01ECA">
        <w:rPr>
          <w:rFonts w:ascii="Times New Roman" w:hAnsi="Times New Roman" w:cs="Times New Roman"/>
          <w:sz w:val="22"/>
          <w:lang w:val="en-GB"/>
        </w:rPr>
        <w:t xml:space="preserve">hat upon reaching lasing threshold the upper level lifetime of a </w:t>
      </w:r>
      <w:r w:rsidR="00E1358F" w:rsidRPr="00B01ECA">
        <w:rPr>
          <w:rFonts w:ascii="Times New Roman" w:hAnsi="Times New Roman" w:cs="Times New Roman"/>
          <w:sz w:val="22"/>
          <w:lang w:val="en-GB"/>
        </w:rPr>
        <w:t xml:space="preserve">terahertz (THz) </w:t>
      </w:r>
      <w:r w:rsidR="00234CFF" w:rsidRPr="00B01ECA">
        <w:rPr>
          <w:rFonts w:ascii="Times New Roman" w:hAnsi="Times New Roman" w:cs="Times New Roman"/>
          <w:sz w:val="22"/>
          <w:lang w:val="en-GB"/>
        </w:rPr>
        <w:t xml:space="preserve">quantum cascade laser 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(QCL) </w:t>
      </w:r>
      <w:r w:rsidR="00234CFF" w:rsidRPr="00B01ECA">
        <w:rPr>
          <w:rFonts w:ascii="Times New Roman" w:hAnsi="Times New Roman" w:cs="Times New Roman"/>
          <w:sz w:val="22"/>
          <w:lang w:val="en-GB"/>
        </w:rPr>
        <w:t>will rapidly decrease</w:t>
      </w:r>
      <w:r w:rsidRPr="00B01ECA">
        <w:rPr>
          <w:rFonts w:ascii="Times New Roman" w:hAnsi="Times New Roman" w:cs="Times New Roman"/>
          <w:sz w:val="22"/>
          <w:lang w:val="en-GB"/>
        </w:rPr>
        <w:t>,</w:t>
      </w:r>
      <w:r w:rsidR="00234CFF" w:rsidRPr="00B01ECA">
        <w:rPr>
          <w:rFonts w:ascii="Times New Roman" w:hAnsi="Times New Roman" w:cs="Times New Roman"/>
          <w:sz w:val="22"/>
          <w:lang w:val="en-GB"/>
        </w:rPr>
        <w:t xml:space="preserve"> due to the onset of stimulated emission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[</w:t>
      </w:r>
      <w:r w:rsidR="00D540BB">
        <w:rPr>
          <w:rFonts w:ascii="Times New Roman" w:hAnsi="Times New Roman" w:cs="Times New Roman"/>
          <w:sz w:val="22"/>
          <w:lang w:val="en-GB"/>
        </w:rPr>
        <w:t>1</w:t>
      </w:r>
      <w:r w:rsidR="005D0185" w:rsidRPr="00B01ECA">
        <w:rPr>
          <w:rFonts w:ascii="Times New Roman" w:hAnsi="Times New Roman" w:cs="Times New Roman"/>
          <w:sz w:val="22"/>
          <w:lang w:val="en-GB"/>
        </w:rPr>
        <w:t>]</w:t>
      </w:r>
      <w:r w:rsidR="00234CFF" w:rsidRPr="00B01ECA">
        <w:rPr>
          <w:rFonts w:ascii="Times New Roman" w:hAnsi="Times New Roman" w:cs="Times New Roman"/>
          <w:sz w:val="22"/>
          <w:lang w:val="en-GB"/>
        </w:rPr>
        <w:t>.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These fast dynamics however, do not pose a substantial hurdle for mode locking, since it is only the purely electronic,</w:t>
      </w:r>
      <w:r w:rsidR="0082075F" w:rsidRPr="00B01ECA">
        <w:rPr>
          <w:rFonts w:ascii="Times New Roman" w:hAnsi="Times New Roman" w:cs="Times New Roman"/>
          <w:sz w:val="22"/>
          <w:lang w:val="en-GB"/>
        </w:rPr>
        <w:t xml:space="preserve"> i.e. </w:t>
      </w:r>
      <w:r w:rsidR="005D0185" w:rsidRPr="00B01ECA">
        <w:rPr>
          <w:rFonts w:ascii="Times New Roman" w:hAnsi="Times New Roman" w:cs="Times New Roman"/>
          <w:i/>
          <w:sz w:val="22"/>
          <w:lang w:val="en-GB"/>
        </w:rPr>
        <w:t>non-radiative</w:t>
      </w:r>
      <w:r w:rsidR="0082075F" w:rsidRPr="00B01ECA">
        <w:rPr>
          <w:rFonts w:ascii="Times New Roman" w:hAnsi="Times New Roman" w:cs="Times New Roman"/>
          <w:sz w:val="22"/>
          <w:lang w:val="en-GB"/>
        </w:rPr>
        <w:t>,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lifetimes of the upper state which play a role</w:t>
      </w:r>
      <w:r w:rsidR="00D540BB">
        <w:rPr>
          <w:rFonts w:ascii="Times New Roman" w:hAnsi="Times New Roman" w:cs="Times New Roman"/>
          <w:sz w:val="22"/>
          <w:lang w:val="en-GB"/>
        </w:rPr>
        <w:t xml:space="preserve"> [2]</w:t>
      </w:r>
      <w:r w:rsidR="00AF58A1">
        <w:rPr>
          <w:rFonts w:ascii="Times New Roman" w:hAnsi="Times New Roman" w:cs="Times New Roman"/>
          <w:sz w:val="22"/>
          <w:lang w:val="en-GB"/>
        </w:rPr>
        <w:t>. In this contribution</w:t>
      </w:r>
      <w:bookmarkStart w:id="0" w:name="_GoBack"/>
      <w:bookmarkEnd w:id="0"/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we</w:t>
      </w:r>
      <w:r w:rsidR="00DE3F2A">
        <w:rPr>
          <w:rFonts w:ascii="Times New Roman" w:hAnsi="Times New Roman" w:cs="Times New Roman"/>
          <w:sz w:val="22"/>
          <w:lang w:val="en-GB"/>
        </w:rPr>
        <w:t xml:space="preserve"> theoretically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1D477E" w:rsidRPr="00B01ECA">
        <w:rPr>
          <w:rFonts w:ascii="Times New Roman" w:hAnsi="Times New Roman" w:cs="Times New Roman"/>
          <w:sz w:val="22"/>
          <w:lang w:val="en-GB"/>
        </w:rPr>
        <w:t xml:space="preserve">investigate the possibility </w:t>
      </w:r>
      <w:r w:rsidR="000B446D" w:rsidRPr="00B01ECA">
        <w:rPr>
          <w:rFonts w:ascii="Times New Roman" w:hAnsi="Times New Roman" w:cs="Times New Roman"/>
          <w:sz w:val="22"/>
          <w:lang w:val="en-GB"/>
        </w:rPr>
        <w:t>to</w:t>
      </w:r>
      <w:r w:rsidR="001D477E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D0185" w:rsidRPr="00B01ECA">
        <w:rPr>
          <w:rFonts w:ascii="Times New Roman" w:hAnsi="Times New Roman" w:cs="Times New Roman"/>
          <w:sz w:val="22"/>
          <w:lang w:val="en-GB"/>
        </w:rPr>
        <w:t>passive</w:t>
      </w:r>
      <w:r w:rsidR="000B446D" w:rsidRPr="00B01ECA">
        <w:rPr>
          <w:rFonts w:ascii="Times New Roman" w:hAnsi="Times New Roman" w:cs="Times New Roman"/>
          <w:sz w:val="22"/>
          <w:lang w:val="en-GB"/>
        </w:rPr>
        <w:t>ly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mode lock (PML) </w:t>
      </w:r>
      <w:r w:rsidR="00DF5FE2" w:rsidRPr="00B01ECA">
        <w:rPr>
          <w:rFonts w:ascii="Times New Roman" w:hAnsi="Times New Roman" w:cs="Times New Roman"/>
          <w:sz w:val="22"/>
          <w:lang w:val="en-GB"/>
        </w:rPr>
        <w:t>terahertz</w:t>
      </w:r>
      <w:r w:rsidR="00E1358F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D0185" w:rsidRPr="00B01ECA">
        <w:rPr>
          <w:rFonts w:ascii="Times New Roman" w:hAnsi="Times New Roman" w:cs="Times New Roman"/>
          <w:sz w:val="22"/>
          <w:lang w:val="en-GB"/>
        </w:rPr>
        <w:t>QCLs via a fast saturable absor</w:t>
      </w:r>
      <w:r w:rsidR="002F2A2F" w:rsidRPr="00B01ECA">
        <w:rPr>
          <w:rFonts w:ascii="Times New Roman" w:hAnsi="Times New Roman" w:cs="Times New Roman"/>
          <w:sz w:val="22"/>
          <w:lang w:val="en-GB"/>
        </w:rPr>
        <w:t>ber</w:t>
      </w:r>
      <w:r w:rsidR="005D0185" w:rsidRPr="00B01ECA">
        <w:rPr>
          <w:rFonts w:ascii="Times New Roman" w:hAnsi="Times New Roman" w:cs="Times New Roman"/>
          <w:sz w:val="22"/>
          <w:lang w:val="en-GB"/>
        </w:rPr>
        <w:t xml:space="preserve"> (FSA) </w:t>
      </w:r>
      <w:r w:rsidR="001D477E" w:rsidRPr="00B01ECA">
        <w:rPr>
          <w:rFonts w:ascii="Times New Roman" w:hAnsi="Times New Roman" w:cs="Times New Roman"/>
          <w:sz w:val="22"/>
          <w:lang w:val="en-GB"/>
        </w:rPr>
        <w:t xml:space="preserve">in a ring cavity geometry. We show that this simple mechanism could yield a periodic train of ultrashort pulses (one pulse per round trip) over a large variation of the experimental </w:t>
      </w:r>
      <w:r w:rsidR="003D4252" w:rsidRPr="00B01ECA">
        <w:rPr>
          <w:rFonts w:ascii="Times New Roman" w:hAnsi="Times New Roman" w:cs="Times New Roman"/>
          <w:sz w:val="22"/>
          <w:lang w:val="en-GB"/>
        </w:rPr>
        <w:t>parameters</w:t>
      </w:r>
      <w:r w:rsidR="001D477E" w:rsidRPr="00B01ECA">
        <w:rPr>
          <w:rFonts w:ascii="Times New Roman" w:hAnsi="Times New Roman" w:cs="Times New Roman"/>
          <w:sz w:val="22"/>
          <w:lang w:val="en-GB"/>
        </w:rPr>
        <w:t xml:space="preserve">, </w:t>
      </w:r>
      <w:r w:rsidR="002F2A2F" w:rsidRPr="00B01ECA">
        <w:rPr>
          <w:rFonts w:ascii="Times New Roman" w:hAnsi="Times New Roman" w:cs="Times New Roman"/>
          <w:sz w:val="22"/>
          <w:lang w:val="en-GB"/>
        </w:rPr>
        <w:t xml:space="preserve">even </w:t>
      </w:r>
      <w:r w:rsidR="003D4252" w:rsidRPr="00B01ECA">
        <w:rPr>
          <w:rFonts w:ascii="Times New Roman" w:hAnsi="Times New Roman" w:cs="Times New Roman"/>
          <w:sz w:val="22"/>
          <w:lang w:val="en-GB"/>
        </w:rPr>
        <w:t xml:space="preserve">for </w:t>
      </w:r>
      <w:r w:rsidR="001D477E" w:rsidRPr="00B01ECA">
        <w:rPr>
          <w:rFonts w:ascii="Times New Roman" w:hAnsi="Times New Roman" w:cs="Times New Roman"/>
          <w:i/>
          <w:sz w:val="22"/>
          <w:lang w:val="en-GB"/>
        </w:rPr>
        <w:t>non-radiative</w:t>
      </w:r>
      <w:r w:rsidR="001D477E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2D627E" w:rsidRPr="00B01ECA">
        <w:rPr>
          <w:rFonts w:ascii="Times New Roman" w:hAnsi="Times New Roman" w:cs="Times New Roman"/>
          <w:sz w:val="22"/>
          <w:lang w:val="en-GB"/>
        </w:rPr>
        <w:t xml:space="preserve">upper level </w:t>
      </w:r>
      <w:r w:rsidR="00945DDF">
        <w:rPr>
          <w:rFonts w:ascii="Times New Roman" w:hAnsi="Times New Roman" w:cs="Times New Roman"/>
          <w:sz w:val="22"/>
          <w:lang w:val="en-GB"/>
        </w:rPr>
        <w:t>lifetimes as short as</w:t>
      </w:r>
      <w:r w:rsidR="001D477E" w:rsidRPr="00B01ECA">
        <w:rPr>
          <w:rFonts w:ascii="Times New Roman" w:hAnsi="Times New Roman" w:cs="Times New Roman"/>
          <w:sz w:val="22"/>
          <w:lang w:val="en-GB"/>
        </w:rPr>
        <w:t xml:space="preserve"> 10</w:t>
      </w:r>
      <w:r w:rsidR="00945DDF">
        <w:rPr>
          <w:rFonts w:ascii="Times New Roman" w:hAnsi="Times New Roman" w:cs="Times New Roman"/>
          <w:sz w:val="22"/>
          <w:lang w:val="en-GB"/>
        </w:rPr>
        <w:t xml:space="preserve"> </w:t>
      </w:r>
      <w:r w:rsidR="00540E7F">
        <w:rPr>
          <w:rFonts w:ascii="Times New Roman" w:hAnsi="Times New Roman" w:cs="Times New Roman"/>
          <w:sz w:val="22"/>
          <w:lang w:val="en-GB"/>
        </w:rPr>
        <w:t>picoseconds (ps)</w:t>
      </w:r>
      <w:r w:rsidR="001D477E" w:rsidRPr="00B01ECA">
        <w:rPr>
          <w:rFonts w:ascii="Times New Roman" w:hAnsi="Times New Roman" w:cs="Times New Roman"/>
          <w:sz w:val="22"/>
          <w:lang w:val="en-GB"/>
        </w:rPr>
        <w:t>.</w:t>
      </w:r>
    </w:p>
    <w:p w14:paraId="70EDC92E" w14:textId="54C3E91A" w:rsidR="002F2A2F" w:rsidRPr="00B01ECA" w:rsidRDefault="003F5354" w:rsidP="00B01ECA">
      <w:pPr>
        <w:spacing w:beforeLines="80" w:before="192" w:line="240" w:lineRule="auto"/>
        <w:ind w:firstLine="567"/>
        <w:jc w:val="both"/>
        <w:rPr>
          <w:rFonts w:ascii="Times New Roman" w:hAnsi="Times New Roman" w:cs="Times New Roman"/>
          <w:sz w:val="22"/>
          <w:lang w:val="en-GB"/>
        </w:rPr>
      </w:pPr>
      <w:r w:rsidRPr="00B01ECA">
        <w:rPr>
          <w:rFonts w:ascii="Times New Roman" w:hAnsi="Times New Roman" w:cs="Times New Roman"/>
          <w:sz w:val="22"/>
          <w:lang w:val="en-GB"/>
        </w:rPr>
        <w:t>Below threshold the electron transport in THz QCLs is mainly driven by non-radiative transitions such as longitudinal optical (LO) phonon scattering or resonant tunnelling [</w:t>
      </w:r>
      <w:r w:rsidR="00800909">
        <w:rPr>
          <w:rFonts w:ascii="Times New Roman" w:hAnsi="Times New Roman" w:cs="Times New Roman"/>
          <w:sz w:val="22"/>
          <w:lang w:val="en-GB"/>
        </w:rPr>
        <w:t>1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].  </w:t>
      </w:r>
      <w:r w:rsidR="002F2A2F" w:rsidRPr="00B01ECA">
        <w:rPr>
          <w:rFonts w:ascii="Times New Roman" w:hAnsi="Times New Roman" w:cs="Times New Roman"/>
          <w:sz w:val="22"/>
          <w:lang w:val="en-GB"/>
        </w:rPr>
        <w:t>Pump-probe e</w:t>
      </w:r>
      <w:r w:rsidRPr="00B01ECA">
        <w:rPr>
          <w:rFonts w:ascii="Times New Roman" w:hAnsi="Times New Roman" w:cs="Times New Roman"/>
          <w:sz w:val="22"/>
          <w:lang w:val="en-GB"/>
        </w:rPr>
        <w:t>xperimental measurements affirm that</w:t>
      </w:r>
      <w:r w:rsidR="00AA3541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945DDF">
        <w:rPr>
          <w:rFonts w:ascii="Times New Roman" w:hAnsi="Times New Roman" w:cs="Times New Roman"/>
          <w:sz w:val="22"/>
          <w:lang w:val="en-GB"/>
        </w:rPr>
        <w:t>in</w:t>
      </w:r>
      <w:r w:rsidR="002F2A2F" w:rsidRPr="00B01ECA">
        <w:rPr>
          <w:rFonts w:ascii="Times New Roman" w:hAnsi="Times New Roman" w:cs="Times New Roman"/>
          <w:sz w:val="22"/>
          <w:lang w:val="en-GB"/>
        </w:rPr>
        <w:t xml:space="preserve"> this regime</w:t>
      </w:r>
      <w:r w:rsidR="005F1472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Pr="00B01ECA">
        <w:rPr>
          <w:rFonts w:ascii="Times New Roman" w:hAnsi="Times New Roman" w:cs="Times New Roman"/>
          <w:sz w:val="22"/>
          <w:lang w:val="en-GB"/>
        </w:rPr>
        <w:t>typical lifetimes of the upper laser level</w:t>
      </w:r>
      <w:r w:rsidR="00AA3541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Pr="00B01ECA">
        <w:rPr>
          <w:rFonts w:ascii="Times New Roman" w:hAnsi="Times New Roman" w:cs="Times New Roman"/>
          <w:sz w:val="22"/>
          <w:lang w:val="en-GB"/>
        </w:rPr>
        <w:t>are somewhere between 10</w:t>
      </w:r>
      <w:r w:rsidR="002D47A1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4024D5">
        <w:rPr>
          <w:rFonts w:ascii="Times New Roman" w:hAnsi="Times New Roman" w:cs="Times New Roman"/>
          <w:sz w:val="22"/>
          <w:lang w:val="en-GB"/>
        </w:rPr>
        <w:t xml:space="preserve">and 50 </w:t>
      </w:r>
      <w:r w:rsidR="00540E7F">
        <w:rPr>
          <w:rFonts w:ascii="Times New Roman" w:hAnsi="Times New Roman" w:cs="Times New Roman"/>
          <w:sz w:val="22"/>
          <w:lang w:val="en-GB"/>
        </w:rPr>
        <w:t>ps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AA3541" w:rsidRPr="00B01ECA">
        <w:rPr>
          <w:rFonts w:ascii="Times New Roman" w:hAnsi="Times New Roman" w:cs="Times New Roman"/>
          <w:sz w:val="22"/>
          <w:lang w:val="en-GB"/>
        </w:rPr>
        <w:t xml:space="preserve">for both THz and mid-infrared QCLs </w:t>
      </w:r>
      <w:r w:rsidRPr="00B01ECA">
        <w:rPr>
          <w:rFonts w:ascii="Times New Roman" w:hAnsi="Times New Roman" w:cs="Times New Roman"/>
          <w:sz w:val="22"/>
          <w:lang w:val="en-GB"/>
        </w:rPr>
        <w:t>[</w:t>
      </w:r>
      <w:r w:rsidR="00800909">
        <w:rPr>
          <w:rFonts w:ascii="Times New Roman" w:hAnsi="Times New Roman" w:cs="Times New Roman"/>
          <w:sz w:val="22"/>
          <w:lang w:val="en-GB"/>
        </w:rPr>
        <w:t>1-3</w:t>
      </w:r>
      <w:r w:rsidRPr="00B01ECA">
        <w:rPr>
          <w:rFonts w:ascii="Times New Roman" w:hAnsi="Times New Roman" w:cs="Times New Roman"/>
          <w:sz w:val="22"/>
          <w:lang w:val="en-GB"/>
        </w:rPr>
        <w:t>],</w:t>
      </w:r>
      <w:r w:rsidR="00AA3541" w:rsidRPr="00B01ECA">
        <w:rPr>
          <w:rFonts w:ascii="Times New Roman" w:hAnsi="Times New Roman" w:cs="Times New Roman"/>
          <w:sz w:val="22"/>
          <w:lang w:val="en-GB"/>
        </w:rPr>
        <w:t xml:space="preserve"> generally </w:t>
      </w:r>
      <w:r w:rsidRPr="00B01ECA">
        <w:rPr>
          <w:rFonts w:ascii="Times New Roman" w:hAnsi="Times New Roman" w:cs="Times New Roman"/>
          <w:sz w:val="22"/>
          <w:lang w:val="en-GB"/>
        </w:rPr>
        <w:t>depending on the heterostructure design.</w:t>
      </w:r>
      <w:r w:rsidR="002F2A2F" w:rsidRPr="00B01ECA">
        <w:rPr>
          <w:rFonts w:ascii="Times New Roman" w:hAnsi="Times New Roman" w:cs="Times New Roman"/>
          <w:sz w:val="22"/>
          <w:lang w:val="en-GB"/>
        </w:rPr>
        <w:t xml:space="preserve"> Measurements of the same rates when the laser is biased above threshold are difficult since the electron transport is dominated by stimulated emission</w:t>
      </w:r>
      <w:r w:rsidR="002D47A1" w:rsidRPr="00B01ECA">
        <w:rPr>
          <w:rFonts w:ascii="Times New Roman" w:hAnsi="Times New Roman" w:cs="Times New Roman"/>
          <w:sz w:val="22"/>
          <w:lang w:val="en-GB"/>
        </w:rPr>
        <w:t> </w:t>
      </w:r>
      <w:r w:rsidR="002F2A2F" w:rsidRPr="00B01ECA">
        <w:rPr>
          <w:rFonts w:ascii="Times New Roman" w:hAnsi="Times New Roman" w:cs="Times New Roman"/>
          <w:sz w:val="22"/>
          <w:lang w:val="en-GB"/>
        </w:rPr>
        <w:t>[</w:t>
      </w:r>
      <w:r w:rsidR="00906941">
        <w:rPr>
          <w:rFonts w:ascii="Times New Roman" w:hAnsi="Times New Roman" w:cs="Times New Roman"/>
          <w:sz w:val="22"/>
          <w:lang w:val="en-GB"/>
        </w:rPr>
        <w:t>2</w:t>
      </w:r>
      <w:r w:rsidR="002F2A2F" w:rsidRPr="00B01ECA">
        <w:rPr>
          <w:rFonts w:ascii="Times New Roman" w:hAnsi="Times New Roman" w:cs="Times New Roman"/>
          <w:sz w:val="22"/>
          <w:lang w:val="en-GB"/>
        </w:rPr>
        <w:t>]. However, simple argumentati</w:t>
      </w:r>
      <w:r w:rsidR="00945DDF">
        <w:rPr>
          <w:rFonts w:ascii="Times New Roman" w:hAnsi="Times New Roman" w:cs="Times New Roman"/>
          <w:sz w:val="22"/>
          <w:lang w:val="en-GB"/>
        </w:rPr>
        <w:t xml:space="preserve">on based on perturbation theory </w:t>
      </w:r>
      <w:r w:rsidR="002F2A2F" w:rsidRPr="00B01ECA">
        <w:rPr>
          <w:rFonts w:ascii="Times New Roman" w:hAnsi="Times New Roman" w:cs="Times New Roman"/>
          <w:sz w:val="22"/>
          <w:lang w:val="en-GB"/>
        </w:rPr>
        <w:t>could lead one to expect that</w:t>
      </w:r>
      <w:r w:rsidR="002D47A1" w:rsidRPr="00B01ECA">
        <w:rPr>
          <w:rFonts w:ascii="Times New Roman" w:hAnsi="Times New Roman" w:cs="Times New Roman"/>
          <w:sz w:val="22"/>
          <w:lang w:val="en-GB"/>
        </w:rPr>
        <w:t xml:space="preserve"> slightly above threshold,</w:t>
      </w:r>
      <w:r w:rsidR="002F2A2F" w:rsidRPr="00B01ECA">
        <w:rPr>
          <w:rFonts w:ascii="Times New Roman" w:hAnsi="Times New Roman" w:cs="Times New Roman"/>
          <w:sz w:val="22"/>
          <w:lang w:val="en-GB"/>
        </w:rPr>
        <w:t xml:space="preserve"> these numbers </w:t>
      </w:r>
      <w:r w:rsidR="004A4D49" w:rsidRPr="00B01ECA">
        <w:rPr>
          <w:rFonts w:ascii="Times New Roman" w:hAnsi="Times New Roman" w:cs="Times New Roman"/>
          <w:sz w:val="22"/>
          <w:lang w:val="en-GB"/>
        </w:rPr>
        <w:t>would</w:t>
      </w:r>
      <w:r w:rsidR="002F2A2F" w:rsidRPr="00B01ECA">
        <w:rPr>
          <w:rFonts w:ascii="Times New Roman" w:hAnsi="Times New Roman" w:cs="Times New Roman"/>
          <w:sz w:val="22"/>
          <w:lang w:val="en-GB"/>
        </w:rPr>
        <w:t xml:space="preserve"> not be drastically different from their sub-threshold values. </w:t>
      </w:r>
    </w:p>
    <w:p w14:paraId="4C003AAD" w14:textId="64745CCE" w:rsidR="00AA1ABA" w:rsidRPr="00B01ECA" w:rsidRDefault="002F2A2F" w:rsidP="00B01ECA">
      <w:pPr>
        <w:spacing w:beforeLines="80" w:before="192" w:line="240" w:lineRule="auto"/>
        <w:ind w:firstLine="567"/>
        <w:jc w:val="both"/>
        <w:rPr>
          <w:rFonts w:ascii="Times New Roman" w:hAnsi="Times New Roman" w:cs="Times New Roman"/>
          <w:sz w:val="22"/>
          <w:lang w:val="en-GB"/>
        </w:rPr>
      </w:pPr>
      <w:r w:rsidRPr="00B01ECA">
        <w:rPr>
          <w:rFonts w:ascii="Times New Roman" w:hAnsi="Times New Roman" w:cs="Times New Roman"/>
          <w:sz w:val="22"/>
          <w:lang w:val="en-GB"/>
        </w:rPr>
        <w:t>Here we show that, assuming soliton propagation inside the cavity, the gain recovery time could be even longer than these</w:t>
      </w:r>
      <w:r w:rsidR="00945DDF">
        <w:rPr>
          <w:rFonts w:ascii="Times New Roman" w:hAnsi="Times New Roman" w:cs="Times New Roman"/>
          <w:sz w:val="22"/>
          <w:lang w:val="en-GB"/>
        </w:rPr>
        <w:t xml:space="preserve"> sub-threshold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non-radiative lifetimes, which could also enable successful PML. </w:t>
      </w:r>
      <w:r w:rsidR="00AA056E" w:rsidRPr="00B01ECA">
        <w:rPr>
          <w:rFonts w:ascii="Times New Roman" w:hAnsi="Times New Roman" w:cs="Times New Roman"/>
          <w:sz w:val="22"/>
          <w:lang w:val="en-GB"/>
        </w:rPr>
        <w:t xml:space="preserve">To see </w:t>
      </w:r>
      <w:r w:rsidR="00AE7499" w:rsidRPr="00B01ECA">
        <w:rPr>
          <w:rFonts w:ascii="Times New Roman" w:hAnsi="Times New Roman" w:cs="Times New Roman"/>
          <w:sz w:val="22"/>
          <w:lang w:val="en-GB"/>
        </w:rPr>
        <w:t>w</w:t>
      </w:r>
      <w:r w:rsidR="00AA056E" w:rsidRPr="00B01ECA">
        <w:rPr>
          <w:rFonts w:ascii="Times New Roman" w:hAnsi="Times New Roman" w:cs="Times New Roman"/>
          <w:sz w:val="22"/>
          <w:lang w:val="en-GB"/>
        </w:rPr>
        <w:t>hy</w:t>
      </w:r>
      <w:r w:rsidR="00AE7499" w:rsidRPr="00B01ECA">
        <w:rPr>
          <w:rFonts w:ascii="Times New Roman" w:hAnsi="Times New Roman" w:cs="Times New Roman"/>
          <w:sz w:val="22"/>
          <w:lang w:val="en-GB"/>
        </w:rPr>
        <w:t>, a</w:t>
      </w:r>
      <w:r w:rsidR="003C5B4C" w:rsidRPr="00B01ECA">
        <w:rPr>
          <w:rFonts w:ascii="Times New Roman" w:hAnsi="Times New Roman" w:cs="Times New Roman"/>
          <w:sz w:val="22"/>
          <w:lang w:val="en-GB"/>
        </w:rPr>
        <w:t xml:space="preserve">ssume 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a simple two level system, the inversion of which has been </w:t>
      </w:r>
      <w:r w:rsidR="00E8370C" w:rsidRPr="00B01ECA">
        <w:rPr>
          <w:rFonts w:ascii="Times New Roman" w:hAnsi="Times New Roman" w:cs="Times New Roman"/>
          <w:sz w:val="22"/>
          <w:lang w:val="en-GB"/>
        </w:rPr>
        <w:t>saturated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by </w:t>
      </w:r>
      <w:r w:rsidR="00950CE3" w:rsidRPr="00B01ECA">
        <w:rPr>
          <w:rFonts w:ascii="Times New Roman" w:hAnsi="Times New Roman" w:cs="Times New Roman"/>
          <w:sz w:val="22"/>
          <w:lang w:val="en-GB"/>
        </w:rPr>
        <w:t>a pulse of sufficient intensity,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to some minimal </w:t>
      </w:r>
      <w:r w:rsidR="00950CE3" w:rsidRPr="00B01ECA">
        <w:rPr>
          <w:rFonts w:ascii="Times New Roman" w:hAnsi="Times New Roman" w:cs="Times New Roman"/>
          <w:sz w:val="22"/>
          <w:lang w:val="en-GB"/>
        </w:rPr>
        <w:t>value</w:t>
      </w:r>
      <m:oMath>
        <m:r>
          <w:rPr>
            <w:rFonts w:ascii="Cambria Math" w:hAnsi="Cambria Math" w:cs="Times New Roman"/>
            <w:sz w:val="22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val="en-GB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min</m:t>
            </m:r>
          </m:sub>
        </m:sSub>
      </m:oMath>
      <w:r w:rsidR="00711E1C" w:rsidRPr="00B01ECA">
        <w:rPr>
          <w:rFonts w:ascii="Times New Roman" w:hAnsi="Times New Roman" w:cs="Times New Roman"/>
          <w:sz w:val="22"/>
          <w:lang w:val="en-GB"/>
        </w:rPr>
        <w:t xml:space="preserve">. </w:t>
      </w:r>
      <w:r w:rsidR="00711E1C" w:rsidRPr="00B01ECA">
        <w:rPr>
          <w:rFonts w:ascii="Times New Roman" w:hAnsi="Times New Roman" w:cs="Times New Roman"/>
          <w:i/>
          <w:sz w:val="22"/>
          <w:lang w:val="en-GB"/>
        </w:rPr>
        <w:t>After</w:t>
      </w:r>
      <w:r w:rsidR="00711E1C" w:rsidRPr="00B01ECA">
        <w:rPr>
          <w:rFonts w:ascii="Times New Roman" w:hAnsi="Times New Roman" w:cs="Times New Roman"/>
          <w:sz w:val="22"/>
          <w:lang w:val="en-GB"/>
        </w:rPr>
        <w:t xml:space="preserve"> th</w:t>
      </w:r>
      <w:r w:rsidRPr="00B01ECA">
        <w:rPr>
          <w:rFonts w:ascii="Times New Roman" w:hAnsi="Times New Roman" w:cs="Times New Roman"/>
          <w:sz w:val="22"/>
          <w:lang w:val="en-GB"/>
        </w:rPr>
        <w:t>e passage of the pulse, the inversion</w:t>
      </w:r>
      <w:r w:rsidR="00711E1C" w:rsidRPr="00B01ECA">
        <w:rPr>
          <w:rFonts w:ascii="Times New Roman" w:hAnsi="Times New Roman" w:cs="Times New Roman"/>
          <w:sz w:val="22"/>
          <w:lang w:val="en-GB"/>
        </w:rPr>
        <w:t xml:space="preserve"> begins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 its</w:t>
      </w:r>
      <w:r w:rsidR="00711E1C" w:rsidRPr="00B01ECA">
        <w:rPr>
          <w:rFonts w:ascii="Times New Roman" w:hAnsi="Times New Roman" w:cs="Times New Roman"/>
          <w:sz w:val="22"/>
          <w:lang w:val="en-GB"/>
        </w:rPr>
        <w:t xml:space="preserve"> recover</w:t>
      </w:r>
      <w:r w:rsidR="00E8370C" w:rsidRPr="00B01ECA">
        <w:rPr>
          <w:rFonts w:ascii="Times New Roman" w:hAnsi="Times New Roman" w:cs="Times New Roman"/>
          <w:sz w:val="22"/>
          <w:lang w:val="en-GB"/>
        </w:rPr>
        <w:t>y</w:t>
      </w:r>
      <w:r w:rsidR="00AA056E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711E1C" w:rsidRPr="00B01ECA">
        <w:rPr>
          <w:rFonts w:ascii="Times New Roman" w:hAnsi="Times New Roman" w:cs="Times New Roman"/>
          <w:sz w:val="22"/>
          <w:lang w:val="en-GB"/>
        </w:rPr>
        <w:t xml:space="preserve">to steady state. </w:t>
      </w:r>
      <w:r w:rsidR="00083EED" w:rsidRPr="00B01ECA">
        <w:rPr>
          <w:rFonts w:ascii="Times New Roman" w:hAnsi="Times New Roman" w:cs="Times New Roman"/>
          <w:sz w:val="22"/>
          <w:lang w:val="en-GB"/>
        </w:rPr>
        <w:t>Now, t</w:t>
      </w:r>
      <w:r w:rsidR="002B7849" w:rsidRPr="00B01ECA">
        <w:rPr>
          <w:rFonts w:ascii="Times New Roman" w:hAnsi="Times New Roman" w:cs="Times New Roman"/>
          <w:sz w:val="22"/>
          <w:lang w:val="en-GB"/>
        </w:rPr>
        <w:t>he processes that govern th</w:t>
      </w:r>
      <w:r w:rsidR="00AA056E" w:rsidRPr="00B01ECA">
        <w:rPr>
          <w:rFonts w:ascii="Times New Roman" w:hAnsi="Times New Roman" w:cs="Times New Roman"/>
          <w:sz w:val="22"/>
          <w:lang w:val="en-GB"/>
        </w:rPr>
        <w:t>is recovery of the</w:t>
      </w:r>
      <w:r w:rsidR="002B7849" w:rsidRPr="00B01ECA">
        <w:rPr>
          <w:rFonts w:ascii="Times New Roman" w:hAnsi="Times New Roman" w:cs="Times New Roman"/>
          <w:sz w:val="22"/>
          <w:lang w:val="en-GB"/>
        </w:rPr>
        <w:t xml:space="preserve"> gain will be mainly</w:t>
      </w:r>
      <w:r w:rsidR="00AF6DE1" w:rsidRPr="00B01ECA">
        <w:rPr>
          <w:rFonts w:ascii="Times New Roman" w:hAnsi="Times New Roman" w:cs="Times New Roman"/>
          <w:sz w:val="22"/>
          <w:lang w:val="en-GB"/>
        </w:rPr>
        <w:t xml:space="preserve"> the</w:t>
      </w:r>
      <w:r w:rsidR="002B7849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2B7849" w:rsidRPr="00B01ECA">
        <w:rPr>
          <w:rFonts w:ascii="Times New Roman" w:hAnsi="Times New Roman" w:cs="Times New Roman"/>
          <w:i/>
          <w:sz w:val="22"/>
          <w:lang w:val="en-GB"/>
        </w:rPr>
        <w:t>non-radiative</w:t>
      </w:r>
      <w:r w:rsidR="002B7849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70E62" w:rsidRPr="00B01ECA">
        <w:rPr>
          <w:rFonts w:ascii="Times New Roman" w:hAnsi="Times New Roman" w:cs="Times New Roman"/>
          <w:sz w:val="22"/>
          <w:lang w:val="en-GB"/>
        </w:rPr>
        <w:t xml:space="preserve">scattering </w:t>
      </w:r>
      <w:r w:rsidR="002B7849" w:rsidRPr="00B01ECA">
        <w:rPr>
          <w:rFonts w:ascii="Times New Roman" w:hAnsi="Times New Roman" w:cs="Times New Roman"/>
          <w:sz w:val="22"/>
          <w:lang w:val="en-GB"/>
        </w:rPr>
        <w:t>processes,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mentioned above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, since there is no photon density to trigger </w:t>
      </w:r>
      <w:r w:rsidR="002307B6" w:rsidRPr="00B01ECA">
        <w:rPr>
          <w:rFonts w:ascii="Times New Roman" w:hAnsi="Times New Roman" w:cs="Times New Roman"/>
          <w:sz w:val="22"/>
          <w:lang w:val="en-GB"/>
        </w:rPr>
        <w:t>optical transitions</w:t>
      </w:r>
      <w:r w:rsidR="00AA056E" w:rsidRPr="00B01ECA">
        <w:rPr>
          <w:rFonts w:ascii="Times New Roman" w:hAnsi="Times New Roman" w:cs="Times New Roman"/>
          <w:sz w:val="22"/>
          <w:lang w:val="en-GB"/>
        </w:rPr>
        <w:t>.</w:t>
      </w:r>
      <w:r w:rsidR="00CB7286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B01ECA" w:rsidRPr="00B01ECA">
        <w:rPr>
          <w:rFonts w:ascii="Times New Roman" w:hAnsi="Times New Roman" w:cs="Times New Roman"/>
          <w:sz w:val="22"/>
          <w:lang w:val="en-GB"/>
        </w:rPr>
        <w:t>From a simple rate equations approach</w:t>
      </w:r>
      <w:r w:rsidR="00570E62" w:rsidRPr="00B01ECA">
        <w:rPr>
          <w:rFonts w:ascii="Times New Roman" w:hAnsi="Times New Roman" w:cs="Times New Roman"/>
          <w:sz w:val="22"/>
          <w:lang w:val="en-GB"/>
        </w:rPr>
        <w:t xml:space="preserve">, </w:t>
      </w:r>
      <w:r w:rsidR="00CA6791" w:rsidRPr="00B01ECA">
        <w:rPr>
          <w:rFonts w:ascii="Times New Roman" w:hAnsi="Times New Roman" w:cs="Times New Roman"/>
          <w:sz w:val="22"/>
          <w:lang w:val="en-GB"/>
        </w:rPr>
        <w:t xml:space="preserve">one </w:t>
      </w:r>
      <w:r w:rsidR="00570E62" w:rsidRPr="00B01ECA">
        <w:rPr>
          <w:rFonts w:ascii="Times New Roman" w:hAnsi="Times New Roman" w:cs="Times New Roman"/>
          <w:sz w:val="22"/>
          <w:lang w:val="en-GB"/>
        </w:rPr>
        <w:t>can easily show that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E8370C" w:rsidRPr="00B01ECA">
        <w:rPr>
          <w:rFonts w:ascii="Times New Roman" w:hAnsi="Times New Roman" w:cs="Times New Roman"/>
          <w:sz w:val="22"/>
          <w:lang w:val="en-GB"/>
        </w:rPr>
        <w:t>in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this scenario</w:t>
      </w:r>
      <w:r w:rsidR="00F7286A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AA056E" w:rsidRPr="00B01ECA">
        <w:rPr>
          <w:rFonts w:ascii="Times New Roman" w:hAnsi="Times New Roman" w:cs="Times New Roman"/>
          <w:sz w:val="22"/>
          <w:lang w:val="en-GB"/>
        </w:rPr>
        <w:t xml:space="preserve">the </w:t>
      </w:r>
      <w:r w:rsidR="00687C36" w:rsidRPr="00B01ECA">
        <w:rPr>
          <w:rFonts w:ascii="Times New Roman" w:hAnsi="Times New Roman" w:cs="Times New Roman"/>
          <w:sz w:val="22"/>
          <w:lang w:val="en-GB"/>
        </w:rPr>
        <w:t>gain recovery time</w:t>
      </w:r>
      <w:r w:rsidR="00AF6DE1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F571FE" w:rsidRPr="00B01ECA">
        <w:rPr>
          <w:rFonts w:ascii="Times New Roman" w:hAnsi="Times New Roman" w:cs="Times New Roman"/>
          <w:sz w:val="22"/>
          <w:lang w:val="en-GB"/>
        </w:rPr>
        <w:t xml:space="preserve">is </w:t>
      </w:r>
      <w:r w:rsidR="00AF6DE1" w:rsidRPr="00B01ECA">
        <w:rPr>
          <w:rFonts w:ascii="Times New Roman" w:hAnsi="Times New Roman" w:cs="Times New Roman"/>
          <w:sz w:val="22"/>
          <w:lang w:val="en-GB"/>
        </w:rPr>
        <w:t xml:space="preserve">approximately </w:t>
      </w:r>
      <w:r w:rsidRPr="00B01ECA">
        <w:rPr>
          <w:rFonts w:ascii="Times New Roman" w:hAnsi="Times New Roman" w:cs="Times New Roman"/>
          <w:sz w:val="22"/>
          <w:lang w:val="en-GB"/>
        </w:rPr>
        <w:t>given b</w:t>
      </w:r>
      <w:r w:rsidR="00F571FE" w:rsidRPr="00B01ECA">
        <w:rPr>
          <w:rFonts w:ascii="Times New Roman" w:hAnsi="Times New Roman" w:cs="Times New Roman"/>
          <w:sz w:val="22"/>
          <w:lang w:val="en-GB"/>
        </w:rPr>
        <w:t>y</w:t>
      </w:r>
    </w:p>
    <w:p w14:paraId="4F257771" w14:textId="77777777" w:rsidR="00B01ECA" w:rsidRPr="00B01ECA" w:rsidRDefault="00B01ECA" w:rsidP="00B01ECA">
      <w:pPr>
        <w:spacing w:line="240" w:lineRule="auto"/>
        <w:ind w:firstLine="567"/>
        <w:jc w:val="both"/>
        <w:rPr>
          <w:rFonts w:ascii="Times New Roman" w:hAnsi="Times New Roman" w:cs="Times New Roman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1"/>
        <w:gridCol w:w="473"/>
      </w:tblGrid>
      <w:tr w:rsidR="00AA1ABA" w:rsidRPr="00B01ECA" w14:paraId="2B4A6DE1" w14:textId="77777777" w:rsidTr="00AA1ABA">
        <w:tc>
          <w:tcPr>
            <w:tcW w:w="8330" w:type="dxa"/>
            <w:vAlign w:val="center"/>
          </w:tcPr>
          <w:p w14:paraId="66145CB2" w14:textId="3F184A5C" w:rsidR="00AA1ABA" w:rsidRPr="00B01ECA" w:rsidRDefault="008338BD" w:rsidP="00BC7BD4">
            <w:pPr>
              <w:jc w:val="center"/>
              <w:rPr>
                <w:rFonts w:ascii="Times New Roman" w:hAnsi="Times New Roman" w:cs="Times New Roman"/>
                <w:sz w:val="22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lang w:val="en-GB"/>
                      </w:rPr>
                      <m:t>gr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lang w:val="en-GB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val="en-GB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min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GB"/>
                              </w:rPr>
                              <m:t>p-1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2"/>
                    <w:lang w:val="en-GB"/>
                  </w:rPr>
                  <m:t xml:space="preserve">  ,</m:t>
                </m:r>
              </m:oMath>
            </m:oMathPara>
          </w:p>
        </w:tc>
        <w:tc>
          <w:tcPr>
            <w:tcW w:w="390" w:type="dxa"/>
            <w:vAlign w:val="center"/>
          </w:tcPr>
          <w:p w14:paraId="36350696" w14:textId="256D134A" w:rsidR="00AA1ABA" w:rsidRPr="00B01ECA" w:rsidRDefault="00AA1ABA" w:rsidP="00AA1ABA">
            <w:pPr>
              <w:jc w:val="center"/>
              <w:rPr>
                <w:rFonts w:ascii="Times New Roman" w:hAnsi="Times New Roman" w:cs="Times New Roman"/>
                <w:sz w:val="22"/>
                <w:lang w:val="en-GB"/>
              </w:rPr>
            </w:pPr>
            <w:r w:rsidRPr="00B01ECA">
              <w:rPr>
                <w:rFonts w:ascii="Times New Roman" w:hAnsi="Times New Roman" w:cs="Times New Roman"/>
                <w:sz w:val="22"/>
                <w:lang w:val="en-GB"/>
              </w:rPr>
              <w:t>(1)</w:t>
            </w:r>
          </w:p>
        </w:tc>
      </w:tr>
    </w:tbl>
    <w:p w14:paraId="6B641319" w14:textId="77777777" w:rsidR="00B01ECA" w:rsidRPr="00B01ECA" w:rsidRDefault="00B01ECA" w:rsidP="00C117F1">
      <w:pPr>
        <w:spacing w:line="240" w:lineRule="auto"/>
        <w:jc w:val="both"/>
        <w:rPr>
          <w:rFonts w:ascii="Times New Roman" w:hAnsi="Times New Roman" w:cs="Times New Roman"/>
          <w:sz w:val="22"/>
          <w:lang w:val="en-GB"/>
        </w:rPr>
      </w:pPr>
    </w:p>
    <w:p w14:paraId="3C25B37D" w14:textId="27370536" w:rsidR="00B01ECA" w:rsidRPr="00B01ECA" w:rsidRDefault="0091017D" w:rsidP="00C117F1">
      <w:pPr>
        <w:spacing w:line="240" w:lineRule="auto"/>
        <w:jc w:val="both"/>
        <w:rPr>
          <w:rFonts w:ascii="Times New Roman" w:hAnsi="Times New Roman" w:cs="Times New Roman"/>
          <w:sz w:val="22"/>
          <w:lang w:val="en-GB"/>
        </w:rPr>
      </w:pPr>
      <w:r w:rsidRPr="00B01ECA">
        <w:rPr>
          <w:rFonts w:ascii="Times New Roman" w:hAnsi="Times New Roman" w:cs="Times New Roman"/>
          <w:sz w:val="22"/>
          <w:lang w:val="en-GB"/>
        </w:rPr>
        <w:t>w</w:t>
      </w:r>
      <w:r w:rsidR="00AA056E" w:rsidRPr="00B01ECA">
        <w:rPr>
          <w:rFonts w:ascii="Times New Roman" w:hAnsi="Times New Roman" w:cs="Times New Roman"/>
          <w:sz w:val="22"/>
          <w:lang w:val="en-GB"/>
        </w:rPr>
        <w:t>here</w:t>
      </w:r>
      <w:r w:rsidR="00570E62" w:rsidRPr="00B01ECA">
        <w:rPr>
          <w:rFonts w:ascii="Times New Roman" w:hAnsi="Times New Roman" w:cs="Times New Roman"/>
          <w:sz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1</m:t>
            </m:r>
          </m:sub>
        </m:sSub>
      </m:oMath>
      <w:r w:rsidR="00570E62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FA62FB">
        <w:rPr>
          <w:rFonts w:ascii="Times New Roman" w:hAnsi="Times New Roman" w:cs="Times New Roman"/>
          <w:sz w:val="22"/>
          <w:lang w:val="en-GB"/>
        </w:rPr>
        <w:t>denotes</w:t>
      </w:r>
      <w:r w:rsidR="00570E62" w:rsidRPr="00B01ECA">
        <w:rPr>
          <w:rFonts w:ascii="Times New Roman" w:hAnsi="Times New Roman" w:cs="Times New Roman"/>
          <w:sz w:val="22"/>
          <w:lang w:val="en-GB"/>
        </w:rPr>
        <w:t xml:space="preserve"> the </w:t>
      </w:r>
      <w:r w:rsidR="00570E62" w:rsidRPr="00B01ECA">
        <w:rPr>
          <w:rFonts w:ascii="Times New Roman" w:hAnsi="Times New Roman" w:cs="Times New Roman"/>
          <w:i/>
          <w:sz w:val="22"/>
          <w:lang w:val="en-GB"/>
        </w:rPr>
        <w:t>non-radiative</w:t>
      </w:r>
      <w:r w:rsidR="00570E62" w:rsidRPr="00B01ECA">
        <w:rPr>
          <w:rFonts w:ascii="Times New Roman" w:hAnsi="Times New Roman" w:cs="Times New Roman"/>
          <w:sz w:val="22"/>
          <w:lang w:val="en-GB"/>
        </w:rPr>
        <w:t xml:space="preserve"> lifetime of the inversion,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val="en-GB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th</m:t>
            </m:r>
          </m:sub>
        </m:sSub>
      </m:oMath>
      <w:r w:rsidR="00DC0162" w:rsidRPr="00B01ECA">
        <w:rPr>
          <w:rFonts w:ascii="Times New Roman" w:hAnsi="Times New Roman" w:cs="Times New Roman"/>
          <w:sz w:val="22"/>
          <w:lang w:val="en-GB"/>
        </w:rPr>
        <w:t xml:space="preserve"> is the inversion at threshold</w:t>
      </w:r>
      <w:r w:rsidR="00E36447" w:rsidRPr="00B01ECA">
        <w:rPr>
          <w:rFonts w:ascii="Times New Roman" w:hAnsi="Times New Roman" w:cs="Times New Roman"/>
          <w:sz w:val="22"/>
          <w:lang w:val="en-GB"/>
        </w:rPr>
        <w:t xml:space="preserve"> and</w:t>
      </w:r>
      <w:r w:rsidR="00DC0162" w:rsidRPr="00B01ECA">
        <w:rPr>
          <w:rFonts w:ascii="Times New Roman" w:hAnsi="Times New Roman" w:cs="Times New Roman"/>
          <w:sz w:val="22"/>
          <w:lang w:val="en-GB"/>
        </w:rPr>
        <w:t xml:space="preserve"> </w:t>
      </w:r>
      <m:oMath>
        <m:r>
          <w:rPr>
            <w:rFonts w:ascii="Cambria Math" w:hAnsi="Cambria Math" w:cs="Times New Roman"/>
            <w:sz w:val="22"/>
            <w:lang w:val="en-GB"/>
          </w:rPr>
          <m:t>p</m:t>
        </m:r>
      </m:oMath>
      <w:r w:rsidR="00DC0162" w:rsidRPr="00B01ECA">
        <w:rPr>
          <w:rFonts w:ascii="Times New Roman" w:hAnsi="Times New Roman" w:cs="Times New Roman"/>
          <w:sz w:val="22"/>
          <w:lang w:val="en-GB"/>
        </w:rPr>
        <w:t xml:space="preserve"> is the pump parameter (</w:t>
      </w:r>
      <m:oMath>
        <m:r>
          <w:rPr>
            <w:rFonts w:ascii="Cambria Math" w:hAnsi="Cambria Math" w:cs="Times New Roman"/>
            <w:sz w:val="22"/>
            <w:lang w:val="en-GB"/>
          </w:rPr>
          <m:t>p</m:t>
        </m:r>
      </m:oMath>
      <w:r w:rsidR="00950CE3" w:rsidRPr="00B01ECA">
        <w:rPr>
          <w:rFonts w:ascii="Times New Roman" w:hAnsi="Times New Roman" w:cs="Times New Roman"/>
          <w:sz w:val="22"/>
          <w:lang w:val="en-GB"/>
        </w:rPr>
        <w:t>=1</w:t>
      </w:r>
      <w:r w:rsidR="00DC0162" w:rsidRPr="00B01ECA">
        <w:rPr>
          <w:rFonts w:ascii="Times New Roman" w:hAnsi="Times New Roman" w:cs="Times New Roman"/>
          <w:sz w:val="22"/>
          <w:lang w:val="en-GB"/>
        </w:rPr>
        <w:t xml:space="preserve"> correspo</w:t>
      </w:r>
      <w:r w:rsidR="00AF6DE1" w:rsidRPr="00B01ECA">
        <w:rPr>
          <w:rFonts w:ascii="Times New Roman" w:hAnsi="Times New Roman" w:cs="Times New Roman"/>
          <w:sz w:val="22"/>
          <w:lang w:val="en-GB"/>
        </w:rPr>
        <w:t>nds to pumping at threshold)</w:t>
      </w:r>
      <w:r w:rsidR="00DC0162" w:rsidRPr="00B01ECA">
        <w:rPr>
          <w:rFonts w:ascii="Times New Roman" w:hAnsi="Times New Roman" w:cs="Times New Roman"/>
          <w:sz w:val="22"/>
          <w:lang w:val="en-GB"/>
        </w:rPr>
        <w:t>.</w:t>
      </w:r>
      <w:r w:rsidR="0059414D" w:rsidRPr="00B01ECA">
        <w:rPr>
          <w:rFonts w:ascii="Times New Roman" w:hAnsi="Times New Roman" w:cs="Times New Roman"/>
          <w:sz w:val="22"/>
          <w:lang w:val="en-GB"/>
        </w:rPr>
        <w:t xml:space="preserve"> Importantly,</w:t>
      </w:r>
      <w:r w:rsidR="00DC0162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9414D" w:rsidRPr="00B01ECA">
        <w:rPr>
          <w:rFonts w:ascii="Times New Roman" w:hAnsi="Times New Roman" w:cs="Times New Roman"/>
          <w:sz w:val="22"/>
          <w:lang w:val="en-GB"/>
        </w:rPr>
        <w:t>f</w:t>
      </w:r>
      <w:r w:rsidR="00DC0162" w:rsidRPr="00B01ECA">
        <w:rPr>
          <w:rFonts w:ascii="Times New Roman" w:hAnsi="Times New Roman" w:cs="Times New Roman"/>
          <w:sz w:val="22"/>
          <w:lang w:val="en-GB"/>
        </w:rPr>
        <w:t xml:space="preserve">rom Eq. (1) we see that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τ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gr</m:t>
            </m:r>
          </m:sub>
        </m:sSub>
      </m:oMath>
      <w:r w:rsidR="00950CE3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E8370C" w:rsidRPr="00B01ECA">
        <w:rPr>
          <w:rFonts w:ascii="Times New Roman" w:hAnsi="Times New Roman" w:cs="Times New Roman"/>
          <w:sz w:val="22"/>
          <w:lang w:val="en-GB"/>
        </w:rPr>
        <w:t>could</w:t>
      </w:r>
      <w:r w:rsidR="00CB7286" w:rsidRPr="00B01ECA">
        <w:rPr>
          <w:rFonts w:ascii="Times New Roman" w:hAnsi="Times New Roman" w:cs="Times New Roman"/>
          <w:sz w:val="22"/>
          <w:lang w:val="en-GB"/>
        </w:rPr>
        <w:t xml:space="preserve"> be</w:t>
      </w:r>
      <w:r w:rsidR="00E8370C" w:rsidRPr="00B01ECA">
        <w:rPr>
          <w:rFonts w:ascii="Times New Roman" w:hAnsi="Times New Roman" w:cs="Times New Roman"/>
          <w:sz w:val="22"/>
          <w:lang w:val="en-GB"/>
        </w:rPr>
        <w:t>come</w:t>
      </w:r>
      <w:r w:rsidR="00CB7286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9414D" w:rsidRPr="00B01ECA">
        <w:rPr>
          <w:rFonts w:ascii="Times New Roman" w:hAnsi="Times New Roman" w:cs="Times New Roman"/>
          <w:sz w:val="22"/>
          <w:lang w:val="en-GB"/>
        </w:rPr>
        <w:t>longer</w:t>
      </w:r>
      <w:r w:rsidR="00950CE3" w:rsidRPr="00B01ECA">
        <w:rPr>
          <w:rFonts w:ascii="Times New Roman" w:hAnsi="Times New Roman" w:cs="Times New Roman"/>
          <w:sz w:val="22"/>
          <w:lang w:val="en-GB"/>
        </w:rPr>
        <w:t xml:space="preserve"> than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1</m:t>
            </m:r>
          </m:sub>
        </m:sSub>
      </m:oMath>
      <w:r w:rsidR="0059414D" w:rsidRPr="00B01ECA">
        <w:rPr>
          <w:rFonts w:ascii="Times New Roman" w:hAnsi="Times New Roman" w:cs="Times New Roman"/>
          <w:sz w:val="22"/>
          <w:lang w:val="en-GB"/>
        </w:rPr>
        <w:t xml:space="preserve"> and </w:t>
      </w:r>
      <w:r w:rsidR="00950CE3" w:rsidRPr="00B01ECA">
        <w:rPr>
          <w:rFonts w:ascii="Times New Roman" w:hAnsi="Times New Roman" w:cs="Times New Roman"/>
          <w:sz w:val="22"/>
          <w:lang w:val="en-GB"/>
        </w:rPr>
        <w:t>that it</w:t>
      </w:r>
      <w:r w:rsidR="00024E16" w:rsidRPr="00B01ECA">
        <w:rPr>
          <w:rFonts w:ascii="Times New Roman" w:hAnsi="Times New Roman" w:cs="Times New Roman"/>
          <w:sz w:val="22"/>
          <w:lang w:val="en-GB"/>
        </w:rPr>
        <w:t xml:space="preserve"> will strongly depend </w:t>
      </w:r>
      <w:r w:rsidR="00B01ECA" w:rsidRPr="00B01ECA">
        <w:rPr>
          <w:rFonts w:ascii="Times New Roman" w:hAnsi="Times New Roman" w:cs="Times New Roman"/>
          <w:sz w:val="22"/>
          <w:lang w:val="en-GB"/>
        </w:rPr>
        <w:t>onto the</w:t>
      </w:r>
      <w:r w:rsidR="00024E16" w:rsidRPr="00B01ECA">
        <w:rPr>
          <w:rFonts w:ascii="Times New Roman" w:hAnsi="Times New Roman" w:cs="Times New Roman"/>
          <w:sz w:val="22"/>
          <w:lang w:val="en-GB"/>
        </w:rPr>
        <w:t xml:space="preserve"> p</w:t>
      </w:r>
      <w:r w:rsidR="00CB7286" w:rsidRPr="00B01ECA">
        <w:rPr>
          <w:rFonts w:ascii="Times New Roman" w:hAnsi="Times New Roman" w:cs="Times New Roman"/>
          <w:sz w:val="22"/>
          <w:lang w:val="en-GB"/>
        </w:rPr>
        <w:t xml:space="preserve">ump </w:t>
      </w:r>
      <w:r w:rsidR="00024E16" w:rsidRPr="00B01ECA">
        <w:rPr>
          <w:rFonts w:ascii="Times New Roman" w:hAnsi="Times New Roman" w:cs="Times New Roman"/>
          <w:sz w:val="22"/>
          <w:lang w:val="en-GB"/>
        </w:rPr>
        <w:t xml:space="preserve">parameter </w:t>
      </w:r>
      <m:oMath>
        <m:r>
          <w:rPr>
            <w:rFonts w:ascii="Cambria Math" w:hAnsi="Cambria Math" w:cs="Times New Roman"/>
            <w:sz w:val="22"/>
            <w:lang w:val="en-GB"/>
          </w:rPr>
          <m:t>p</m:t>
        </m:r>
      </m:oMath>
      <w:r w:rsidR="00CB7286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024E16" w:rsidRPr="00B01ECA">
        <w:rPr>
          <w:rFonts w:ascii="Times New Roman" w:hAnsi="Times New Roman" w:cs="Times New Roman"/>
          <w:sz w:val="22"/>
          <w:lang w:val="en-GB"/>
        </w:rPr>
        <w:t xml:space="preserve">and also the strength of the gain saturation. In the following, we show by simulations that passive mode locking is indeed possible for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lang w:val="en-GB"/>
          </w:rPr>
          <m:t xml:space="preserve"> </m:t>
        </m:r>
      </m:oMath>
      <w:r w:rsidR="00024E16" w:rsidRPr="00B01ECA">
        <w:rPr>
          <w:rFonts w:ascii="Times New Roman" w:hAnsi="Times New Roman" w:cs="Times New Roman"/>
          <w:sz w:val="22"/>
          <w:lang w:val="en-GB"/>
        </w:rPr>
        <w:t xml:space="preserve">as short as three times smaller </w:t>
      </w:r>
      <w:r w:rsidR="00950CE3" w:rsidRPr="00B01ECA">
        <w:rPr>
          <w:rFonts w:ascii="Times New Roman" w:hAnsi="Times New Roman" w:cs="Times New Roman"/>
          <w:sz w:val="22"/>
          <w:lang w:val="en-GB"/>
        </w:rPr>
        <w:t xml:space="preserve">than </w:t>
      </w:r>
      <w:r w:rsidR="00024E16" w:rsidRPr="00B01ECA">
        <w:rPr>
          <w:rFonts w:ascii="Times New Roman" w:hAnsi="Times New Roman" w:cs="Times New Roman"/>
          <w:sz w:val="22"/>
          <w:lang w:val="en-GB"/>
        </w:rPr>
        <w:t>the cavity round trip time</w:t>
      </w:r>
      <w:r w:rsidR="00737106" w:rsidRPr="00B01ECA">
        <w:rPr>
          <w:rFonts w:ascii="Times New Roman" w:hAnsi="Times New Roman" w:cs="Times New Roman"/>
          <w:sz w:val="22"/>
          <w:lang w:val="en-GB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rt</m:t>
            </m:r>
          </m:sub>
        </m:sSub>
      </m:oMath>
      <w:r w:rsidR="00737106" w:rsidRPr="00B01ECA">
        <w:rPr>
          <w:rFonts w:ascii="Times New Roman" w:hAnsi="Times New Roman" w:cs="Times New Roman"/>
          <w:sz w:val="22"/>
          <w:lang w:val="en-GB"/>
        </w:rPr>
        <w:t>)</w:t>
      </w:r>
      <w:r w:rsidR="00B01ECA" w:rsidRPr="00B01ECA">
        <w:rPr>
          <w:rFonts w:ascii="Times New Roman" w:hAnsi="Times New Roman" w:cs="Times New Roman"/>
          <w:sz w:val="22"/>
          <w:lang w:val="en-GB"/>
        </w:rPr>
        <w:t xml:space="preserve">. </w:t>
      </w:r>
    </w:p>
    <w:p w14:paraId="60DD3BDF" w14:textId="224EC756" w:rsidR="00B01ECA" w:rsidRPr="00B01ECA" w:rsidRDefault="00B01ECA">
      <w:pPr>
        <w:rPr>
          <w:rFonts w:ascii="Times New Roman" w:hAnsi="Times New Roman" w:cs="Times New Roman"/>
          <w:sz w:val="22"/>
          <w:lang w:val="en-GB"/>
        </w:rPr>
      </w:pPr>
      <w:r w:rsidRPr="00B01ECA">
        <w:rPr>
          <w:rFonts w:ascii="Times New Roman" w:hAnsi="Times New Roman" w:cs="Times New Roman"/>
          <w:sz w:val="22"/>
          <w:lang w:val="en-GB"/>
        </w:rPr>
        <w:br w:type="page"/>
      </w:r>
    </w:p>
    <w:p w14:paraId="3A7E4C9B" w14:textId="329A99BB" w:rsidR="003539DE" w:rsidRPr="00F01E99" w:rsidRDefault="003F7CF3" w:rsidP="00B01ECA">
      <w:pPr>
        <w:spacing w:after="120"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  <w:r w:rsidRPr="00F01E99">
        <w:rPr>
          <w:rFonts w:ascii="Times New Roman" w:hAnsi="Times New Roman" w:cs="Times New Roman"/>
          <w:b/>
          <w:szCs w:val="24"/>
          <w:lang w:val="en-GB"/>
        </w:rPr>
        <w:lastRenderedPageBreak/>
        <w:t>Results</w:t>
      </w:r>
    </w:p>
    <w:p w14:paraId="4A09CDE2" w14:textId="16DDA014" w:rsidR="00537D8E" w:rsidRPr="00B01ECA" w:rsidRDefault="00DE3F2A" w:rsidP="00B01ECA">
      <w:pPr>
        <w:spacing w:after="120" w:line="240" w:lineRule="auto"/>
        <w:jc w:val="both"/>
        <w:rPr>
          <w:rFonts w:ascii="Times New Roman" w:hAnsi="Times New Roman" w:cs="Times New Roman"/>
          <w:sz w:val="22"/>
          <w:lang w:val="en-GB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43E7EB9B" wp14:editId="36CEDCFA">
            <wp:simplePos x="0" y="0"/>
            <wp:positionH relativeFrom="margin">
              <wp:posOffset>461010</wp:posOffset>
            </wp:positionH>
            <wp:positionV relativeFrom="paragraph">
              <wp:posOffset>1390015</wp:posOffset>
            </wp:positionV>
            <wp:extent cx="4502150" cy="2273935"/>
            <wp:effectExtent l="0" t="0" r="0" b="0"/>
            <wp:wrapTopAndBottom/>
            <wp:docPr id="3" name="Picture 3" descr="C:\Users\petz\AppData\Local\Microsoft\Windows\INetCache\Content.Word\ITQWim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z\AppData\Local\Microsoft\Windows\INetCache\Content.Word\ITQWimg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8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476CB" wp14:editId="4F52CBFF">
                <wp:simplePos x="0" y="0"/>
                <wp:positionH relativeFrom="margin">
                  <wp:align>right</wp:align>
                </wp:positionH>
                <wp:positionV relativeFrom="paragraph">
                  <wp:posOffset>3750006</wp:posOffset>
                </wp:positionV>
                <wp:extent cx="5398770" cy="63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765BE4" w14:textId="37945F5F" w:rsidR="005F78F1" w:rsidRPr="005F78F1" w:rsidRDefault="005F78F1" w:rsidP="005F78F1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lang w:val="en-GB"/>
                              </w:rPr>
                            </w:pPr>
                            <w:r w:rsidRPr="0043596F"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lang w:val="en-GB"/>
                              </w:rPr>
                              <w:t>Fig. 1</w:t>
                            </w:r>
                            <w:r w:rsidRPr="0043596F">
                              <w:rPr>
                                <w:rFonts w:ascii="Times New Roman" w:eastAsiaTheme="minorEastAsia" w:hAnsi="Times New Roman" w:cs="Times New Roman"/>
                                <w:b w:val="0"/>
                                <w:color w:val="auto"/>
                                <w:lang w:val="en-GB"/>
                              </w:rPr>
                              <w:t xml:space="preserve">: (a) The modelled ring cavity consisting of a gain and absorber section. (b) The </w:t>
                            </w:r>
                            <w:r w:rsidR="00617820">
                              <w:rPr>
                                <w:rFonts w:ascii="Times New Roman" w:eastAsiaTheme="minorEastAsia" w:hAnsi="Times New Roman" w:cs="Times New Roman"/>
                                <w:b w:val="0"/>
                                <w:color w:val="auto"/>
                                <w:lang w:val="en-GB"/>
                              </w:rPr>
                              <w:t xml:space="preserve">envelope </w:t>
                            </w:r>
                            <w:r w:rsidRPr="0043596F">
                              <w:rPr>
                                <w:rFonts w:ascii="Times New Roman" w:eastAsiaTheme="minorEastAsia" w:hAnsi="Times New Roman" w:cs="Times New Roman"/>
                                <w:b w:val="0"/>
                                <w:color w:val="auto"/>
                                <w:lang w:val="en-GB"/>
                              </w:rPr>
                              <w:t xml:space="preserve">optical power spectrum, (c) the intracavity power (left y-axis) and inversion (right y-axis) and (d) the gain recovery time as a function of the pump parameter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color w:val="auto"/>
                                  <w:lang w:val="en-GB"/>
                                </w:rPr>
                                <m:t>p</m:t>
                              </m:r>
                            </m:oMath>
                            <w:r w:rsidRPr="0043596F">
                              <w:rPr>
                                <w:rFonts w:ascii="Times New Roman" w:eastAsiaTheme="minorEastAsia" w:hAnsi="Times New Roman" w:cs="Times New Roman"/>
                                <w:b w:val="0"/>
                                <w:color w:val="auto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476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3.9pt;margin-top:295.3pt;width:425.1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" stroked="f">
                <v:textbox style="mso-fit-shape-to-text:t" inset="0,0,0,0">
                  <w:txbxContent>
                    <w:p w14:paraId="18765BE4" w14:textId="37945F5F" w:rsidR="005F78F1" w:rsidRPr="005F78F1" w:rsidRDefault="005F78F1" w:rsidP="005F78F1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lang w:val="en-GB"/>
                        </w:rPr>
                      </w:pPr>
                      <w:r w:rsidRPr="0043596F">
                        <w:rPr>
                          <w:rFonts w:ascii="Times New Roman" w:eastAsiaTheme="minorEastAsia" w:hAnsi="Times New Roman" w:cs="Times New Roman"/>
                          <w:color w:val="auto"/>
                          <w:lang w:val="en-GB"/>
                        </w:rPr>
                        <w:t>Fig. 1</w:t>
                      </w:r>
                      <w:r w:rsidRPr="0043596F">
                        <w:rPr>
                          <w:rFonts w:ascii="Times New Roman" w:eastAsiaTheme="minorEastAsia" w:hAnsi="Times New Roman" w:cs="Times New Roman"/>
                          <w:b w:val="0"/>
                          <w:color w:val="auto"/>
                          <w:lang w:val="en-GB"/>
                        </w:rPr>
                        <w:t xml:space="preserve">: (a) The modelled ring cavity consisting of a gain and absorber section. (b) The </w:t>
                      </w:r>
                      <w:r w:rsidR="00617820">
                        <w:rPr>
                          <w:rFonts w:ascii="Times New Roman" w:eastAsiaTheme="minorEastAsia" w:hAnsi="Times New Roman" w:cs="Times New Roman"/>
                          <w:b w:val="0"/>
                          <w:color w:val="auto"/>
                          <w:lang w:val="en-GB"/>
                        </w:rPr>
                        <w:t xml:space="preserve">envelope </w:t>
                      </w:r>
                      <w:r w:rsidRPr="0043596F">
                        <w:rPr>
                          <w:rFonts w:ascii="Times New Roman" w:eastAsiaTheme="minorEastAsia" w:hAnsi="Times New Roman" w:cs="Times New Roman"/>
                          <w:b w:val="0"/>
                          <w:color w:val="auto"/>
                          <w:lang w:val="en-GB"/>
                        </w:rPr>
                        <w:t xml:space="preserve">optical power spectrum, (c) the intracavity power (left y-axis) and inversion (right y-axis) and (d) the gain recovery time as a function of the pump parameter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color w:val="auto"/>
                            <w:lang w:val="en-GB"/>
                          </w:rPr>
                          <m:t>p</m:t>
                        </m:r>
                      </m:oMath>
                      <w:r w:rsidRPr="0043596F">
                        <w:rPr>
                          <w:rFonts w:ascii="Times New Roman" w:eastAsiaTheme="minorEastAsia" w:hAnsi="Times New Roman" w:cs="Times New Roman"/>
                          <w:b w:val="0"/>
                          <w:color w:val="auto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157AA" w:rsidRPr="00B01ECA">
        <w:rPr>
          <w:rFonts w:ascii="Times New Roman" w:hAnsi="Times New Roman" w:cs="Times New Roman"/>
          <w:sz w:val="22"/>
          <w:lang w:val="en-GB"/>
        </w:rPr>
        <w:t>Unlike other known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 PML</w:t>
      </w:r>
      <w:r w:rsidR="007157AA" w:rsidRPr="00B01ECA">
        <w:rPr>
          <w:rFonts w:ascii="Times New Roman" w:hAnsi="Times New Roman" w:cs="Times New Roman"/>
          <w:sz w:val="22"/>
          <w:lang w:val="en-GB"/>
        </w:rPr>
        <w:t xml:space="preserve"> approaches, where the main ML mechanism</w:t>
      </w:r>
      <w:r w:rsidR="00E8370C" w:rsidRPr="00B01ECA">
        <w:rPr>
          <w:rFonts w:ascii="Times New Roman" w:hAnsi="Times New Roman" w:cs="Times New Roman"/>
          <w:sz w:val="22"/>
          <w:lang w:val="en-GB"/>
        </w:rPr>
        <w:t>s</w:t>
      </w:r>
      <w:r w:rsidR="007157AA" w:rsidRPr="00B01ECA">
        <w:rPr>
          <w:rFonts w:ascii="Times New Roman" w:hAnsi="Times New Roman" w:cs="Times New Roman"/>
          <w:sz w:val="22"/>
          <w:lang w:val="en-GB"/>
        </w:rPr>
        <w:t xml:space="preserve"> were the Kerr-lensing effect [</w:t>
      </w:r>
      <w:r w:rsidR="00906941">
        <w:rPr>
          <w:rFonts w:ascii="Times New Roman" w:hAnsi="Times New Roman" w:cs="Times New Roman"/>
          <w:sz w:val="22"/>
          <w:lang w:val="en-GB"/>
        </w:rPr>
        <w:t>4</w:t>
      </w:r>
      <w:r w:rsidR="007157AA" w:rsidRPr="00B01ECA">
        <w:rPr>
          <w:rFonts w:ascii="Times New Roman" w:hAnsi="Times New Roman" w:cs="Times New Roman"/>
          <w:sz w:val="22"/>
          <w:lang w:val="en-GB"/>
        </w:rPr>
        <w:t>] or self-induced transparency mode locking [</w:t>
      </w:r>
      <w:r w:rsidR="00906941">
        <w:rPr>
          <w:rFonts w:ascii="Times New Roman" w:hAnsi="Times New Roman" w:cs="Times New Roman"/>
          <w:sz w:val="22"/>
          <w:lang w:val="en-GB"/>
        </w:rPr>
        <w:t>5</w:t>
      </w:r>
      <w:r w:rsidR="007157AA" w:rsidRPr="00B01ECA">
        <w:rPr>
          <w:rFonts w:ascii="Times New Roman" w:hAnsi="Times New Roman" w:cs="Times New Roman"/>
          <w:sz w:val="22"/>
          <w:lang w:val="en-GB"/>
        </w:rPr>
        <w:t>], we propose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 passive mode locking</w:t>
      </w:r>
      <w:r w:rsidR="007157AA" w:rsidRPr="00B01ECA">
        <w:rPr>
          <w:rFonts w:ascii="Times New Roman" w:hAnsi="Times New Roman" w:cs="Times New Roman"/>
          <w:sz w:val="22"/>
          <w:lang w:val="en-GB"/>
        </w:rPr>
        <w:t xml:space="preserve"> with a fast saturable ab</w:t>
      </w:r>
      <w:r w:rsidR="005A63F4">
        <w:rPr>
          <w:rFonts w:ascii="Times New Roman" w:hAnsi="Times New Roman" w:cs="Times New Roman"/>
          <w:sz w:val="22"/>
          <w:lang w:val="en-GB"/>
        </w:rPr>
        <w:t>sorber in a ring cavity THz QCL</w:t>
      </w:r>
      <w:r w:rsidR="007157AA" w:rsidRPr="00B01ECA">
        <w:rPr>
          <w:rFonts w:ascii="Times New Roman" w:hAnsi="Times New Roman" w:cs="Times New Roman"/>
          <w:sz w:val="22"/>
          <w:lang w:val="en-GB"/>
        </w:rPr>
        <w:t>. The envisaged geometry is one of a microring resona</w:t>
      </w:r>
      <w:r w:rsidR="00DD1187">
        <w:rPr>
          <w:rFonts w:ascii="Times New Roman" w:hAnsi="Times New Roman" w:cs="Times New Roman"/>
          <w:sz w:val="22"/>
          <w:lang w:val="en-GB"/>
        </w:rPr>
        <w:t>tor, similar to the one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 in Ref</w:t>
      </w:r>
      <w:r w:rsidR="007157AA" w:rsidRPr="00B01ECA">
        <w:rPr>
          <w:rFonts w:ascii="Times New Roman" w:hAnsi="Times New Roman" w:cs="Times New Roman"/>
          <w:sz w:val="22"/>
          <w:lang w:val="en-GB"/>
        </w:rPr>
        <w:t>. [</w:t>
      </w:r>
      <w:r w:rsidR="007A0A21">
        <w:rPr>
          <w:rFonts w:ascii="Times New Roman" w:hAnsi="Times New Roman" w:cs="Times New Roman"/>
          <w:sz w:val="22"/>
          <w:lang w:val="en-GB"/>
        </w:rPr>
        <w:t>6</w:t>
      </w:r>
      <w:r w:rsidR="007157AA" w:rsidRPr="00B01ECA">
        <w:rPr>
          <w:rFonts w:ascii="Times New Roman" w:hAnsi="Times New Roman" w:cs="Times New Roman"/>
          <w:sz w:val="22"/>
          <w:lang w:val="en-GB"/>
        </w:rPr>
        <w:t>], incorporating a gain and an absorber section in a serial fashion</w:t>
      </w:r>
      <w:r w:rsidR="00106BBD" w:rsidRPr="00B01ECA">
        <w:rPr>
          <w:rFonts w:ascii="Times New Roman" w:hAnsi="Times New Roman" w:cs="Times New Roman"/>
          <w:sz w:val="22"/>
          <w:lang w:val="en-GB"/>
        </w:rPr>
        <w:t xml:space="preserve"> as depicted in Fig. 1</w:t>
      </w:r>
      <w:r w:rsidR="00537449">
        <w:rPr>
          <w:rFonts w:ascii="Times New Roman" w:hAnsi="Times New Roman" w:cs="Times New Roman"/>
          <w:sz w:val="22"/>
          <w:lang w:val="en-GB"/>
        </w:rPr>
        <w:t>(</w:t>
      </w:r>
      <w:r w:rsidR="0078147D" w:rsidRPr="00B01ECA">
        <w:rPr>
          <w:rFonts w:ascii="Times New Roman" w:hAnsi="Times New Roman" w:cs="Times New Roman"/>
          <w:sz w:val="22"/>
          <w:lang w:val="en-GB"/>
        </w:rPr>
        <w:t>a</w:t>
      </w:r>
      <w:r w:rsidR="00537449">
        <w:rPr>
          <w:rFonts w:ascii="Times New Roman" w:hAnsi="Times New Roman" w:cs="Times New Roman"/>
          <w:sz w:val="22"/>
          <w:lang w:val="en-GB"/>
        </w:rPr>
        <w:t>)</w:t>
      </w:r>
      <w:r w:rsidR="007157AA" w:rsidRPr="00B01ECA">
        <w:rPr>
          <w:rFonts w:ascii="Times New Roman" w:hAnsi="Times New Roman" w:cs="Times New Roman"/>
          <w:sz w:val="22"/>
          <w:lang w:val="en-GB"/>
        </w:rPr>
        <w:t>.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7157AA" w:rsidRPr="00B01ECA">
        <w:rPr>
          <w:rFonts w:ascii="Times New Roman" w:hAnsi="Times New Roman" w:cs="Times New Roman"/>
          <w:sz w:val="22"/>
          <w:lang w:val="en-GB"/>
        </w:rPr>
        <w:t xml:space="preserve">Both 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the amplifier and the absorber can be suitably </w:t>
      </w:r>
      <w:r w:rsidR="00B2566B" w:rsidRPr="00B01ECA">
        <w:rPr>
          <w:rFonts w:ascii="Times New Roman" w:hAnsi="Times New Roman" w:cs="Times New Roman"/>
          <w:sz w:val="22"/>
          <w:lang w:val="en-GB"/>
        </w:rPr>
        <w:t>e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ngineered </w:t>
      </w:r>
      <w:r w:rsidR="00B2566B" w:rsidRPr="00B01ECA">
        <w:rPr>
          <w:rFonts w:ascii="Times New Roman" w:hAnsi="Times New Roman" w:cs="Times New Roman"/>
          <w:sz w:val="22"/>
          <w:lang w:val="en-GB"/>
        </w:rPr>
        <w:t xml:space="preserve">as </w:t>
      </w:r>
      <w:r w:rsidR="00537D8E" w:rsidRPr="00B01ECA">
        <w:rPr>
          <w:rFonts w:ascii="Times New Roman" w:hAnsi="Times New Roman" w:cs="Times New Roman"/>
          <w:sz w:val="22"/>
          <w:lang w:val="en-GB"/>
        </w:rPr>
        <w:t>quantum well heterostructure</w:t>
      </w:r>
      <w:r w:rsidR="00B2566B" w:rsidRPr="00B01ECA">
        <w:rPr>
          <w:rFonts w:ascii="Times New Roman" w:hAnsi="Times New Roman" w:cs="Times New Roman"/>
          <w:sz w:val="22"/>
          <w:lang w:val="en-GB"/>
        </w:rPr>
        <w:t>s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 and </w:t>
      </w:r>
      <w:r w:rsidR="007157AA" w:rsidRPr="00B01ECA">
        <w:rPr>
          <w:rFonts w:ascii="Times New Roman" w:hAnsi="Times New Roman" w:cs="Times New Roman"/>
          <w:sz w:val="22"/>
          <w:lang w:val="en-GB"/>
        </w:rPr>
        <w:t>are assumed to have the same optical transition energy</w:t>
      </w:r>
      <w:r w:rsidR="00E8370C" w:rsidRPr="00B01ECA">
        <w:rPr>
          <w:rFonts w:ascii="Times New Roman" w:hAnsi="Times New Roman" w:cs="Times New Roman"/>
          <w:sz w:val="22"/>
          <w:lang w:val="en-GB"/>
        </w:rPr>
        <w:t>. Also</w:t>
      </w:r>
      <w:r w:rsidR="00106BBD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the </w:t>
      </w:r>
      <w:r w:rsidR="00106BBD" w:rsidRPr="00B01ECA">
        <w:rPr>
          <w:rFonts w:ascii="Times New Roman" w:hAnsi="Times New Roman" w:cs="Times New Roman"/>
          <w:sz w:val="22"/>
          <w:lang w:val="en-GB"/>
        </w:rPr>
        <w:t>absorber is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B2566B" w:rsidRPr="00B01ECA">
        <w:rPr>
          <w:rFonts w:ascii="Times New Roman" w:hAnsi="Times New Roman" w:cs="Times New Roman"/>
          <w:sz w:val="22"/>
          <w:lang w:val="en-GB"/>
        </w:rPr>
        <w:t>taken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 to be 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in a 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completely non-inverted </w:t>
      </w:r>
      <w:r w:rsidR="00737106" w:rsidRPr="00B01ECA">
        <w:rPr>
          <w:rFonts w:ascii="Times New Roman" w:hAnsi="Times New Roman" w:cs="Times New Roman"/>
          <w:sz w:val="22"/>
          <w:lang w:val="en-GB"/>
        </w:rPr>
        <w:t xml:space="preserve">state, whereas </w:t>
      </w:r>
      <w:r w:rsidR="00537D8E" w:rsidRPr="00B01ECA">
        <w:rPr>
          <w:rFonts w:ascii="Times New Roman" w:hAnsi="Times New Roman" w:cs="Times New Roman"/>
          <w:sz w:val="22"/>
          <w:lang w:val="en-GB"/>
        </w:rPr>
        <w:t>the gain</w:t>
      </w:r>
      <w:r w:rsidR="00E8370C" w:rsidRPr="00B01ECA">
        <w:rPr>
          <w:rFonts w:ascii="Times New Roman" w:hAnsi="Times New Roman" w:cs="Times New Roman"/>
          <w:sz w:val="22"/>
          <w:lang w:val="en-GB"/>
        </w:rPr>
        <w:t xml:space="preserve"> medium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694EF6">
        <w:rPr>
          <w:rFonts w:ascii="Times New Roman" w:hAnsi="Times New Roman" w:cs="Times New Roman"/>
          <w:sz w:val="22"/>
          <w:lang w:val="en-GB"/>
        </w:rPr>
        <w:t xml:space="preserve">is assumed </w:t>
      </w:r>
      <w:r w:rsidR="00B2566B" w:rsidRPr="00B01ECA">
        <w:rPr>
          <w:rFonts w:ascii="Times New Roman" w:hAnsi="Times New Roman" w:cs="Times New Roman"/>
          <w:sz w:val="22"/>
          <w:lang w:val="en-GB"/>
        </w:rPr>
        <w:t xml:space="preserve">to be </w:t>
      </w:r>
      <w:r w:rsidR="00537D8E" w:rsidRPr="00B01ECA">
        <w:rPr>
          <w:rFonts w:ascii="Times New Roman" w:hAnsi="Times New Roman" w:cs="Times New Roman"/>
          <w:sz w:val="22"/>
          <w:lang w:val="en-GB"/>
        </w:rPr>
        <w:t xml:space="preserve">pumped to </w:t>
      </w:r>
      <m:oMath>
        <m:r>
          <w:rPr>
            <w:rFonts w:ascii="Cambria Math" w:hAnsi="Cambria Math" w:cs="Times New Roman"/>
            <w:sz w:val="22"/>
            <w:lang w:val="en-GB"/>
          </w:rPr>
          <m:t>p</m:t>
        </m:r>
      </m:oMath>
      <w:r w:rsidR="00AF402D" w:rsidRPr="00B01ECA">
        <w:rPr>
          <w:rFonts w:ascii="Times New Roman" w:hAnsi="Times New Roman" w:cs="Times New Roman"/>
          <w:sz w:val="22"/>
          <w:lang w:val="en-GB"/>
        </w:rPr>
        <w:t>-times above threshold</w:t>
      </w:r>
      <w:r w:rsidR="00106BBD" w:rsidRPr="00B01ECA">
        <w:rPr>
          <w:rFonts w:ascii="Times New Roman" w:hAnsi="Times New Roman" w:cs="Times New Roman"/>
          <w:sz w:val="22"/>
          <w:lang w:val="en-GB"/>
        </w:rPr>
        <w:t>.</w:t>
      </w:r>
      <w:r w:rsidR="003539DE" w:rsidRPr="00B01ECA">
        <w:rPr>
          <w:rFonts w:ascii="Times New Roman" w:hAnsi="Times New Roman" w:cs="Times New Roman"/>
          <w:b/>
          <w:noProof/>
          <w:sz w:val="22"/>
          <w:lang w:val="en-GB" w:eastAsia="en-GB"/>
        </w:rPr>
        <w:t xml:space="preserve"> </w:t>
      </w:r>
    </w:p>
    <w:p w14:paraId="0F7AEB58" w14:textId="254A6820" w:rsidR="00C854E0" w:rsidRPr="00B01ECA" w:rsidRDefault="00106BBD" w:rsidP="003539DE">
      <w:pPr>
        <w:spacing w:line="240" w:lineRule="auto"/>
        <w:ind w:firstLine="567"/>
        <w:jc w:val="both"/>
        <w:rPr>
          <w:rFonts w:ascii="Times New Roman" w:hAnsi="Times New Roman" w:cs="Times New Roman"/>
          <w:sz w:val="22"/>
          <w:lang w:val="en-GB"/>
        </w:rPr>
      </w:pPr>
      <w:r w:rsidRPr="00B01ECA">
        <w:rPr>
          <w:rFonts w:ascii="Times New Roman" w:hAnsi="Times New Roman" w:cs="Times New Roman"/>
          <w:sz w:val="22"/>
          <w:lang w:val="en-GB"/>
        </w:rPr>
        <w:t>Our calculations, based on the semi-classical Maxwell-Bloch equations</w:t>
      </w:r>
      <w:r w:rsidR="00312A54">
        <w:rPr>
          <w:rFonts w:ascii="Times New Roman" w:hAnsi="Times New Roman" w:cs="Times New Roman"/>
          <w:sz w:val="22"/>
          <w:lang w:val="en-GB"/>
        </w:rPr>
        <w:t xml:space="preserve"> </w:t>
      </w:r>
      <w:r w:rsidR="005F78F1">
        <w:rPr>
          <w:rFonts w:ascii="Times New Roman" w:hAnsi="Times New Roman" w:cs="Times New Roman"/>
          <w:sz w:val="22"/>
          <w:lang w:val="en-GB"/>
        </w:rPr>
        <w:t>[7]</w:t>
      </w:r>
      <w:r w:rsidRPr="00B01ECA">
        <w:rPr>
          <w:rFonts w:ascii="Times New Roman" w:hAnsi="Times New Roman" w:cs="Times New Roman"/>
          <w:sz w:val="22"/>
          <w:lang w:val="en-GB"/>
        </w:rPr>
        <w:t xml:space="preserve">, show that within this configuration pulse generation could be possible for self-starting, free-running </w:t>
      </w:r>
      <w:r w:rsidR="0078147D" w:rsidRPr="00B01ECA">
        <w:rPr>
          <w:rFonts w:ascii="Times New Roman" w:hAnsi="Times New Roman" w:cs="Times New Roman"/>
          <w:sz w:val="22"/>
          <w:lang w:val="en-GB"/>
        </w:rPr>
        <w:t>lasers and for a large variation of the input parameters</w:t>
      </w:r>
      <w:r w:rsidR="00A52C52" w:rsidRPr="00B01ECA">
        <w:rPr>
          <w:rFonts w:ascii="Times New Roman" w:hAnsi="Times New Roman" w:cs="Times New Roman"/>
          <w:sz w:val="22"/>
          <w:lang w:val="en-GB"/>
        </w:rPr>
        <w:t xml:space="preserve"> (sp</w:t>
      </w:r>
      <w:r w:rsidR="00BB6D7F">
        <w:rPr>
          <w:rFonts w:ascii="Times New Roman" w:hAnsi="Times New Roman" w:cs="Times New Roman"/>
          <w:sz w:val="22"/>
          <w:lang w:val="en-GB"/>
        </w:rPr>
        <w:t>ecifically we observed pu</w:t>
      </w:r>
      <w:r w:rsidR="00A52C52" w:rsidRPr="00B01ECA">
        <w:rPr>
          <w:rFonts w:ascii="Times New Roman" w:hAnsi="Times New Roman" w:cs="Times New Roman"/>
          <w:sz w:val="22"/>
          <w:lang w:val="en-GB"/>
        </w:rPr>
        <w:t xml:space="preserve">lse formation for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1</m:t>
            </m:r>
          </m:sub>
        </m:sSub>
      </m:oMath>
      <w:r w:rsidR="00A52C52" w:rsidRPr="00B01ECA">
        <w:rPr>
          <w:rFonts w:ascii="Times New Roman" w:hAnsi="Times New Roman" w:cs="Times New Roman"/>
          <w:sz w:val="22"/>
          <w:lang w:val="en-GB"/>
        </w:rPr>
        <w:t xml:space="preserve"> between </w:t>
      </w:r>
      <m:oMath>
        <m:r>
          <w:rPr>
            <w:rFonts w:ascii="Cambria Math" w:hAnsi="Cambria Math" w:cs="Times New Roman"/>
            <w:sz w:val="22"/>
            <w:lang w:val="en-GB"/>
          </w:rPr>
          <m:t>10~30</m:t>
        </m:r>
      </m:oMath>
      <w:r w:rsidR="00A52C52" w:rsidRPr="00B01ECA">
        <w:rPr>
          <w:rFonts w:ascii="Times New Roman" w:hAnsi="Times New Roman" w:cs="Times New Roman"/>
          <w:sz w:val="22"/>
          <w:lang w:val="en-GB"/>
        </w:rPr>
        <w:t xml:space="preserve"> ps</w:t>
      </w:r>
      <w:r w:rsidR="00BF7A75">
        <w:rPr>
          <w:rFonts w:ascii="Times New Roman" w:hAnsi="Times New Roman" w:cs="Times New Roman"/>
          <w:sz w:val="22"/>
          <w:lang w:val="en-GB"/>
        </w:rPr>
        <w:t>)</w:t>
      </w:r>
      <w:r w:rsidR="0078147D" w:rsidRPr="00B01ECA">
        <w:rPr>
          <w:rFonts w:ascii="Times New Roman" w:hAnsi="Times New Roman" w:cs="Times New Roman"/>
          <w:sz w:val="22"/>
          <w:lang w:val="en-GB"/>
        </w:rPr>
        <w:t xml:space="preserve">. The </w:t>
      </w:r>
      <w:r w:rsidR="007B5179">
        <w:rPr>
          <w:rFonts w:ascii="Times New Roman" w:hAnsi="Times New Roman" w:cs="Times New Roman"/>
          <w:sz w:val="22"/>
          <w:lang w:val="en-GB"/>
        </w:rPr>
        <w:t xml:space="preserve">mode locked </w:t>
      </w:r>
      <w:r w:rsidR="0078147D" w:rsidRPr="00B01ECA">
        <w:rPr>
          <w:rFonts w:ascii="Times New Roman" w:hAnsi="Times New Roman" w:cs="Times New Roman"/>
          <w:sz w:val="22"/>
          <w:lang w:val="en-GB"/>
        </w:rPr>
        <w:t>pulse</w:t>
      </w:r>
      <w:r w:rsidR="007B5179">
        <w:rPr>
          <w:rFonts w:ascii="Times New Roman" w:hAnsi="Times New Roman" w:cs="Times New Roman"/>
          <w:sz w:val="22"/>
          <w:lang w:val="en-GB"/>
        </w:rPr>
        <w:t xml:space="preserve"> envelope</w:t>
      </w:r>
      <w:r w:rsidR="0078147D" w:rsidRPr="00B01ECA">
        <w:rPr>
          <w:rFonts w:ascii="Times New Roman" w:hAnsi="Times New Roman" w:cs="Times New Roman"/>
          <w:sz w:val="22"/>
          <w:lang w:val="en-GB"/>
        </w:rPr>
        <w:t>,</w:t>
      </w:r>
      <w:r w:rsidR="00AF402D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A52C52" w:rsidRPr="00B01ECA">
        <w:rPr>
          <w:rFonts w:ascii="Times New Roman" w:hAnsi="Times New Roman" w:cs="Times New Roman"/>
          <w:sz w:val="22"/>
          <w:lang w:val="en-GB"/>
        </w:rPr>
        <w:t xml:space="preserve">for the case when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lang w:val="en-GB"/>
          </w:rPr>
          <m:t xml:space="preserve">=10 </m:t>
        </m:r>
      </m:oMath>
      <w:r w:rsidR="0044044B">
        <w:rPr>
          <w:rFonts w:ascii="Times New Roman" w:hAnsi="Times New Roman" w:cs="Times New Roman"/>
          <w:sz w:val="22"/>
          <w:lang w:val="en-GB"/>
        </w:rPr>
        <w:t>ps</w:t>
      </w:r>
      <w:r w:rsidR="00A52C52" w:rsidRPr="00B01ECA">
        <w:rPr>
          <w:rFonts w:ascii="Times New Roman" w:hAnsi="Times New Roman" w:cs="Times New Roman"/>
          <w:sz w:val="22"/>
          <w:lang w:val="en-GB"/>
        </w:rPr>
        <w:t xml:space="preserve">, </w:t>
      </w:r>
      <w:r w:rsidR="00AF402D" w:rsidRPr="00B01ECA">
        <w:rPr>
          <w:rFonts w:ascii="Times New Roman" w:hAnsi="Times New Roman" w:cs="Times New Roman"/>
          <w:sz w:val="22"/>
          <w:lang w:val="en-GB"/>
        </w:rPr>
        <w:t>its spectrum,</w:t>
      </w:r>
      <w:r w:rsidR="0078147D" w:rsidRPr="00B01ECA">
        <w:rPr>
          <w:rFonts w:ascii="Times New Roman" w:hAnsi="Times New Roman" w:cs="Times New Roman"/>
          <w:sz w:val="22"/>
          <w:lang w:val="en-GB"/>
        </w:rPr>
        <w:t xml:space="preserve"> together with the</w:t>
      </w:r>
      <w:r w:rsidR="00C179A2" w:rsidRPr="00B01ECA">
        <w:rPr>
          <w:rFonts w:ascii="Times New Roman" w:hAnsi="Times New Roman" w:cs="Times New Roman"/>
          <w:sz w:val="22"/>
          <w:lang w:val="en-GB"/>
        </w:rPr>
        <w:t xml:space="preserve"> </w:t>
      </w:r>
      <w:r w:rsidR="0078147D" w:rsidRPr="00B01ECA">
        <w:rPr>
          <w:rFonts w:ascii="Times New Roman" w:hAnsi="Times New Roman" w:cs="Times New Roman"/>
          <w:sz w:val="22"/>
          <w:lang w:val="en-GB"/>
        </w:rPr>
        <w:t>gain recovery time</w:t>
      </w:r>
      <w:r w:rsidR="00025249">
        <w:rPr>
          <w:rFonts w:ascii="Times New Roman" w:hAnsi="Times New Roman" w:cs="Times New Roman"/>
          <w:sz w:val="22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GB"/>
              </w:rPr>
              <m:t>τ</m:t>
            </m:r>
          </m:e>
          <m:sub>
            <m:r>
              <w:rPr>
                <w:rFonts w:ascii="Cambria Math" w:hAnsi="Cambria Math" w:cs="Times New Roman"/>
                <w:sz w:val="22"/>
                <w:lang w:val="en-GB"/>
              </w:rPr>
              <m:t>gr</m:t>
            </m:r>
          </m:sub>
        </m:sSub>
      </m:oMath>
      <w:r w:rsidR="004E5744">
        <w:rPr>
          <w:rFonts w:ascii="Times New Roman" w:hAnsi="Times New Roman" w:cs="Times New Roman"/>
          <w:sz w:val="22"/>
          <w:lang w:val="en-GB"/>
        </w:rPr>
        <w:t xml:space="preserve"> calculated from Eq. (1), </w:t>
      </w:r>
      <w:r w:rsidR="0078147D" w:rsidRPr="00B01ECA">
        <w:rPr>
          <w:rFonts w:ascii="Times New Roman" w:hAnsi="Times New Roman" w:cs="Times New Roman"/>
          <w:sz w:val="22"/>
          <w:lang w:val="en-GB"/>
        </w:rPr>
        <w:t>are depicted in Fig.</w:t>
      </w:r>
      <w:r w:rsidR="00211429" w:rsidRPr="00B01ECA">
        <w:rPr>
          <w:rFonts w:ascii="Times New Roman" w:hAnsi="Times New Roman" w:cs="Times New Roman"/>
          <w:sz w:val="22"/>
          <w:lang w:val="en-GB"/>
        </w:rPr>
        <w:t> </w:t>
      </w:r>
      <w:r w:rsidR="0078147D" w:rsidRPr="00B01ECA">
        <w:rPr>
          <w:rFonts w:ascii="Times New Roman" w:hAnsi="Times New Roman" w:cs="Times New Roman"/>
          <w:sz w:val="22"/>
          <w:lang w:val="en-GB"/>
        </w:rPr>
        <w:t>1</w:t>
      </w:r>
      <w:r w:rsidR="00537449">
        <w:rPr>
          <w:rFonts w:ascii="Times New Roman" w:hAnsi="Times New Roman" w:cs="Times New Roman"/>
          <w:sz w:val="22"/>
          <w:lang w:val="en-GB"/>
        </w:rPr>
        <w:t>(</w:t>
      </w:r>
      <w:r w:rsidR="0078147D" w:rsidRPr="00B01ECA">
        <w:rPr>
          <w:rFonts w:ascii="Times New Roman" w:hAnsi="Times New Roman" w:cs="Times New Roman"/>
          <w:sz w:val="22"/>
          <w:lang w:val="en-GB"/>
        </w:rPr>
        <w:t>b</w:t>
      </w:r>
      <w:r w:rsidR="00537449">
        <w:rPr>
          <w:rFonts w:ascii="Times New Roman" w:hAnsi="Times New Roman" w:cs="Times New Roman"/>
          <w:sz w:val="22"/>
          <w:lang w:val="en-GB"/>
        </w:rPr>
        <w:t>)</w:t>
      </w:r>
      <w:r w:rsidR="00AF402D" w:rsidRPr="00B01ECA">
        <w:rPr>
          <w:rFonts w:ascii="Times New Roman" w:hAnsi="Times New Roman" w:cs="Times New Roman"/>
          <w:sz w:val="22"/>
          <w:lang w:val="en-GB"/>
        </w:rPr>
        <w:t>-</w:t>
      </w:r>
      <w:r w:rsidR="00537449">
        <w:rPr>
          <w:rFonts w:ascii="Times New Roman" w:hAnsi="Times New Roman" w:cs="Times New Roman"/>
          <w:sz w:val="22"/>
          <w:lang w:val="en-GB"/>
        </w:rPr>
        <w:t>(</w:t>
      </w:r>
      <w:r w:rsidR="00AF402D" w:rsidRPr="00B01ECA">
        <w:rPr>
          <w:rFonts w:ascii="Times New Roman" w:hAnsi="Times New Roman" w:cs="Times New Roman"/>
          <w:sz w:val="22"/>
          <w:lang w:val="en-GB"/>
        </w:rPr>
        <w:t>d</w:t>
      </w:r>
      <w:r w:rsidR="00537449">
        <w:rPr>
          <w:rFonts w:ascii="Times New Roman" w:hAnsi="Times New Roman" w:cs="Times New Roman"/>
          <w:sz w:val="22"/>
          <w:lang w:val="en-GB"/>
        </w:rPr>
        <w:t>)</w:t>
      </w:r>
      <w:r w:rsidR="00C179A2" w:rsidRPr="00B01ECA">
        <w:rPr>
          <w:rFonts w:ascii="Times New Roman" w:hAnsi="Times New Roman" w:cs="Times New Roman"/>
          <w:sz w:val="22"/>
          <w:lang w:val="en-GB"/>
        </w:rPr>
        <w:t>.</w:t>
      </w:r>
      <w:r w:rsidR="00EC1883">
        <w:rPr>
          <w:rFonts w:ascii="Times New Roman" w:hAnsi="Times New Roman" w:cs="Times New Roman"/>
          <w:sz w:val="22"/>
          <w:lang w:val="en-GB"/>
        </w:rPr>
        <w:t xml:space="preserve"> </w:t>
      </w:r>
      <w:r w:rsidR="00B63790" w:rsidRPr="00B01ECA">
        <w:rPr>
          <w:rFonts w:ascii="Times New Roman" w:hAnsi="Times New Roman" w:cs="Times New Roman"/>
          <w:sz w:val="22"/>
          <w:lang w:val="en-GB"/>
        </w:rPr>
        <w:t xml:space="preserve">All other simulation parameters are </w:t>
      </w:r>
      <w:r w:rsidR="00211429" w:rsidRPr="00B01ECA">
        <w:rPr>
          <w:rFonts w:ascii="Times New Roman" w:hAnsi="Times New Roman" w:cs="Times New Roman"/>
          <w:sz w:val="22"/>
          <w:lang w:val="en-GB"/>
        </w:rPr>
        <w:t xml:space="preserve">typical values found in literature and are omitted here for brevity. </w:t>
      </w:r>
    </w:p>
    <w:p w14:paraId="00DA9A55" w14:textId="77777777" w:rsidR="0078147D" w:rsidRPr="00B01ECA" w:rsidRDefault="0078147D" w:rsidP="000A5F43">
      <w:pPr>
        <w:spacing w:line="240" w:lineRule="auto"/>
        <w:jc w:val="both"/>
        <w:rPr>
          <w:rFonts w:ascii="Times New Roman" w:hAnsi="Times New Roman" w:cs="Times New Roman"/>
          <w:sz w:val="22"/>
          <w:lang w:val="en-GB"/>
        </w:rPr>
      </w:pPr>
    </w:p>
    <w:p w14:paraId="0F7AEB63" w14:textId="77777777" w:rsidR="007B36E8" w:rsidRPr="00F01E99" w:rsidRDefault="007B36E8" w:rsidP="007B36E8">
      <w:pPr>
        <w:spacing w:line="240" w:lineRule="auto"/>
        <w:jc w:val="both"/>
        <w:rPr>
          <w:rFonts w:ascii="Times New Roman" w:hAnsi="Times New Roman" w:cs="Times New Roman"/>
          <w:b/>
          <w:szCs w:val="24"/>
          <w:lang w:val="en-GB"/>
        </w:rPr>
      </w:pPr>
      <w:r w:rsidRPr="00F01E99">
        <w:rPr>
          <w:rFonts w:ascii="Times New Roman" w:hAnsi="Times New Roman" w:cs="Times New Roman"/>
          <w:b/>
          <w:szCs w:val="24"/>
          <w:lang w:val="en-GB"/>
        </w:rPr>
        <w:t>References</w:t>
      </w:r>
    </w:p>
    <w:p w14:paraId="0F7AEB64" w14:textId="77777777" w:rsidR="007B36E8" w:rsidRPr="00D77DD0" w:rsidRDefault="007B36E8" w:rsidP="007B36E8">
      <w:pPr>
        <w:spacing w:line="240" w:lineRule="auto"/>
        <w:jc w:val="both"/>
        <w:rPr>
          <w:rFonts w:ascii="Times New Roman" w:hAnsi="Times New Roman" w:cs="Times New Roman"/>
          <w:sz w:val="18"/>
          <w:lang w:val="en-GB"/>
        </w:rPr>
      </w:pPr>
    </w:p>
    <w:p w14:paraId="57D49426" w14:textId="08EA5263" w:rsidR="00D540BB" w:rsidRPr="00D540BB" w:rsidRDefault="000331D4" w:rsidP="00653EDE">
      <w:pPr>
        <w:pStyle w:val="ListParagraph"/>
        <w:numPr>
          <w:ilvl w:val="0"/>
          <w:numId w:val="3"/>
        </w:numPr>
        <w:spacing w:afterLines="80" w:after="192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H. Choi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, et al. "Gain recovery dynamics and photon-driven tran</w:t>
      </w:r>
      <w:r w:rsidR="00E87011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sport in quantum cascade lasers,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" </w:t>
      </w:r>
      <w:r w:rsidR="004E5744">
        <w:rPr>
          <w:rFonts w:ascii="Times New Roman" w:eastAsia="Times New Roman" w:hAnsi="Times New Roman" w:cs="Times New Roman"/>
          <w:i/>
          <w:iCs/>
          <w:sz w:val="18"/>
          <w:szCs w:val="18"/>
          <w:lang w:val="en-GB" w:eastAsia="en-GB"/>
        </w:rPr>
        <w:t>Phys. Rev. Lett.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</w:t>
      </w:r>
      <w:r w:rsidR="00D540BB" w:rsidRP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100</w:t>
      </w:r>
      <w:r w:rsidR="00D540BB" w:rsidRPr="00D540BB">
        <w:rPr>
          <w:rFonts w:ascii="Times New Roman" w:eastAsia="Times New Roman" w:hAnsi="Times New Roman" w:cs="Times New Roman"/>
          <w:b/>
          <w:sz w:val="18"/>
          <w:szCs w:val="18"/>
          <w:lang w:val="en-GB" w:eastAsia="en-GB"/>
        </w:rPr>
        <w:t xml:space="preserve">, 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167401 (2008).</w:t>
      </w:r>
    </w:p>
    <w:p w14:paraId="78D448B1" w14:textId="45109DFB" w:rsidR="00D540BB" w:rsidRDefault="000331D4" w:rsidP="00653EDE">
      <w:pPr>
        <w:pStyle w:val="ListParagraph"/>
        <w:numPr>
          <w:ilvl w:val="0"/>
          <w:numId w:val="3"/>
        </w:numPr>
        <w:spacing w:afterLines="80" w:after="192"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B. David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, et al. "Gain recovery time in a terahertz quantum cascade laser</w:t>
      </w:r>
      <w:r w:rsid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,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" </w:t>
      </w:r>
      <w:r w:rsidR="00D540BB" w:rsidRPr="00D540BB">
        <w:rPr>
          <w:rFonts w:ascii="Times New Roman" w:eastAsia="Times New Roman" w:hAnsi="Times New Roman" w:cs="Times New Roman"/>
          <w:i/>
          <w:iCs/>
          <w:sz w:val="18"/>
          <w:szCs w:val="18"/>
          <w:lang w:val="en-GB" w:eastAsia="en-GB"/>
        </w:rPr>
        <w:t xml:space="preserve">Appl. Phys. Lett. </w:t>
      </w:r>
      <w:r w:rsidR="00D540BB" w:rsidRP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108</w:t>
      </w:r>
      <w:r w:rsidR="00D540BB" w:rsidRPr="00D540BB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, 081104 (2016).</w:t>
      </w:r>
    </w:p>
    <w:p w14:paraId="4E753EBF" w14:textId="77777777" w:rsidR="00D540BB" w:rsidRPr="00D540BB" w:rsidRDefault="00D540BB" w:rsidP="00653EDE">
      <w:pPr>
        <w:pStyle w:val="ListParagraph"/>
        <w:numPr>
          <w:ilvl w:val="0"/>
          <w:numId w:val="3"/>
        </w:numPr>
        <w:spacing w:afterLines="80" w:after="192"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  <w:lang w:val="en-GB" w:eastAsia="en-GB"/>
        </w:rPr>
      </w:pP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 xml:space="preserve">R. P. Green, et al. "Gain recovery dynamics of a terahertz quantum cascade laser," </w:t>
      </w:r>
      <w:r w:rsidRPr="00D540BB">
        <w:rPr>
          <w:rFonts w:ascii="Times New Roman" w:hAnsi="Times New Roman" w:cs="Times New Roman"/>
          <w:i/>
          <w:iCs/>
          <w:sz w:val="18"/>
          <w:szCs w:val="18"/>
          <w:lang w:val="en-GB" w:eastAsia="en-GB"/>
        </w:rPr>
        <w:t>Phys. Rev. B</w:t>
      </w: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 xml:space="preserve"> </w:t>
      </w:r>
      <w:r w:rsidRPr="004E5744">
        <w:rPr>
          <w:rFonts w:ascii="Times New Roman" w:hAnsi="Times New Roman" w:cs="Times New Roman"/>
          <w:sz w:val="18"/>
          <w:szCs w:val="18"/>
          <w:lang w:val="en-GB" w:eastAsia="en-GB"/>
        </w:rPr>
        <w:t>80</w:t>
      </w: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>, 075303 (2009).</w:t>
      </w:r>
    </w:p>
    <w:p w14:paraId="51D65359" w14:textId="3BEEE5F0" w:rsidR="00D540BB" w:rsidRPr="00D540BB" w:rsidRDefault="00D540BB" w:rsidP="00653EDE">
      <w:pPr>
        <w:pStyle w:val="ListParagraph"/>
        <w:numPr>
          <w:ilvl w:val="0"/>
          <w:numId w:val="3"/>
        </w:numPr>
        <w:spacing w:afterLines="80" w:after="192"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  <w:lang w:val="en-GB" w:eastAsia="en-GB"/>
        </w:rPr>
      </w:pP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 xml:space="preserve">R. Paiella, et al. "Self-mode-locking of quantum cascade lasers with giant ultrafast optical nonlinearities," </w:t>
      </w:r>
      <w:r w:rsidRPr="00D540BB">
        <w:rPr>
          <w:rFonts w:ascii="Times New Roman" w:hAnsi="Times New Roman" w:cs="Times New Roman"/>
          <w:i/>
          <w:iCs/>
          <w:sz w:val="18"/>
          <w:szCs w:val="18"/>
          <w:lang w:val="en-GB" w:eastAsia="en-GB"/>
        </w:rPr>
        <w:t>Science</w:t>
      </w: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 xml:space="preserve"> </w:t>
      </w:r>
      <w:r w:rsidRPr="004E5744">
        <w:rPr>
          <w:rFonts w:ascii="Times New Roman" w:hAnsi="Times New Roman" w:cs="Times New Roman"/>
          <w:sz w:val="18"/>
          <w:szCs w:val="18"/>
          <w:lang w:val="en-GB" w:eastAsia="en-GB"/>
        </w:rPr>
        <w:t>290</w:t>
      </w: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>, 1739 (2000).</w:t>
      </w:r>
    </w:p>
    <w:p w14:paraId="69138D75" w14:textId="4E2F3E2F" w:rsidR="00D540BB" w:rsidRDefault="00D540BB" w:rsidP="00653EDE">
      <w:pPr>
        <w:pStyle w:val="ListParagraph"/>
        <w:numPr>
          <w:ilvl w:val="0"/>
          <w:numId w:val="3"/>
        </w:numPr>
        <w:spacing w:afterLines="80" w:after="192" w:line="240" w:lineRule="auto"/>
        <w:ind w:left="567" w:hanging="567"/>
        <w:jc w:val="both"/>
        <w:rPr>
          <w:rFonts w:ascii="Times New Roman" w:hAnsi="Times New Roman" w:cs="Times New Roman"/>
          <w:sz w:val="18"/>
          <w:szCs w:val="18"/>
          <w:lang w:val="en-GB" w:eastAsia="en-GB"/>
        </w:rPr>
      </w:pPr>
      <w:r w:rsidRPr="00D540BB">
        <w:rPr>
          <w:rFonts w:ascii="Times New Roman" w:hAnsi="Times New Roman" w:cs="Times New Roman"/>
          <w:sz w:val="18"/>
          <w:szCs w:val="18"/>
          <w:lang w:val="en-GB"/>
        </w:rPr>
        <w:t>C. Menyuk and M. Talkuder,</w:t>
      </w:r>
      <w:r w:rsidRPr="00D540BB">
        <w:rPr>
          <w:rFonts w:ascii="Times New Roman" w:hAnsi="Times New Roman" w:cs="Times New Roman"/>
          <w:sz w:val="18"/>
          <w:szCs w:val="18"/>
          <w:lang w:val="en-GB" w:eastAsia="en-GB"/>
        </w:rPr>
        <w:t xml:space="preserve"> </w:t>
      </w:r>
      <w:r w:rsidRPr="00D540BB">
        <w:rPr>
          <w:rFonts w:ascii="Times New Roman" w:hAnsi="Times New Roman" w:cs="Times New Roman"/>
          <w:sz w:val="18"/>
          <w:szCs w:val="18"/>
          <w:lang w:val="en-GB"/>
        </w:rPr>
        <w:t xml:space="preserve">"Self-induced transparency modelocking of quantum cascade lasers," </w:t>
      </w:r>
      <w:r w:rsidRPr="00D540BB">
        <w:rPr>
          <w:rFonts w:ascii="Times New Roman" w:hAnsi="Times New Roman" w:cs="Times New Roman"/>
          <w:i/>
          <w:iCs/>
          <w:sz w:val="18"/>
          <w:szCs w:val="18"/>
          <w:lang w:val="en-GB"/>
        </w:rPr>
        <w:t xml:space="preserve">Phys. Rev. Lett. </w:t>
      </w:r>
      <w:r w:rsidRPr="004E5744">
        <w:rPr>
          <w:rFonts w:ascii="Times New Roman" w:hAnsi="Times New Roman" w:cs="Times New Roman"/>
          <w:sz w:val="18"/>
          <w:szCs w:val="18"/>
          <w:lang w:val="en-GB"/>
        </w:rPr>
        <w:t>102</w:t>
      </w:r>
      <w:r w:rsidRPr="00D540BB">
        <w:rPr>
          <w:rFonts w:ascii="Times New Roman" w:hAnsi="Times New Roman" w:cs="Times New Roman"/>
          <w:sz w:val="18"/>
          <w:szCs w:val="18"/>
          <w:lang w:val="en-GB"/>
        </w:rPr>
        <w:t>,</w:t>
      </w:r>
      <w:r w:rsidRPr="00D540BB">
        <w:rPr>
          <w:rFonts w:ascii="Times New Roman" w:hAnsi="Times New Roman" w:cs="Times New Roman"/>
          <w:b/>
          <w:sz w:val="18"/>
          <w:szCs w:val="18"/>
          <w:lang w:val="en-GB"/>
        </w:rPr>
        <w:t xml:space="preserve"> </w:t>
      </w:r>
      <w:r w:rsidRPr="00D540BB">
        <w:rPr>
          <w:rFonts w:ascii="Times New Roman" w:hAnsi="Times New Roman" w:cs="Times New Roman"/>
          <w:sz w:val="18"/>
          <w:szCs w:val="18"/>
          <w:lang w:val="en-GB"/>
        </w:rPr>
        <w:t>023903</w:t>
      </w:r>
      <w:r w:rsidRPr="00D540BB">
        <w:rPr>
          <w:rFonts w:ascii="Times New Roman" w:hAnsi="Times New Roman" w:cs="Times New Roman"/>
          <w:b/>
          <w:sz w:val="18"/>
          <w:szCs w:val="18"/>
          <w:lang w:val="en-GB"/>
        </w:rPr>
        <w:t xml:space="preserve"> </w:t>
      </w:r>
      <w:r w:rsidRPr="00D540BB">
        <w:rPr>
          <w:rFonts w:ascii="Times New Roman" w:hAnsi="Times New Roman" w:cs="Times New Roman"/>
          <w:sz w:val="18"/>
          <w:szCs w:val="18"/>
          <w:lang w:val="en-GB"/>
        </w:rPr>
        <w:t>(2009).</w:t>
      </w:r>
    </w:p>
    <w:p w14:paraId="532D0261" w14:textId="44C62E69" w:rsidR="004E5744" w:rsidRDefault="000331D4" w:rsidP="00653EDE">
      <w:pPr>
        <w:pStyle w:val="ListParagraph"/>
        <w:numPr>
          <w:ilvl w:val="0"/>
          <w:numId w:val="3"/>
        </w:num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G. Fasching,</w:t>
      </w:r>
      <w:r w:rsidR="004E5744" w:rsidRP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et al. "Subwavelength microdisk and microring t</w:t>
      </w:r>
      <w:r w:rsid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erahertz quantum-cascade lasers,</w:t>
      </w:r>
      <w:r w:rsidR="004E5744" w:rsidRP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" </w:t>
      </w:r>
      <w:r w:rsidR="004E5744" w:rsidRPr="004E5744">
        <w:rPr>
          <w:rFonts w:ascii="Times New Roman" w:eastAsia="Times New Roman" w:hAnsi="Times New Roman" w:cs="Times New Roman"/>
          <w:i/>
          <w:iCs/>
          <w:sz w:val="18"/>
          <w:szCs w:val="18"/>
          <w:lang w:val="en-GB" w:eastAsia="en-GB"/>
        </w:rPr>
        <w:t>IEEE J. Quant. Electron.</w:t>
      </w:r>
      <w:r w:rsidR="009034B5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43, 687</w:t>
      </w:r>
      <w:r w:rsidR="004E5744" w:rsidRPr="004E5744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(2007).</w:t>
      </w:r>
    </w:p>
    <w:p w14:paraId="7246CE8D" w14:textId="57031488" w:rsidR="00312A54" w:rsidRPr="001E3BAD" w:rsidRDefault="00312A54" w:rsidP="00312A54">
      <w:pPr>
        <w:pStyle w:val="ListParagraph"/>
        <w:numPr>
          <w:ilvl w:val="0"/>
          <w:numId w:val="3"/>
        </w:num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</w:pPr>
      <w:r w:rsidRPr="001E3BAD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P. Tzenov, et al. "Time domain modeling of terahertz quantum cascade lasers for frequency comb generation," </w:t>
      </w:r>
      <w:r w:rsidRPr="001E3BAD">
        <w:rPr>
          <w:rFonts w:ascii="Times New Roman" w:eastAsia="Times New Roman" w:hAnsi="Times New Roman" w:cs="Times New Roman"/>
          <w:i/>
          <w:iCs/>
          <w:sz w:val="18"/>
          <w:szCs w:val="18"/>
          <w:lang w:val="en-GB" w:eastAsia="en-GB"/>
        </w:rPr>
        <w:t>Opt. Express</w:t>
      </w:r>
      <w:r w:rsidRPr="001E3BAD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24</w:t>
      </w:r>
      <w:r w:rsidR="00AA5243" w:rsidRPr="001E3BAD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, </w:t>
      </w:r>
      <w:r w:rsidR="00AA5243" w:rsidRPr="001E3BAD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23232</w:t>
      </w:r>
      <w:r w:rsidRPr="001E3BAD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 xml:space="preserve"> (2016)</w:t>
      </w:r>
      <w:r w:rsidR="00AA5243" w:rsidRPr="001E3BAD"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  <w:t>.</w:t>
      </w:r>
    </w:p>
    <w:p w14:paraId="0E2E19AE" w14:textId="77777777" w:rsidR="00312A54" w:rsidRPr="004E5744" w:rsidRDefault="00312A54" w:rsidP="00312A54">
      <w:pPr>
        <w:pStyle w:val="ListParagraph"/>
        <w:spacing w:line="240" w:lineRule="auto"/>
        <w:ind w:left="567"/>
        <w:jc w:val="both"/>
        <w:rPr>
          <w:rFonts w:ascii="Times New Roman" w:eastAsia="Times New Roman" w:hAnsi="Times New Roman" w:cs="Times New Roman"/>
          <w:sz w:val="18"/>
          <w:szCs w:val="18"/>
          <w:lang w:val="en-GB" w:eastAsia="en-GB"/>
        </w:rPr>
      </w:pPr>
    </w:p>
    <w:p w14:paraId="1F51BE86" w14:textId="77777777" w:rsidR="004E5744" w:rsidRPr="00D540BB" w:rsidRDefault="004E5744" w:rsidP="00653EDE">
      <w:pPr>
        <w:pStyle w:val="ListParagraph"/>
        <w:spacing w:afterLines="80" w:after="192" w:line="240" w:lineRule="auto"/>
        <w:ind w:left="567"/>
        <w:jc w:val="both"/>
        <w:rPr>
          <w:rFonts w:ascii="Times New Roman" w:hAnsi="Times New Roman" w:cs="Times New Roman"/>
          <w:sz w:val="18"/>
          <w:szCs w:val="18"/>
          <w:lang w:val="en-GB" w:eastAsia="en-GB"/>
        </w:rPr>
      </w:pPr>
    </w:p>
    <w:p w14:paraId="3C71289E" w14:textId="38BA405F" w:rsidR="00D540BB" w:rsidRPr="00D540BB" w:rsidRDefault="00D540BB" w:rsidP="00653EDE">
      <w:pPr>
        <w:pStyle w:val="ListParagraph"/>
        <w:autoSpaceDE w:val="0"/>
        <w:autoSpaceDN w:val="0"/>
        <w:adjustRightInd w:val="0"/>
        <w:spacing w:after="80" w:line="240" w:lineRule="auto"/>
        <w:ind w:left="567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2AF25EF" w14:textId="7774A181" w:rsidR="00061D7E" w:rsidRPr="00D77DD0" w:rsidRDefault="00061D7E" w:rsidP="00D77DD0">
      <w:pPr>
        <w:autoSpaceDE w:val="0"/>
        <w:autoSpaceDN w:val="0"/>
        <w:adjustRightInd w:val="0"/>
        <w:spacing w:after="80" w:line="240" w:lineRule="auto"/>
        <w:ind w:left="567" w:hanging="567"/>
        <w:rPr>
          <w:rFonts w:ascii="Times New Roman" w:hAnsi="Times New Roman" w:cs="Times New Roman"/>
          <w:sz w:val="18"/>
          <w:lang w:val="en-GB"/>
        </w:rPr>
      </w:pPr>
      <w:r w:rsidRPr="00D77DD0">
        <w:rPr>
          <w:rFonts w:ascii="Times New Roman" w:hAnsi="Times New Roman" w:cs="Times New Roman"/>
          <w:sz w:val="18"/>
          <w:lang w:val="en-GB"/>
        </w:rPr>
        <w:t xml:space="preserve"> </w:t>
      </w:r>
    </w:p>
    <w:sectPr w:rsidR="00061D7E" w:rsidRPr="00D77DD0" w:rsidSect="00047EB0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D1BC6" w14:textId="77777777" w:rsidR="008338BD" w:rsidRDefault="008338BD" w:rsidP="00B01ECA">
      <w:pPr>
        <w:spacing w:line="240" w:lineRule="auto"/>
      </w:pPr>
      <w:r>
        <w:separator/>
      </w:r>
    </w:p>
  </w:endnote>
  <w:endnote w:type="continuationSeparator" w:id="0">
    <w:p w14:paraId="045FBC26" w14:textId="77777777" w:rsidR="008338BD" w:rsidRDefault="008338BD" w:rsidP="00B01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56ADC" w14:textId="77777777" w:rsidR="008338BD" w:rsidRDefault="008338BD" w:rsidP="00B01ECA">
      <w:pPr>
        <w:spacing w:line="240" w:lineRule="auto"/>
      </w:pPr>
      <w:r>
        <w:separator/>
      </w:r>
    </w:p>
  </w:footnote>
  <w:footnote w:type="continuationSeparator" w:id="0">
    <w:p w14:paraId="08415B12" w14:textId="77777777" w:rsidR="008338BD" w:rsidRDefault="008338BD" w:rsidP="00B01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E2EBA"/>
    <w:multiLevelType w:val="hybridMultilevel"/>
    <w:tmpl w:val="7E5C21FA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459FF"/>
    <w:multiLevelType w:val="hybridMultilevel"/>
    <w:tmpl w:val="8DA6A064"/>
    <w:lvl w:ilvl="0" w:tplc="2C60D6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6DBF"/>
    <w:multiLevelType w:val="hybridMultilevel"/>
    <w:tmpl w:val="C09462E8"/>
    <w:lvl w:ilvl="0" w:tplc="B3F8A0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54"/>
    <w:rsid w:val="0000607B"/>
    <w:rsid w:val="0001453E"/>
    <w:rsid w:val="00024E16"/>
    <w:rsid w:val="00025249"/>
    <w:rsid w:val="000331D4"/>
    <w:rsid w:val="000407B9"/>
    <w:rsid w:val="00043B9A"/>
    <w:rsid w:val="00047C3E"/>
    <w:rsid w:val="00047EB0"/>
    <w:rsid w:val="00061D7E"/>
    <w:rsid w:val="00070440"/>
    <w:rsid w:val="00083EED"/>
    <w:rsid w:val="000A1687"/>
    <w:rsid w:val="000A5F43"/>
    <w:rsid w:val="000B446D"/>
    <w:rsid w:val="000C54C0"/>
    <w:rsid w:val="00100FD9"/>
    <w:rsid w:val="00106BBD"/>
    <w:rsid w:val="00191117"/>
    <w:rsid w:val="001A4A54"/>
    <w:rsid w:val="001B347A"/>
    <w:rsid w:val="001D2D94"/>
    <w:rsid w:val="001D477E"/>
    <w:rsid w:val="001E3BAD"/>
    <w:rsid w:val="001F7A58"/>
    <w:rsid w:val="0020037A"/>
    <w:rsid w:val="00211429"/>
    <w:rsid w:val="002307B6"/>
    <w:rsid w:val="00234CFF"/>
    <w:rsid w:val="00242500"/>
    <w:rsid w:val="00263663"/>
    <w:rsid w:val="002B7849"/>
    <w:rsid w:val="002D47A1"/>
    <w:rsid w:val="002D627E"/>
    <w:rsid w:val="002F2A2F"/>
    <w:rsid w:val="00312A54"/>
    <w:rsid w:val="00350C9D"/>
    <w:rsid w:val="003539DE"/>
    <w:rsid w:val="003579C5"/>
    <w:rsid w:val="003C5B4C"/>
    <w:rsid w:val="003D4252"/>
    <w:rsid w:val="003E7388"/>
    <w:rsid w:val="003F5354"/>
    <w:rsid w:val="003F7CF3"/>
    <w:rsid w:val="004024D5"/>
    <w:rsid w:val="0040640D"/>
    <w:rsid w:val="0042524E"/>
    <w:rsid w:val="0043596F"/>
    <w:rsid w:val="0044044B"/>
    <w:rsid w:val="00453EBC"/>
    <w:rsid w:val="004A0861"/>
    <w:rsid w:val="004A4D49"/>
    <w:rsid w:val="004E5744"/>
    <w:rsid w:val="00502D7C"/>
    <w:rsid w:val="00516DFD"/>
    <w:rsid w:val="00537449"/>
    <w:rsid w:val="00537D8E"/>
    <w:rsid w:val="00540E7F"/>
    <w:rsid w:val="00543932"/>
    <w:rsid w:val="00570E62"/>
    <w:rsid w:val="005900CB"/>
    <w:rsid w:val="0059414D"/>
    <w:rsid w:val="00596C16"/>
    <w:rsid w:val="005A63F4"/>
    <w:rsid w:val="005D0185"/>
    <w:rsid w:val="005F1472"/>
    <w:rsid w:val="005F78F1"/>
    <w:rsid w:val="00617820"/>
    <w:rsid w:val="00641E2D"/>
    <w:rsid w:val="00653EDE"/>
    <w:rsid w:val="00664CD4"/>
    <w:rsid w:val="00687C36"/>
    <w:rsid w:val="00694EF6"/>
    <w:rsid w:val="00711E1C"/>
    <w:rsid w:val="007157AA"/>
    <w:rsid w:val="00737106"/>
    <w:rsid w:val="0074150F"/>
    <w:rsid w:val="00766F39"/>
    <w:rsid w:val="0078147D"/>
    <w:rsid w:val="007845DC"/>
    <w:rsid w:val="007A0A21"/>
    <w:rsid w:val="007B36E8"/>
    <w:rsid w:val="007B5179"/>
    <w:rsid w:val="007B60E5"/>
    <w:rsid w:val="007C48C9"/>
    <w:rsid w:val="007D7193"/>
    <w:rsid w:val="00800909"/>
    <w:rsid w:val="0082075F"/>
    <w:rsid w:val="008338BD"/>
    <w:rsid w:val="00837CC3"/>
    <w:rsid w:val="00856F08"/>
    <w:rsid w:val="00863533"/>
    <w:rsid w:val="008B7511"/>
    <w:rsid w:val="008C2E00"/>
    <w:rsid w:val="009034B5"/>
    <w:rsid w:val="00906941"/>
    <w:rsid w:val="0091017D"/>
    <w:rsid w:val="00945DDF"/>
    <w:rsid w:val="00950CE3"/>
    <w:rsid w:val="00951A96"/>
    <w:rsid w:val="009845B1"/>
    <w:rsid w:val="00A52C52"/>
    <w:rsid w:val="00A60579"/>
    <w:rsid w:val="00A7636D"/>
    <w:rsid w:val="00AA056E"/>
    <w:rsid w:val="00AA1ABA"/>
    <w:rsid w:val="00AA3541"/>
    <w:rsid w:val="00AA5243"/>
    <w:rsid w:val="00AE7499"/>
    <w:rsid w:val="00AF402D"/>
    <w:rsid w:val="00AF58A1"/>
    <w:rsid w:val="00AF6DE1"/>
    <w:rsid w:val="00B01ECA"/>
    <w:rsid w:val="00B06088"/>
    <w:rsid w:val="00B2566B"/>
    <w:rsid w:val="00B63790"/>
    <w:rsid w:val="00B76B55"/>
    <w:rsid w:val="00B76EC3"/>
    <w:rsid w:val="00BB213A"/>
    <w:rsid w:val="00BB6D7F"/>
    <w:rsid w:val="00BC7BD4"/>
    <w:rsid w:val="00BF7A75"/>
    <w:rsid w:val="00C117F1"/>
    <w:rsid w:val="00C179A2"/>
    <w:rsid w:val="00C21C5E"/>
    <w:rsid w:val="00C619B1"/>
    <w:rsid w:val="00C854E0"/>
    <w:rsid w:val="00C90865"/>
    <w:rsid w:val="00CA6791"/>
    <w:rsid w:val="00CB7286"/>
    <w:rsid w:val="00CD7041"/>
    <w:rsid w:val="00CE4F59"/>
    <w:rsid w:val="00D540BB"/>
    <w:rsid w:val="00D54230"/>
    <w:rsid w:val="00D6314A"/>
    <w:rsid w:val="00D77DD0"/>
    <w:rsid w:val="00D8647E"/>
    <w:rsid w:val="00DB281C"/>
    <w:rsid w:val="00DC0162"/>
    <w:rsid w:val="00DD1187"/>
    <w:rsid w:val="00DE3F2A"/>
    <w:rsid w:val="00DF19E3"/>
    <w:rsid w:val="00DF5FE2"/>
    <w:rsid w:val="00E1358F"/>
    <w:rsid w:val="00E36447"/>
    <w:rsid w:val="00E8370C"/>
    <w:rsid w:val="00E87011"/>
    <w:rsid w:val="00E9461F"/>
    <w:rsid w:val="00EC1883"/>
    <w:rsid w:val="00ED2B0C"/>
    <w:rsid w:val="00F01E99"/>
    <w:rsid w:val="00F3335B"/>
    <w:rsid w:val="00F571FE"/>
    <w:rsid w:val="00F7243C"/>
    <w:rsid w:val="00F7286A"/>
    <w:rsid w:val="00FA62FB"/>
    <w:rsid w:val="00FC2823"/>
    <w:rsid w:val="00FC43D1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EB49"/>
  <w15:docId w15:val="{8F8160E0-FA0B-4F58-A544-8E9AC451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2"/>
        <w:lang w:val="de-AT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070440"/>
    <w:pPr>
      <w:tabs>
        <w:tab w:val="left" w:pos="360"/>
      </w:tabs>
      <w:spacing w:before="60"/>
      <w:ind w:left="357"/>
    </w:pPr>
    <w:rPr>
      <w:rFonts w:ascii="Times" w:eastAsia="Times New Roman" w:hAnsi="Times" w:cs="Times New Roman"/>
      <w:szCs w:val="20"/>
      <w:lang w:val="en-GB"/>
    </w:rPr>
  </w:style>
  <w:style w:type="character" w:customStyle="1" w:styleId="Affiliation">
    <w:name w:val="Affiliation"/>
    <w:rsid w:val="0007044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F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16D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ences">
    <w:name w:val="References"/>
    <w:basedOn w:val="Normal"/>
    <w:rsid w:val="00C854E0"/>
    <w:pPr>
      <w:ind w:left="720" w:hanging="720"/>
    </w:pPr>
    <w:rPr>
      <w:rFonts w:ascii="Times" w:eastAsia="Times New Roman" w:hAnsi="Times" w:cs="Times New Roman"/>
      <w:szCs w:val="20"/>
      <w:lang w:val="en-GB"/>
    </w:rPr>
  </w:style>
  <w:style w:type="paragraph" w:customStyle="1" w:styleId="Figurecaption">
    <w:name w:val="Figure caption"/>
    <w:basedOn w:val="Normal"/>
    <w:next w:val="Normal"/>
    <w:rsid w:val="00C854E0"/>
    <w:pPr>
      <w:tabs>
        <w:tab w:val="left" w:pos="360"/>
      </w:tabs>
      <w:spacing w:before="240" w:after="120"/>
      <w:ind w:left="1134" w:right="1134"/>
      <w:jc w:val="both"/>
    </w:pPr>
    <w:rPr>
      <w:rFonts w:ascii="Times" w:eastAsia="Times New Roman" w:hAnsi="Times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25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02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71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n-GB" w:eastAsia="en-GB"/>
    </w:rPr>
  </w:style>
  <w:style w:type="table" w:styleId="TableGrid">
    <w:name w:val="Table Grid"/>
    <w:basedOn w:val="TableNormal"/>
    <w:uiPriority w:val="59"/>
    <w:rsid w:val="002114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E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CA"/>
  </w:style>
  <w:style w:type="paragraph" w:styleId="Footer">
    <w:name w:val="footer"/>
    <w:basedOn w:val="Normal"/>
    <w:link w:val="FooterChar"/>
    <w:uiPriority w:val="99"/>
    <w:unhideWhenUsed/>
    <w:rsid w:val="00B01E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CA"/>
  </w:style>
  <w:style w:type="paragraph" w:customStyle="1" w:styleId="Default">
    <w:name w:val="Default"/>
    <w:rsid w:val="00D540BB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Cs w:val="24"/>
      <w:lang w:val="en-GB"/>
    </w:rPr>
  </w:style>
  <w:style w:type="paragraph" w:styleId="Title">
    <w:name w:val="Title"/>
    <w:basedOn w:val="Normal"/>
    <w:link w:val="TitleChar"/>
    <w:qFormat/>
    <w:rsid w:val="0000607B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character" w:customStyle="1" w:styleId="TitleChar">
    <w:name w:val="Title Char"/>
    <w:basedOn w:val="DefaultParagraphFont"/>
    <w:link w:val="Title"/>
    <w:rsid w:val="0000607B"/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character" w:customStyle="1" w:styleId="xbe">
    <w:name w:val="_xbe"/>
    <w:rsid w:val="0000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45BA3-A56D-43F6-9E53-A245EB9E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unger</dc:creator>
  <cp:lastModifiedBy>petz</cp:lastModifiedBy>
  <cp:revision>68</cp:revision>
  <cp:lastPrinted>2017-03-31T13:44:00Z</cp:lastPrinted>
  <dcterms:created xsi:type="dcterms:W3CDTF">2017-03-30T14:09:00Z</dcterms:created>
  <dcterms:modified xsi:type="dcterms:W3CDTF">2017-03-31T14:42:00Z</dcterms:modified>
</cp:coreProperties>
</file>