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3F8" w:rsidRDefault="003003F8" w:rsidP="003003F8">
      <w:pPr>
        <w:pStyle w:val="ChapterNum"/>
        <w:rPr>
          <w:i/>
        </w:rPr>
      </w:pPr>
      <w:bookmarkStart w:id="0" w:name="_Toc403982562"/>
      <w:r w:rsidRPr="007D4856">
        <w:t>EFFECT</w:t>
      </w:r>
      <w:r w:rsidR="00D1699E">
        <w:t>S</w:t>
      </w:r>
      <w:r w:rsidRPr="007D4856">
        <w:t xml:space="preserve"> OF GUT </w:t>
      </w:r>
      <w:r w:rsidR="002C0EDE">
        <w:t>CONTENT</w:t>
      </w:r>
      <w:r w:rsidR="002C0EDE" w:rsidRPr="007D4856">
        <w:t xml:space="preserve"> </w:t>
      </w:r>
      <w:r w:rsidRPr="007D4856">
        <w:t>ON δ</w:t>
      </w:r>
      <w:r w:rsidRPr="00DE4108">
        <w:rPr>
          <w:vertAlign w:val="superscript"/>
        </w:rPr>
        <w:t>15</w:t>
      </w:r>
      <w:r w:rsidRPr="007D4856">
        <w:t>N, δ</w:t>
      </w:r>
      <w:r w:rsidRPr="00DE4108">
        <w:rPr>
          <w:vertAlign w:val="superscript"/>
        </w:rPr>
        <w:t>13</w:t>
      </w:r>
      <w:r w:rsidRPr="007D4856">
        <w:t>C AND C</w:t>
      </w:r>
      <w:proofErr w:type="gramStart"/>
      <w:r w:rsidRPr="007D4856">
        <w:t>:N</w:t>
      </w:r>
      <w:proofErr w:type="gramEnd"/>
      <w:r w:rsidRPr="007D4856">
        <w:t xml:space="preserve"> OF </w:t>
      </w:r>
      <w:r w:rsidR="00D1699E">
        <w:t xml:space="preserve">THE MACROINVERTEBRATE </w:t>
      </w:r>
      <w:r w:rsidRPr="00954AF3">
        <w:rPr>
          <w:i/>
        </w:rPr>
        <w:t>MYSIS DILUVIANA</w:t>
      </w:r>
      <w:bookmarkEnd w:id="0"/>
    </w:p>
    <w:p w:rsidR="003003F8" w:rsidRPr="00E513C7" w:rsidRDefault="003003F8" w:rsidP="003003F8">
      <w:pPr>
        <w:spacing w:line="480" w:lineRule="auto"/>
        <w:jc w:val="center"/>
        <w:rPr>
          <w:vertAlign w:val="superscript"/>
        </w:rPr>
      </w:pPr>
      <w:r w:rsidRPr="00E513C7">
        <w:t xml:space="preserve">Peter T. </w:t>
      </w:r>
      <w:proofErr w:type="spellStart"/>
      <w:r w:rsidRPr="00E513C7">
        <w:t>Euclide</w:t>
      </w:r>
      <w:proofErr w:type="spellEnd"/>
      <w:r w:rsidRPr="00E513C7">
        <w:t xml:space="preserve"> </w:t>
      </w:r>
      <w:r>
        <w:t>and</w:t>
      </w:r>
      <w:r w:rsidRPr="00E513C7">
        <w:t xml:space="preserve"> Jason D. Stockwell</w:t>
      </w:r>
      <w:r w:rsidRPr="00E513C7">
        <w:rPr>
          <w:vertAlign w:val="superscript"/>
        </w:rPr>
        <w:t>*</w:t>
      </w:r>
    </w:p>
    <w:p w:rsidR="003003F8" w:rsidRPr="00E513C7" w:rsidRDefault="003003F8" w:rsidP="003003F8">
      <w:pPr>
        <w:spacing w:line="480" w:lineRule="auto"/>
        <w:jc w:val="center"/>
      </w:pPr>
    </w:p>
    <w:p w:rsidR="003003F8" w:rsidRPr="00E513C7" w:rsidRDefault="003003F8" w:rsidP="003003F8">
      <w:pPr>
        <w:spacing w:line="480" w:lineRule="auto"/>
      </w:pPr>
      <w:bookmarkStart w:id="1" w:name="_Toc403982563"/>
      <w:proofErr w:type="gramStart"/>
      <w:r w:rsidRPr="00E513C7">
        <w:t>University of Vermont, Rubenstein Ecosystem Science Laboratory, 3 College Street, Burlington, Vermont 05401.</w:t>
      </w:r>
      <w:proofErr w:type="gramEnd"/>
      <w:r w:rsidRPr="00E513C7">
        <w:t xml:space="preserve"> Phone: 802.859.3095</w:t>
      </w:r>
    </w:p>
    <w:p w:rsidR="003003F8" w:rsidRDefault="003003F8" w:rsidP="003003F8">
      <w:pPr>
        <w:spacing w:line="480" w:lineRule="auto"/>
      </w:pPr>
      <w:r w:rsidRPr="00BA559B">
        <w:rPr>
          <w:vertAlign w:val="superscript"/>
        </w:rPr>
        <w:t>*</w:t>
      </w:r>
      <w:r>
        <w:t xml:space="preserve">Corresponding author: </w:t>
      </w:r>
      <w:hyperlink r:id="rId8" w:history="1">
        <w:r w:rsidRPr="006C45AA">
          <w:rPr>
            <w:rStyle w:val="Hyperlink"/>
          </w:rPr>
          <w:t>jason.stockwell@uvm.edu</w:t>
        </w:r>
      </w:hyperlink>
    </w:p>
    <w:p w:rsidR="003003F8" w:rsidRDefault="003003F8" w:rsidP="003003F8">
      <w:pPr>
        <w:spacing w:line="480" w:lineRule="auto"/>
      </w:pPr>
    </w:p>
    <w:p w:rsidR="003003F8" w:rsidRDefault="003003F8" w:rsidP="003003F8">
      <w:pPr>
        <w:spacing w:line="480" w:lineRule="auto"/>
      </w:pPr>
      <w:r w:rsidRPr="000541D6">
        <w:rPr>
          <w:i/>
        </w:rPr>
        <w:t>Email Addresses:</w:t>
      </w:r>
      <w:r>
        <w:t xml:space="preserve"> </w:t>
      </w:r>
      <w:hyperlink r:id="rId9" w:history="1">
        <w:r w:rsidRPr="00F50BDD">
          <w:rPr>
            <w:rStyle w:val="Hyperlink"/>
          </w:rPr>
          <w:t>peter.euclide@gmail.com</w:t>
        </w:r>
      </w:hyperlink>
      <w:r>
        <w:t xml:space="preserve">  (P.T. </w:t>
      </w:r>
      <w:proofErr w:type="spellStart"/>
      <w:r>
        <w:t>Euclide</w:t>
      </w:r>
      <w:proofErr w:type="spellEnd"/>
      <w:r>
        <w:t>)</w:t>
      </w:r>
    </w:p>
    <w:p w:rsidR="003003F8" w:rsidRPr="002F7AE0" w:rsidRDefault="003003F8" w:rsidP="003003F8"/>
    <w:p w:rsidR="003003F8" w:rsidRPr="003C0E4B" w:rsidRDefault="003003F8" w:rsidP="002C0EDE">
      <w:pPr>
        <w:spacing w:line="480" w:lineRule="auto"/>
        <w:rPr>
          <w:b/>
        </w:rPr>
      </w:pPr>
      <w:r w:rsidRPr="003C0E4B">
        <w:rPr>
          <w:b/>
        </w:rPr>
        <w:t>Abstract:</w:t>
      </w:r>
    </w:p>
    <w:p w:rsidR="00751631" w:rsidRDefault="003003F8" w:rsidP="002C0EDE">
      <w:pPr>
        <w:spacing w:line="480" w:lineRule="auto"/>
      </w:pPr>
      <w:r>
        <w:t xml:space="preserve">Stable isotopes have become a </w:t>
      </w:r>
      <w:r w:rsidR="008528BA">
        <w:t xml:space="preserve">popular </w:t>
      </w:r>
      <w:r>
        <w:t xml:space="preserve">method for studying aquatic food webs. </w:t>
      </w:r>
      <w:r w:rsidR="00257E03">
        <w:t>L</w:t>
      </w:r>
      <w:r>
        <w:t xml:space="preserve">ack of laboratory studies and </w:t>
      </w:r>
      <w:r w:rsidR="00401BCF">
        <w:t>standardized</w:t>
      </w:r>
      <w:r>
        <w:t xml:space="preserve"> methods</w:t>
      </w:r>
      <w:r w:rsidR="00257E03">
        <w:t>, however, may</w:t>
      </w:r>
      <w:r>
        <w:t xml:space="preserve"> limit the application </w:t>
      </w:r>
      <w:r w:rsidR="00257E03">
        <w:t xml:space="preserve">and interpretation </w:t>
      </w:r>
      <w:r>
        <w:t>of stable isotope analysis. One</w:t>
      </w:r>
      <w:r w:rsidR="002C0EDE">
        <w:t xml:space="preserve"> procedure applied inconsistently</w:t>
      </w:r>
      <w:r w:rsidR="00401BCF">
        <w:t xml:space="preserve"> </w:t>
      </w:r>
      <w:r>
        <w:t xml:space="preserve">among </w:t>
      </w:r>
      <w:r w:rsidR="00401BCF">
        <w:t xml:space="preserve">stable isotope </w:t>
      </w:r>
      <w:r>
        <w:t xml:space="preserve">studies </w:t>
      </w:r>
      <w:r w:rsidR="00D1699E">
        <w:t xml:space="preserve">for whole body and bulk invertebrate samples </w:t>
      </w:r>
      <w:r>
        <w:t xml:space="preserve">is gut evacuation after capture. </w:t>
      </w:r>
      <w:r w:rsidR="00257E03">
        <w:t>W</w:t>
      </w:r>
      <w:r>
        <w:t>e evaluate</w:t>
      </w:r>
      <w:r w:rsidR="00257E03">
        <w:t>d</w:t>
      </w:r>
      <w:r>
        <w:t xml:space="preserve"> the importance of gut evacuation prior to </w:t>
      </w:r>
      <w:r w:rsidR="00401BCF">
        <w:t>stable isotope analysis</w:t>
      </w:r>
      <w:r>
        <w:t xml:space="preserve"> in</w:t>
      </w:r>
      <w:r w:rsidR="00257E03">
        <w:t xml:space="preserve"> the omnivorous macroinvertebrate</w:t>
      </w:r>
      <w:r>
        <w:t xml:space="preserve"> </w:t>
      </w:r>
      <w:r>
        <w:rPr>
          <w:i/>
        </w:rPr>
        <w:t xml:space="preserve">Mysis diluviana. Mysis </w:t>
      </w:r>
      <w:r w:rsidR="007D4DFE">
        <w:t xml:space="preserve">ranging from 9 to 20 mm </w:t>
      </w:r>
      <w:r>
        <w:t xml:space="preserve">were fed a diet of </w:t>
      </w:r>
      <w:proofErr w:type="spellStart"/>
      <w:r w:rsidRPr="003C0E4B">
        <w:rPr>
          <w:i/>
        </w:rPr>
        <w:t>Artemia</w:t>
      </w:r>
      <w:proofErr w:type="spellEnd"/>
      <w:r>
        <w:t xml:space="preserve"> for 58 day</w:t>
      </w:r>
      <w:r w:rsidR="00B23F4F">
        <w:t>s</w:t>
      </w:r>
      <w:r>
        <w:t xml:space="preserve"> in </w:t>
      </w:r>
      <w:r w:rsidR="00257E03">
        <w:t xml:space="preserve">the </w:t>
      </w:r>
      <w:r>
        <w:t>laboratory. Following this acclimation period</w:t>
      </w:r>
      <w:r w:rsidR="00257E03">
        <w:t>,</w:t>
      </w:r>
      <w:r>
        <w:t xml:space="preserve"> </w:t>
      </w:r>
      <w:r>
        <w:rPr>
          <w:i/>
        </w:rPr>
        <w:t>Mysis</w:t>
      </w:r>
      <w:r>
        <w:t xml:space="preserve"> with </w:t>
      </w:r>
      <w:r w:rsidR="00257E03">
        <w:t xml:space="preserve">empty guts, </w:t>
      </w:r>
      <w:r>
        <w:t xml:space="preserve">full guts of </w:t>
      </w:r>
      <w:proofErr w:type="spellStart"/>
      <w:r>
        <w:rPr>
          <w:i/>
        </w:rPr>
        <w:t>Artemia</w:t>
      </w:r>
      <w:proofErr w:type="spellEnd"/>
      <w:r>
        <w:t xml:space="preserve">, and </w:t>
      </w:r>
      <w:r w:rsidR="00690313">
        <w:t xml:space="preserve">full </w:t>
      </w:r>
      <w:r>
        <w:t xml:space="preserve">guts of green algae </w:t>
      </w:r>
      <w:r w:rsidR="00D1699E">
        <w:t>(</w:t>
      </w:r>
      <w:proofErr w:type="spellStart"/>
      <w:r w:rsidR="00D1699E" w:rsidRPr="007A5C32">
        <w:rPr>
          <w:i/>
          <w:shd w:val="clear" w:color="auto" w:fill="FFFFFF"/>
        </w:rPr>
        <w:t>Scenedesmus</w:t>
      </w:r>
      <w:proofErr w:type="spellEnd"/>
      <w:r w:rsidR="00D1699E" w:rsidRPr="007A5C32">
        <w:rPr>
          <w:i/>
          <w:shd w:val="clear" w:color="auto" w:fill="FFFFFF"/>
        </w:rPr>
        <w:t xml:space="preserve"> </w:t>
      </w:r>
      <w:proofErr w:type="spellStart"/>
      <w:r w:rsidR="00D1699E" w:rsidRPr="00CA4B91">
        <w:rPr>
          <w:i/>
          <w:shd w:val="clear" w:color="auto" w:fill="FFFFFF"/>
        </w:rPr>
        <w:t>obliquus</w:t>
      </w:r>
      <w:proofErr w:type="spellEnd"/>
      <w:r w:rsidR="00D1699E" w:rsidRPr="00A36AE0">
        <w:rPr>
          <w:shd w:val="clear" w:color="auto" w:fill="FFFFFF"/>
        </w:rPr>
        <w:t>)</w:t>
      </w:r>
      <w:r w:rsidR="00D1699E">
        <w:t xml:space="preserve"> </w:t>
      </w:r>
      <w:r>
        <w:t xml:space="preserve">were </w:t>
      </w:r>
      <w:r w:rsidR="00401BCF">
        <w:t>processed</w:t>
      </w:r>
      <w:r>
        <w:t xml:space="preserve"> for stable isotope analysis of δ</w:t>
      </w:r>
      <w:r w:rsidRPr="002C0EDE">
        <w:rPr>
          <w:vertAlign w:val="superscript"/>
        </w:rPr>
        <w:t>15</w:t>
      </w:r>
      <w:r>
        <w:t>N</w:t>
      </w:r>
      <w:r w:rsidRPr="007E5EEA">
        <w:t>, δ</w:t>
      </w:r>
      <w:r w:rsidRPr="007E5EEA">
        <w:rPr>
          <w:vertAlign w:val="superscript"/>
        </w:rPr>
        <w:t>13</w:t>
      </w:r>
      <w:r w:rsidRPr="007E5EEA">
        <w:t>C and C</w:t>
      </w:r>
      <w:proofErr w:type="gramStart"/>
      <w:r w:rsidRPr="007E5EEA">
        <w:t>:N</w:t>
      </w:r>
      <w:proofErr w:type="gramEnd"/>
      <w:r>
        <w:t xml:space="preserve">. We found no significant difference among gut content treatments for any element. We conclude that gut evacuation </w:t>
      </w:r>
      <w:r w:rsidR="00690313">
        <w:t xml:space="preserve">is </w:t>
      </w:r>
      <w:r>
        <w:t xml:space="preserve">an unnecessary step in </w:t>
      </w:r>
      <w:r w:rsidR="00690313">
        <w:t xml:space="preserve">stable isotope analysis </w:t>
      </w:r>
      <w:r>
        <w:t xml:space="preserve">of </w:t>
      </w:r>
      <w:r w:rsidRPr="006B71C3">
        <w:rPr>
          <w:i/>
        </w:rPr>
        <w:t>Mysis</w:t>
      </w:r>
      <w:r w:rsidR="007D4DFE">
        <w:t xml:space="preserve"> in the size range we investigated</w:t>
      </w:r>
      <w:r>
        <w:t xml:space="preserve">. </w:t>
      </w:r>
    </w:p>
    <w:p w:rsidR="003003F8" w:rsidRDefault="00751631" w:rsidP="002C0EDE">
      <w:pPr>
        <w:spacing w:line="480" w:lineRule="auto"/>
        <w:rPr>
          <w:b/>
        </w:rPr>
      </w:pPr>
      <w:r>
        <w:rPr>
          <w:b/>
        </w:rPr>
        <w:t xml:space="preserve">Keywords: </w:t>
      </w:r>
      <w:r>
        <w:t xml:space="preserve">gut evacuation, stable isotopes, </w:t>
      </w:r>
      <w:r w:rsidRPr="000A38E0">
        <w:rPr>
          <w:i/>
        </w:rPr>
        <w:t>Mysis diluviana</w:t>
      </w:r>
      <w:r>
        <w:rPr>
          <w:b/>
        </w:rPr>
        <w:t xml:space="preserve"> </w:t>
      </w:r>
      <w:r w:rsidR="003003F8">
        <w:rPr>
          <w:b/>
        </w:rPr>
        <w:br w:type="page"/>
      </w:r>
    </w:p>
    <w:p w:rsidR="003003F8" w:rsidRDefault="003003F8" w:rsidP="002C0EDE">
      <w:pPr>
        <w:spacing w:line="480" w:lineRule="auto"/>
        <w:rPr>
          <w:b/>
        </w:rPr>
      </w:pPr>
    </w:p>
    <w:p w:rsidR="003003F8" w:rsidRDefault="003003F8" w:rsidP="002C0EDE">
      <w:pPr>
        <w:pStyle w:val="ChapSub"/>
        <w:ind w:left="0"/>
        <w:jc w:val="left"/>
      </w:pPr>
      <w:r>
        <w:t>Introduction</w:t>
      </w:r>
      <w:bookmarkEnd w:id="1"/>
    </w:p>
    <w:p w:rsidR="003003F8" w:rsidRDefault="000270E8" w:rsidP="002C0EDE">
      <w:pPr>
        <w:spacing w:line="480" w:lineRule="auto"/>
        <w:ind w:firstLine="360"/>
      </w:pPr>
      <w:r>
        <w:t xml:space="preserve">Over the past </w:t>
      </w:r>
      <w:r w:rsidR="00B23F4F">
        <w:t xml:space="preserve">30 </w:t>
      </w:r>
      <w:r>
        <w:t>years, s</w:t>
      </w:r>
      <w:r w:rsidR="003003F8">
        <w:t xml:space="preserve">table isotope analysis (SIA) has </w:t>
      </w:r>
      <w:r>
        <w:t xml:space="preserve">been </w:t>
      </w:r>
      <w:r w:rsidR="006D68B1">
        <w:t xml:space="preserve">applied </w:t>
      </w:r>
      <w:r>
        <w:t xml:space="preserve">increasingly by </w:t>
      </w:r>
      <w:r w:rsidR="003003F8">
        <w:t xml:space="preserve">ecologists as a tool to study food web dynamics </w:t>
      </w:r>
      <w:r w:rsidR="00E43224">
        <w:fldChar w:fldCharType="begin" w:fldLock="1"/>
      </w:r>
      <w:r w:rsidR="001F1E20">
        <w:instrText>ADDIN CSL_CITATION { "citationItems" : [ { "id" : "ITEM-1", "itemData" : { "DOI" : "10.3354/meps10569", "ISSN" : "0171-8630", "author" : [ { "dropping-particle" : "", "family" : "Mittermayr", "given" : "a", "non-dropping-particle" : "", "parse-names" : false, "suffix" : "" }, { "dropping-particle" : "", "family" : "Hansen", "given" : "T", "non-dropping-particle" : "", "parse-names" : false, "suffix" : "" }, { "dropping-particle" : "", "family" : "Sommer", "given" : "U", "non-dropping-particle" : "", "parse-names" : false, "suffix" : "" } ], "container-title" : "Marine Ecology Progress Series", "id" : "ITEM-1", "issue" : "1997", "issued" : { "date-parts" : [ [ "2014", "2", "5" ] ] }, "page" : "93-103", "title" : "Simultaneous analysis of \u03b413C, \u03b415N and \u03b434S ratios uncovers food web relationships and the trophic importance of epiphytes in an eelgrass Zostera marina community", "type" : "article-journal", "volume" : "497" }, "uris" : [ "http://www.mendeley.com/documents/?uuid=2bca6d36-cbe3-42bc-ae5f-2cfbd84c85d8" ] }, { "id" : "ITEM-2", "itemData" : { "DOI" : "10.1111/fwb.12340", "ISSN" : "00465070", "author" : [ { "dropping-particle" : "", "family" : "Stockwell", "given" : "Jason D.", "non-dropping-particle" : "", "parse-names" : false, "suffix" : "" }, { "dropping-particle" : "", "family" : "Yule", "given" : "Daniel L.", "non-dropping-particle" : "", "parse-names" : false, "suffix" : "" }, { "dropping-particle" : "", "family" : "Hrabik", "given" : "Thomas R.", "non-dropping-particle" : "", "parse-names" : false, "suffix" : "" }, { "dropping-particle" : "", "family" : "Sierszen", "given" : "Michael E.", "non-dropping-particle" : "", "parse-names" : false, "suffix" : "" }, { "dropping-particle" : "", "family" : "Isaac", "given" : "Edmund J.", "non-dropping-particle" : "", "parse-names" : false, "suffix" : "" } ], "container-title" : "Freshwater Biology", "id" : "ITEM-2", "issued" : { "date-parts" : [ [ "2014", "2", "21" ] ] }, "page" : "n/a-n/a", "title" : "Habitat coupling in a large lake system: delivery of an energy subsidy by an offshore planktivore to the nearshore zone of Lake Superior", "type" : "article-journal" }, "uris" : [ "http://www.mendeley.com/documents/?uuid=c008c9c6-9a8c-4977-aa63-37738509b2c1" ] } ], "mendeley" : { "previouslyFormattedCitation" : "(Mittermayr et al., 2014; Stockwell et al., 2014)" }, "properties" : { "noteIndex" : 0 }, "schema" : "https://github.com/citation-style-language/schema/raw/master/csl-citation.json" }</w:instrText>
      </w:r>
      <w:r w:rsidR="00E43224">
        <w:fldChar w:fldCharType="separate"/>
      </w:r>
      <w:r w:rsidR="00E43224" w:rsidRPr="00E43224">
        <w:rPr>
          <w:noProof/>
        </w:rPr>
        <w:t>(Mittermayr et al., 2014; Stockwell et al., 2014)</w:t>
      </w:r>
      <w:r w:rsidR="00E43224">
        <w:fldChar w:fldCharType="end"/>
      </w:r>
      <w:r w:rsidR="003003F8">
        <w:t xml:space="preserve">, trophic structure </w:t>
      </w:r>
      <w:r w:rsidR="003003F8">
        <w:fldChar w:fldCharType="begin" w:fldLock="1"/>
      </w:r>
      <w:r w:rsidR="001F1E20">
        <w:instrText>ADDIN CSL_CITATION { "citationItems" : [ { "id" : "ITEM-1", "itemData" : { "author" : [ { "dropping-particle" : "", "family" : "Post", "given" : "DM", "non-dropping-particle" : "", "parse-names" : false, "suffix" : "" } ], "container-title" : "Ecology", "id" : "ITEM-1", "issue" : "3", "issued" : { "date-parts" : [ [ "2002" ] ] }, "page" : "703-718", "title" : "Using stable isotopes to estimate trophic position: models, methods, and assumptions", "type" : "article-journal", "volume" : "83" }, "uris" : [ "http://www.mendeley.com/documents/?uuid=42667608-2699-4e5c-a6f5-42d696ebd3dd" ] } ], "mendeley" : { "previouslyFormattedCitation" : "(Post, 2002)" }, "properties" : { "noteIndex" : 0 }, "schema" : "https://github.com/citation-style-language/schema/raw/master/csl-citation.json" }</w:instrText>
      </w:r>
      <w:r w:rsidR="003003F8">
        <w:fldChar w:fldCharType="separate"/>
      </w:r>
      <w:r w:rsidR="00E43224" w:rsidRPr="00E43224">
        <w:rPr>
          <w:noProof/>
        </w:rPr>
        <w:t>(Post, 2002)</w:t>
      </w:r>
      <w:r w:rsidR="003003F8">
        <w:fldChar w:fldCharType="end"/>
      </w:r>
      <w:r w:rsidR="003003F8">
        <w:t xml:space="preserve">, food source partitioning </w:t>
      </w:r>
      <w:r w:rsidR="003003F8">
        <w:fldChar w:fldCharType="begin" w:fldLock="1"/>
      </w:r>
      <w:r w:rsidR="001F1E20">
        <w:instrText>ADDIN CSL_CITATION { "citationItems" : [ { "id" : "ITEM-1", "itemData" : { "DOI" : "10.1007/s00442-003-1218-3", "ISSN" : "0029-8549", "PMID" : "12759813", "abstract" : "Stable isotopes are increasingly being used as tracers in environmental studies. One application is to use isotopic ratios to quantitatively determine the proportional contribution of several sources to a mixture, such as the proportion of various pollution sources in a waste stream. In general, the proportional contributions of n+1 different sources can be uniquely determined by the use of n different isotope system tracers (e.g., delta13C, delta15N, delta18O) with linear mixing models based on mass balance equations. Often, however, the number of potential sources exceeds n+1, which prevents finding a unique solution of source proportions. What can be done in these situations? While no definitive solution exists, we propose a method that is informative in determining bounds for the contributions of each source. In this method, all possible combinations of each source contribution (0-100%) are examined in small increments (e.g., 1%). Combinations that sum to the observed mixture isotopic signatures within a small tolerance (e.g., +/-0.1 per thousand ) are considered to be feasible solutions, from which the frequency and range of potential source contributions can be determined. To avoid misrepresenting the results, users of this procedure should report the distribution of feasible solutions rather than focusing on a single value such as the mean. We applied this method to a variety of environmental studies in which stable isotope tracers were used to quantify the relative magnitude of multiple sources, including (1) plant water use, (2) geochemistry, (3) air pollution, and (4) dietary analysis. This method gives the range of isotopically determined source contributions; additional non-isotopic constraints specific to each study may be used to further restrict this range. The breadth of the isotopically determined ranges depends on the geometry of the mixing space and the similarity of source and mixture isotopic signatures. A sensitivity analysis indicated that the estimated ranges vary only modestly with different choices of source increment and mass balance tolerance parameter values. A computer program (IsoSource) to perform these calculations for user-specified data is available at http://www.epa.gov/wed/pages/models.htm.", "author" : [ { "dropping-particle" : "", "family" : "Phillips", "given" : "Donald L", "non-dropping-particle" : "", "parse-names" : false, "suffix" : "" }, { "dropping-particle" : "", "family" : "Gregg", "given" : "Jillian W", "non-dropping-particle" : "", "parse-names" : false, "suffix" : "" } ], "container-title" : "Oecologia", "id" : "ITEM-1", "issue" : "2", "issued" : { "date-parts" : [ [ "2003", "7" ] ] }, "page" : "261-9", "title" : "Source partitioning using stable isotopes: coping with too many sources.", "type" : "article-journal", "volume" : "136" }, "uris" : [ "http://www.mendeley.com/documents/?uuid=0179870e-c016-4251-9383-efd3b44de8cf" ] } ], "mendeley" : { "previouslyFormattedCitation" : "(Phillips and Gregg, 2003)" }, "properties" : { "noteIndex" : 0 }, "schema" : "https://github.com/citation-style-language/schema/raw/master/csl-citation.json" }</w:instrText>
      </w:r>
      <w:r w:rsidR="003003F8">
        <w:fldChar w:fldCharType="separate"/>
      </w:r>
      <w:r w:rsidR="00E43224" w:rsidRPr="00E43224">
        <w:rPr>
          <w:noProof/>
        </w:rPr>
        <w:t>(Phillips and Gregg, 2003)</w:t>
      </w:r>
      <w:r w:rsidR="003003F8">
        <w:fldChar w:fldCharType="end"/>
      </w:r>
      <w:r w:rsidR="003003F8">
        <w:t xml:space="preserve"> and migration </w:t>
      </w:r>
      <w:r w:rsidR="003003F8">
        <w:fldChar w:fldCharType="begin" w:fldLock="1"/>
      </w:r>
      <w:r w:rsidR="001F1E20">
        <w:instrText>ADDIN CSL_CITATION { "citationItems" : [ { "id" : "ITEM-1", "itemData" : { "author" : [ { "dropping-particle" : "", "family" : "Fry", "given" : "B", "non-dropping-particle" : "", "parse-names" : false, "suffix" : "" } ], "container-title" : "Fishery Bulletin", "id" : "ITEM-1", "issue" : "2", "issued" : { "date-parts" : [ [ "1981" ] ] }, "page" : "337-345", "title" : "Natural stable carbon isotope tag traces Texas shrimp migrations", "type" : "article-journal", "volume" : "79" }, "uris" : [ "http://www.mendeley.com/documents/?uuid=a7cdcc9b-4481-4817-a11e-2f0b08df0edb" ] }, { "id" : "ITEM-2", "itemData" : { "author" : [ { "dropping-particle" : "", "family" : "Fleming", "given" : "TH", "non-dropping-particle" : "", "parse-names" : false, "suffix" : "" }, { "dropping-particle" : "", "family" : "Nu\u00f1ez", "given" : "RA", "non-dropping-particle" : "", "parse-names" : false, "suffix" : "" }, { "dropping-particle" : "", "family" : "Sternberg", "given" : "LSL", "non-dropping-particle" : "", "parse-names" : false, "suffix" : "" } ], "container-title" : "Oecologia", "id" : "ITEM-2", "issue" : "1", "issued" : { "date-parts" : [ [ "1993" ] ] }, "page" : "72-75", "title" : "Seasonal changes in the diets of migrant and non-migrant nectarivorous bats as revealed by carbon stable isotope analysis", "type" : "article-journal", "volume" : "94" }, "uris" : [ "http://www.mendeley.com/documents/?uuid=70b3012e-0f82-47d2-90a1-42824fbb3e64" ] }, { "id" : "ITEM-3", "itemData" : { "DOI" : "10.1007/s004420050865", "ISSN" : "0029-8549", "author" : [ { "dropping-particle" : "", "family" : "Hobson", "given" : "Keith a.", "non-dropping-particle" : "", "parse-names" : false, "suffix" : "" } ], "container-title" : "Oecologia", "id" : "ITEM-3", "issue" : "3", "issued" : { "date-parts" : [ [ "1999", "8", "20" ] ] }, "page" : "314-326", "title" : "Tracing origins and migration of wildlife using stable isotopes: a review", "type" : "article-journal", "volume" : "120" }, "uris" : [ "http://www.mendeley.com/documents/?uuid=5f92294a-a054-4708-9faa-1f77afd62299" ] } ], "mendeley" : { "previouslyFormattedCitation" : "(Fleming et al., 1993; Fry, 1981; Hobson, 1999)" }, "properties" : { "noteIndex" : 0 }, "schema" : "https://github.com/citation-style-language/schema/raw/master/csl-citation.json" }</w:instrText>
      </w:r>
      <w:r w:rsidR="003003F8">
        <w:fldChar w:fldCharType="separate"/>
      </w:r>
      <w:r w:rsidR="002B63CE" w:rsidRPr="002B63CE">
        <w:rPr>
          <w:noProof/>
        </w:rPr>
        <w:t>(Fleming et al., 1993; Fry, 1981; Hobson, 1999)</w:t>
      </w:r>
      <w:r w:rsidR="003003F8">
        <w:fldChar w:fldCharType="end"/>
      </w:r>
      <w:r w:rsidR="003003F8">
        <w:t>. As</w:t>
      </w:r>
      <w:r>
        <w:t xml:space="preserve"> application of</w:t>
      </w:r>
      <w:r w:rsidR="003003F8">
        <w:t xml:space="preserve"> SIA </w:t>
      </w:r>
      <w:r w:rsidR="00690313">
        <w:t xml:space="preserve">has </w:t>
      </w:r>
      <w:r>
        <w:t>increase</w:t>
      </w:r>
      <w:r w:rsidR="00690313">
        <w:t>d</w:t>
      </w:r>
      <w:r w:rsidR="003003F8">
        <w:t>, many researchers have called for increased laboratory experiments to test analysis assumptions</w:t>
      </w:r>
      <w:r w:rsidR="00B23F4F">
        <w:t xml:space="preserve"> </w:t>
      </w:r>
      <w:r w:rsidR="001F1E20">
        <w:fldChar w:fldCharType="begin" w:fldLock="1"/>
      </w:r>
      <w:r w:rsidR="001F1E20">
        <w:instrText>ADDIN CSL_CITATION { "citationItems" : [ { "id" : "ITEM-1", "itemData" : { "DOI" : "10.1111/j.1469-185X.2008.00064.x", "ISSN" : "1469-185X", "PMID" : "19046398", "abstract" : "About 10 years ago, reviews of the use of stable isotopes in animal ecology predicted explosive growth in this field and called for laboratory experiments to provide a mechanistic foundation to this growth. They identified four major areas of inquiry: (1) the dynamics of isotopic incorporation, (2) mixing models, (3) the problem of routing, and (4) trophic discrimination factors. Because these areas remain central to isotopic ecology, we use them as organising foci to review the experimental results that isotopic ecologists have collected in the intervening 10 years since the call for laboratory experiments. We also review the models that have been built to explain and organise experimental results in these areas.", "author" : [ { "dropping-particle" : "", "family" : "Rio", "given" : "Carlos Mart\u00ednez", "non-dropping-particle" : "del", "parse-names" : false, "suffix" : "" }, { "dropping-particle" : "", "family" : "Wolf", "given" : "Nathan", "non-dropping-particle" : "", "parse-names" : false, "suffix" : "" }, { "dropping-particle" : "", "family" : "Carleton", "given" : "Scott a", "non-dropping-particle" : "", "parse-names" : false, "suffix" : "" }, { "dropping-particle" : "", "family" : "Gannes", "given" : "Leonard Z", "non-dropping-particle" : "", "parse-names" : false, "suffix" : "" } ], "container-title" : "Biological reviews of the Cambridge Philosophical Society", "id" : "ITEM-1", "issue" : "1", "issued" : { "date-parts" : [ [ "2009", "2" ] ] }, "page" : "91-111", "title" : "Isotopic ecology ten years after a call for more laboratory experiments.", "type" : "article-journal", "volume" : "84" }, "uris" : [ "http://www.mendeley.com/documents/?uuid=765fb4ee-8a07-444d-a99e-9261041d1f0f" ] } ], "mendeley" : { "previouslyFormattedCitation" : "(del Rio et al., 2009)" }, "properties" : { "noteIndex" : 0 }, "schema" : "https://github.com/citation-style-language/schema/raw/master/csl-citation.json" }</w:instrText>
      </w:r>
      <w:r w:rsidR="001F1E20">
        <w:fldChar w:fldCharType="separate"/>
      </w:r>
      <w:r w:rsidR="001F1E20" w:rsidRPr="001F1E20">
        <w:rPr>
          <w:noProof/>
        </w:rPr>
        <w:t>(del Rio et al., 2009)</w:t>
      </w:r>
      <w:r w:rsidR="001F1E20">
        <w:fldChar w:fldCharType="end"/>
      </w:r>
      <w:r w:rsidR="001F1E20">
        <w:t>,</w:t>
      </w:r>
      <w:r w:rsidR="003003F8">
        <w:t xml:space="preserve"> verify field observations </w:t>
      </w:r>
      <w:r w:rsidR="003003F8">
        <w:fldChar w:fldCharType="begin" w:fldLock="1"/>
      </w:r>
      <w:r w:rsidR="001F1E20">
        <w:instrText>ADDIN CSL_CITATION { "citationItems" : [ { "id" : "ITEM-1", "itemData" : { "author" : [ { "dropping-particle" : "", "family" : "Gannes", "given" : "Leonard Z", "non-dropping-particle" : "", "parse-names" : false, "suffix" : "" }, { "dropping-particle" : "", "family" : "O'Brien", "given" : "DM", "non-dropping-particle" : "", "parse-names" : false, "suffix" : "" }, { "dropping-particle" : "", "family" : "Rio", "given" : "CM", "non-dropping-particle" : "", "parse-names" : false, "suffix" : "" } ], "container-title" : "Ecology", "id" : "ITEM-1", "issue" : "4", "issued" : { "date-parts" : [ [ "1997" ] ] }, "page" : "1271-1276", "title" : "Stable isotopes in animal ecology: assumptions, caveats, and a call for more laboratory experiments", "type" : "article-journal", "volume" : "78" }, "uris" : [ "http://www.mendeley.com/documents/?uuid=a248a5b9-2843-4ad5-947b-1699fbaa2097" ] }, { "id" : "ITEM-2", "itemData" : { "DOI" : "10.1111/j.1469-185X.2008.00064.x", "ISSN" : "1469-185X", "PMID" : "19046398", "abstract" : "About 10 years ago, reviews of the use of stable isotopes in animal ecology predicted explosive growth in this field and called for laboratory experiments to provide a mechanistic foundation to this growth. They identified four major areas of inquiry: (1) the dynamics of isotopic incorporation, (2) mixing models, (3) the problem of routing, and (4) trophic discrimination factors. Because these areas remain central to isotopic ecology, we use them as organising foci to review the experimental results that isotopic ecologists have collected in the intervening 10 years since the call for laboratory experiments. We also review the models that have been built to explain and organise experimental results in these areas.", "author" : [ { "dropping-particle" : "", "family" : "Rio", "given" : "Carlos Mart\u00ednez", "non-dropping-particle" : "del", "parse-names" : false, "suffix" : "" }, { "dropping-particle" : "", "family" : "Wolf", "given" : "Nathan", "non-dropping-particle" : "", "parse-names" : false, "suffix" : "" }, { "dropping-particle" : "", "family" : "Carleton", "given" : "Scott a", "non-dropping-particle" : "", "parse-names" : false, "suffix" : "" }, { "dropping-particle" : "", "family" : "Gannes", "given" : "Leonard Z", "non-dropping-particle" : "", "parse-names" : false, "suffix" : "" } ], "container-title" : "Biological reviews of the Cambridge Philosophical Society", "id" : "ITEM-2", "issue" : "1", "issued" : { "date-parts" : [ [ "2009", "2" ] ] }, "page" : "91-111", "title" : "Isotopic ecology ten years after a call for more laboratory experiments.", "type" : "article-journal", "volume" : "84" }, "uris" : [ "http://www.mendeley.com/documents/?uuid=765fb4ee-8a07-444d-a99e-9261041d1f0f" ] } ], "mendeley" : { "previouslyFormattedCitation" : "(del Rio et al., 2009; Gannes et al., 1997)" }, "properties" : { "noteIndex" : 0 }, "schema" : "https://github.com/citation-style-language/schema/raw/master/csl-citation.json" }</w:instrText>
      </w:r>
      <w:r w:rsidR="003003F8">
        <w:fldChar w:fldCharType="separate"/>
      </w:r>
      <w:r w:rsidR="00E43224" w:rsidRPr="00E43224">
        <w:rPr>
          <w:noProof/>
          <w:lang w:val="da-DK"/>
        </w:rPr>
        <w:t>(del Rio et al., 2009; Gannes et al., 1997)</w:t>
      </w:r>
      <w:r w:rsidR="003003F8">
        <w:fldChar w:fldCharType="end"/>
      </w:r>
      <w:r w:rsidR="003003F8" w:rsidRPr="00284BDA">
        <w:rPr>
          <w:lang w:val="da-DK"/>
        </w:rPr>
        <w:t xml:space="preserve">, and standardize sample preparation </w:t>
      </w:r>
      <w:r w:rsidR="003003F8">
        <w:fldChar w:fldCharType="begin" w:fldLock="1"/>
      </w:r>
      <w:r w:rsidR="001F1E20">
        <w:rPr>
          <w:lang w:val="da-DK"/>
        </w:rPr>
        <w:instrText>ADDIN CSL_CITATION { "citationItems" : [ { "id" : "ITEM-1", "itemData" : { "DOI" : "10.4319/lo.2007.52.5.2135", "ISSN" : "00243590", "author" : [ { "dropping-particle" : "", "family" : "Smyntek", "given" : "Peter M.", "non-dropping-particle" : "", "parse-names" : false, "suffix" : "" }, { "dropping-particle" : "", "family" : "Teece", "given" : "Mark a.", "non-dropping-particle" : "", "parse-names" : false, "suffix" : "" }, { "dropping-particle" : "", "family" : "Schulz", "given" : "Kimberly L.", "non-dropping-particle" : "", "parse-names" : false, "suffix" : "" }, { "dropping-particle" : "", "family" : "Thackeray", "given" : "Stephen J.", "non-dropping-particle" : "", "parse-names" : false, "suffix" : "" } ], "container-title" : "Limnology and Oceanography", "id" : "ITEM-1", "issue" : "5", "issued" : { "date-parts" : [ [ "2007" ] ] }, "page" : "2135-2146", "title" : "A standard protocol for stable isotope analysis of zooplankton in aquatic food web research using mass balance correction models", "type" : "article-journal", "volume" : "52" }, "uris" : [ "http://www.mendeley.com/documents/?uuid=dc774d4f-4fed-4abc-82aa-ddc313a6b15e" ] } ], "mendeley" : { "previouslyFormattedCitation" : "(Smyntek et al., 2007)" }, "properties" : { "noteIndex" : 0 }, "schema" : "https://github.com/citation-style-language/schema/raw/master/csl-citation.json" }</w:instrText>
      </w:r>
      <w:r w:rsidR="003003F8">
        <w:fldChar w:fldCharType="separate"/>
      </w:r>
      <w:r w:rsidR="00E43224" w:rsidRPr="00E43224">
        <w:rPr>
          <w:noProof/>
          <w:lang w:val="da-DK"/>
        </w:rPr>
        <w:t>(Smyntek et al., 2007)</w:t>
      </w:r>
      <w:r w:rsidR="003003F8">
        <w:fldChar w:fldCharType="end"/>
      </w:r>
      <w:r w:rsidR="003003F8" w:rsidRPr="00284BDA">
        <w:rPr>
          <w:lang w:val="da-DK"/>
        </w:rPr>
        <w:t xml:space="preserve">. </w:t>
      </w:r>
      <w:r w:rsidR="003003F8">
        <w:t xml:space="preserve">Isotope fractionation can vary extensively within a single species </w:t>
      </w:r>
      <w:r w:rsidR="003003F8">
        <w:fldChar w:fldCharType="begin" w:fldLock="1"/>
      </w:r>
      <w:r w:rsidR="001F1E20">
        <w:instrText>ADDIN CSL_CITATION { "citationItems" : [ { "id" : "ITEM-1", "itemData" : { "author" : [ { "dropping-particle" : "", "family" : "Grey", "given" : "Jonathan", "non-dropping-particle" : "", "parse-names" : false, "suffix" : "" }, { "dropping-particle" : "", "family" : "Kelly", "given" : "Andrew", "non-dropping-particle" : "", "parse-names" : false, "suffix" : "" }, { "dropping-particle" : "", "family" : "Jones", "given" : "RI", "non-dropping-particle" : "", "parse-names" : false, "suffix" : "" } ], "container-title" : "Limnology and Oceanography", "id" : "ITEM-1", "issue" : "1", "issued" : { "date-parts" : [ [ "2004" ] ] }, "page" : "239-244", "title" : "High intraspecific variability in carbon and nitrogen stable isotope ratios of lake chironomid larvae", "type" : "article-journal", "volume" : "49" }, "uris" : [ "http://www.mendeley.com/documents/?uuid=c9898bd7-859b-43f1-b300-dc62592d3621" ] } ], "mendeley" : { "previouslyFormattedCitation" : "(Grey et al., 2004)" }, "properties" : { "noteIndex" : 0 }, "schema" : "https://github.com/citation-style-language/schema/raw/master/csl-citation.json" }</w:instrText>
      </w:r>
      <w:r w:rsidR="003003F8">
        <w:fldChar w:fldCharType="separate"/>
      </w:r>
      <w:r w:rsidR="00E43224" w:rsidRPr="00E43224">
        <w:rPr>
          <w:noProof/>
        </w:rPr>
        <w:t>(Grey et al., 2004)</w:t>
      </w:r>
      <w:r w:rsidR="003003F8">
        <w:fldChar w:fldCharType="end"/>
      </w:r>
      <w:r w:rsidR="003003F8">
        <w:t xml:space="preserve"> and among tissue types </w:t>
      </w:r>
      <w:r w:rsidR="003003F8">
        <w:fldChar w:fldCharType="begin" w:fldLock="1"/>
      </w:r>
      <w:r w:rsidR="001F1E20">
        <w:instrText>ADDIN CSL_CITATION { "citationItems" : [ { "id" : "ITEM-1", "itemData" : { "author" : [ { "dropping-particle" : "", "family" : "Pinnegar", "given" : "JK", "non-dropping-particle" : "", "parse-names" : false, "suffix" : "" }, { "dropping-particle" : "", "family" : "Polunin", "given" : "NVC", "non-dropping-particle" : "", "parse-names" : false, "suffix" : "" } ], "container-title" : "Functional ecology", "id" : "ITEM-1", "issued" : { "date-parts" : [ [ "1999" ] ] }, "page" : "225-231", "title" : "Differential fractionation of \u03b413C and \u03b415N among fish tissues: implications for the study of trophic interactions", "type" : "article-journal" }, "uris" : [ "http://www.mendeley.com/documents/?uuid=a6e48d5a-4801-4279-a4b7-b5c5088d54d0" ] }, { "id" : "ITEM-2", "itemData" : { "author" : [ { "dropping-particle" : "", "family" : "Tieszen", "given" : "LL", "non-dropping-particle" : "", "parse-names" : false, "suffix" : "" }, { "dropping-particle" : "", "family" : "Boutton", "given" : "TW", "non-dropping-particle" : "", "parse-names" : false, "suffix" : "" }, { "dropping-particle" : "", "family" : "Tesdahl", "given" : "KG", "non-dropping-particle" : "", "parse-names" : false, "suffix" : "" }, { "dropping-particle" : "", "family" : "Slade", "given" : "NA", "non-dropping-particle" : "", "parse-names" : false, "suffix" : "" } ], "container-title" : "Oecologia", "id" : "ITEM-2", "issue" : "1", "issued" : { "date-parts" : [ [ "1983" ] ] }, "page" : "32-37", "title" : "Fractionation and turnover of stable carbon isotopes in animal tissues: implications for \u03b413C analysis of diet", "type" : "article-journal", "volume" : "57" }, "uris" : [ "http://www.mendeley.com/documents/?uuid=0aae2b54-0419-481a-87b0-1391f54d32ce" ] } ], "mendeley" : { "previouslyFormattedCitation" : "(Pinnegar and Polunin, 1999; Tieszen et al., 1983)" }, "properties" : { "noteIndex" : 0 }, "schema" : "https://github.com/citation-style-language/schema/raw/master/csl-citation.json" }</w:instrText>
      </w:r>
      <w:r w:rsidR="003003F8">
        <w:fldChar w:fldCharType="separate"/>
      </w:r>
      <w:r w:rsidR="00E43224" w:rsidRPr="00E43224">
        <w:rPr>
          <w:noProof/>
        </w:rPr>
        <w:t>(Pinnegar and Polunin, 1999; Tieszen et al., 1983)</w:t>
      </w:r>
      <w:r w:rsidR="003003F8">
        <w:fldChar w:fldCharType="end"/>
      </w:r>
      <w:r w:rsidR="003003F8">
        <w:t xml:space="preserve">, adding variation to analyses </w:t>
      </w:r>
      <w:r w:rsidR="003003F8">
        <w:fldChar w:fldCharType="begin" w:fldLock="1"/>
      </w:r>
      <w:r w:rsidR="001F1E20">
        <w:instrText>ADDIN CSL_CITATION { "citationItems" : [ { "id" : "ITEM-1", "itemData" : { "author" : [ { "dropping-particle" : "", "family" : "Peterson", "given" : "BJ", "non-dropping-particle" : "", "parse-names" : false, "suffix" : "" }, { "dropping-particle" : "", "family" : "Fry", "given" : "B", "non-dropping-particle" : "", "parse-names" : false, "suffix" : "" } ], "container-title" : "Annual review of ecology and systematics", "id" : "ITEM-1", "issued" : { "date-parts" : [ [ "1987" ] ] }, "page" : "293-320", "title" : "Stable isotopes in ecosystem studies", "type" : "article-journal", "volume" : "18" }, "uris" : [ "http://www.mendeley.com/documents/?uuid=3a8721f6-ea1e-45d3-871c-d37db0adb613" ] } ], "mendeley" : { "previouslyFormattedCitation" : "(Peterson and Fry, 1987)" }, "properties" : { "noteIndex" : 0 }, "schema" : "https://github.com/citation-style-language/schema/raw/master/csl-citation.json" }</w:instrText>
      </w:r>
      <w:r w:rsidR="003003F8">
        <w:fldChar w:fldCharType="separate"/>
      </w:r>
      <w:r w:rsidR="00E43224" w:rsidRPr="00E43224">
        <w:rPr>
          <w:noProof/>
        </w:rPr>
        <w:t>(Peterson and Fry, 1987)</w:t>
      </w:r>
      <w:r w:rsidR="003003F8">
        <w:fldChar w:fldCharType="end"/>
      </w:r>
      <w:r w:rsidR="003003F8">
        <w:t>.</w:t>
      </w:r>
      <w:r w:rsidR="00A60942">
        <w:t xml:space="preserve"> </w:t>
      </w:r>
      <w:r w:rsidR="003003F8">
        <w:t xml:space="preserve">Thus, experimentally testing turnover rates, tissue specific isotope composition and isotope assimilation are important steps to reduce variability </w:t>
      </w:r>
      <w:r w:rsidR="003003F8">
        <w:fldChar w:fldCharType="begin" w:fldLock="1"/>
      </w:r>
      <w:r w:rsidR="001F1E20">
        <w:instrText>ADDIN CSL_CITATION { "citationItems" : [ { "id" : "ITEM-1", "itemData" : { "author" : [ { "dropping-particle" : "", "family" : "Gannes", "given" : "Leonard Z", "non-dropping-particle" : "", "parse-names" : false, "suffix" : "" }, { "dropping-particle" : "", "family" : "O'Brien", "given" : "DM", "non-dropping-particle" : "", "parse-names" : false, "suffix" : "" }, { "dropping-particle" : "", "family" : "Rio", "given" : "CM", "non-dropping-particle" : "", "parse-names" : false, "suffix" : "" } ], "container-title" : "Ecology", "id" : "ITEM-1", "issue" : "4", "issued" : { "date-parts" : [ [ "1997" ] ] }, "page" : "1271-1276", "title" : "Stable isotopes in animal ecology: assumptions, caveats, and a call for more laboratory experiments", "type" : "article-journal", "volume" : "78" }, "uris" : [ "http://www.mendeley.com/documents/?uuid=a248a5b9-2843-4ad5-947b-1699fbaa2097" ] } ], "mendeley" : { "previouslyFormattedCitation" : "(Gannes et al., 1997)" }, "properties" : { "noteIndex" : 0 }, "schema" : "https://github.com/citation-style-language/schema/raw/master/csl-citation.json" }</w:instrText>
      </w:r>
      <w:r w:rsidR="003003F8">
        <w:fldChar w:fldCharType="separate"/>
      </w:r>
      <w:r w:rsidR="003003F8" w:rsidRPr="003003F8">
        <w:rPr>
          <w:noProof/>
        </w:rPr>
        <w:t>(Gannes et al., 1997)</w:t>
      </w:r>
      <w:r w:rsidR="003003F8">
        <w:fldChar w:fldCharType="end"/>
      </w:r>
      <w:r w:rsidR="003003F8">
        <w:t xml:space="preserve">. Sample preparation techniques such as acidification, lipid extraction, and gut evacuation have been used to lower variability of observed isotope composition with inconsistent success </w:t>
      </w:r>
      <w:r w:rsidR="003003F8">
        <w:fldChar w:fldCharType="begin" w:fldLock="1"/>
      </w:r>
      <w:r w:rsidR="001F1E20">
        <w:instrText>ADDIN CSL_CITATION { "citationItems" : [ { "id" : "ITEM-1", "itemData" : { "DOI" : "10.1007/s00442-006-0630-x", "ISSN" : "0029-8549", "PMID" : "17225157", "abstract" : "Within an organism, lipids are depleted in (13)C relative to proteins and carbohydrates (more negative delta(13)C), and variation in lipid content among organisms or among tissue types has the potential to introduce considerable bias into stable isotope analyses that use delta(13)C. Despite the potential for introduced error, there is no consensus on the need to account for lipids in stable isotope analyses. Here we address two questions: (1) If and when is it important to account for the effects of variation in lipid content on delta(13)C? (2) If it is important, which method(s) are reliable and robust for dealing with lipid variation? We evaluated the reliability of direct chemical extraction, which physically removes lipids from samples, and mathematical normalization, which uses the carbon-to-nitrogen (C:N) ratio of a sample to normalize delta(13)C after analysis by measuring the lipid content, the C:N ratio, and the effect of lipid content on delta(13)C (Deltadelta(13)C) of plants and animals with a wide range of lipid contents. For animals, we found strong relationships between C:N and lipid content, between lipid content and Deltadelta(13)C, and between C:N and Deltadelta(13)C. For plants, C:N was not a good predictor of lipid content or Deltadelta(13)C, but we found a strong relationship between carbon content and lipid content, lipid content and Deltadelta(13)C, and between and carbon content and Deltadelta(13)C. Our results indicate that lipid extraction or normalization is most important when lipid content is variable among consumers of interest or between consumers and end members, and when differences in delta(13)C between end members is &lt;10-12 per thousand. The vast majority of studies using natural variation in delta(13)C fall within these criteria. Both direct lipid extraction and mathematical normalization reduce biases in delta(13)C, but mathematical normalization simplifies sample preparation and better preserves the integrity of samples for delta(15)N analysis.", "author" : [ { "dropping-particle" : "", "family" : "Post", "given" : "David M", "non-dropping-particle" : "", "parse-names" : false, "suffix" : "" }, { "dropping-particle" : "", "family" : "Layman", "given" : "Craig a", "non-dropping-particle" : "", "parse-names" : false, "suffix" : "" }, { "dropping-particle" : "", "family" : "Arrington", "given" : "D Albrey", "non-dropping-particle" : "", "parse-names" : false, "suffix" : "" }, { "dropping-particle" : "", "family" : "Takimoto", "given" : "Gaku", "non-dropping-particle" : "", "parse-names" : false, "suffix" : "" }, { "dropping-particle" : "", "family" : "Quattrochi", "given" : "John", "non-dropping-particle" : "", "parse-names" : false, "suffix" : "" }, { "dropping-particle" : "", "family" : "Monta\u00f1a", "given" : "Carman G", "non-dropping-particle" : "", "parse-names" : false, "suffix" : "" } ], "container-title" : "Oecologia", "id" : "ITEM-1", "issue" : "1", "issued" : { "date-parts" : [ [ "2007", "5" ] ] }, "page" : "179-89", "title" : "Getting to the fat of the matter: models, methods and assumptions for dealing with lipids in stable isotope analyses.", "type" : "article-journal", "volume" : "152" }, "uris" : [ "http://www.mendeley.com/documents/?uuid=fd82ba31-8938-43c0-a41e-8df5992be147" ] }, { "id" : "ITEM-2", "itemData" : { "DOI" : "10.1002/rcm.1227", "ISSN" : "0951-4198", "PMID" : "14648896", "abstract" : "A literature survey of zooplankton stable isotope studies revealed inconsistencies between authors concerning (a) fixation and (b) allowance for gut clearance of zooplankton prior to delta13C and delta15N determinations. To address whether commonly used preservation techniques induce changes in stable isotope values, fresh lake zooplankton (control) were compared with preserved (ethanol, methanol, formaldehyde, gluteraldehyde, frozen and shock frozen) material. Differences of up to 1.1 per thousand for carbon and 1.5 per thousand for nitrogen isotopic signatures were found. Even freezing, the most frequently used method identified from the literature, caused significant changes compared with the control. We advocate the use of fresh material prepared immediately whenever possible, or complementary testing of the preservative method to be used. Larger organisms are routinely eviscerated, or specific tissues are dissected, and analysed for stable isotopes to reduce errors introduced via the gut contents. Yet zooplankton gut clearance is rarely performed: the gut content assumed to be negligible relative to organism mass. Experimental determinations of relative gut mass, from both original and compiled data, range from 1-26% for different zooplankton species. Using reported isotopic values of basal resources from natural systems, we calculated that, when analysing bulk zooplankton, inclusion of the gut mass may introduce substantial errors of &gt;3 per thousand. Thus it appears prudent to perform the simple procedure of gut clearance, especially for copepod species.", "author" : [ { "dropping-particle" : "", "family" : "Feuchtmayr", "given" : "Heidrun", "non-dropping-particle" : "", "parse-names" : false, "suffix" : "" }, { "dropping-particle" : "", "family" : "Grey", "given" : "Jonathan", "non-dropping-particle" : "", "parse-names" : false, "suffix" : "" } ], "container-title" : "Rapid communications in mass spectrometry: RCM", "id" : "ITEM-2", "issue" : "23", "issued" : { "date-parts" : [ [ "2003", "1" ] ] }, "page" : "2605-10", "title" : "Effect of preparation and preservation procedures on carbon and nitrogen stable isotope determinations from zooplankton.", "type" : "article-journal", "volume" : "17" }, "uris" : [ "http://www.mendeley.com/documents/?uuid=b272b694-1d52-4a09-8c1b-b2659c07cc2b" ] } ], "mendeley" : { "manualFormatting" : "(Feuchtmayr and Grey, 2003; Post et al., 2007)", "previouslyFormattedCitation" : "(Feuchtmayr and Grey, 2003; Post et al., 2007)" }, "properties" : { "noteIndex" : 0 }, "schema" : "https://github.com/citation-style-language/schema/raw/master/csl-citation.json" }</w:instrText>
      </w:r>
      <w:r w:rsidR="003003F8">
        <w:fldChar w:fldCharType="separate"/>
      </w:r>
      <w:r w:rsidR="003003F8" w:rsidRPr="003003F8">
        <w:rPr>
          <w:noProof/>
        </w:rPr>
        <w:t xml:space="preserve">(Feuchtmayr </w:t>
      </w:r>
      <w:r w:rsidR="005D73EF">
        <w:rPr>
          <w:noProof/>
        </w:rPr>
        <w:t>and</w:t>
      </w:r>
      <w:r w:rsidR="003003F8" w:rsidRPr="003003F8">
        <w:rPr>
          <w:noProof/>
        </w:rPr>
        <w:t xml:space="preserve"> Grey, 2003; Post et al., 2007)</w:t>
      </w:r>
      <w:r w:rsidR="003003F8">
        <w:fldChar w:fldCharType="end"/>
      </w:r>
      <w:r w:rsidR="00A60942">
        <w:t>. However,</w:t>
      </w:r>
      <w:r w:rsidR="003003F8">
        <w:t xml:space="preserve"> the variable use of procedures among studies makes comparisons of data and meta-analyses difficult </w:t>
      </w:r>
      <w:r w:rsidR="003003F8">
        <w:fldChar w:fldCharType="begin" w:fldLock="1"/>
      </w:r>
      <w:r w:rsidR="001F1E20">
        <w:instrText>ADDIN CSL_CITATION { "citationItems" : [ { "id" : "ITEM-1", "itemData" : { "DOI" : "10.4319/lo.2007.52.5.2135", "ISSN" : "00243590", "author" : [ { "dropping-particle" : "", "family" : "Smyntek", "given" : "Peter M.", "non-dropping-particle" : "", "parse-names" : false, "suffix" : "" }, { "dropping-particle" : "", "family" : "Teece", "given" : "Mark a.", "non-dropping-particle" : "", "parse-names" : false, "suffix" : "" }, { "dropping-particle" : "", "family" : "Schulz", "given" : "Kimberly L.", "non-dropping-particle" : "", "parse-names" : false, "suffix" : "" }, { "dropping-particle" : "", "family" : "Thackeray", "given" : "Stephen J.", "non-dropping-particle" : "", "parse-names" : false, "suffix" : "" } ], "container-title" : "Limnology and Oceanography", "id" : "ITEM-1", "issue" : "5", "issued" : { "date-parts" : [ [ "2007" ] ] }, "page" : "2135-2146", "title" : "A standard protocol for stable isotope analysis of zooplankton in aquatic food web research using mass balance correction models", "type" : "article-journal", "volume" : "52" }, "uris" : [ "http://www.mendeley.com/documents/?uuid=dc774d4f-4fed-4abc-82aa-ddc313a6b15e" ] } ], "mendeley" : { "previouslyFormattedCitation" : "(Smyntek et al., 2007)" }, "properties" : { "noteIndex" : 0 }, "schema" : "https://github.com/citation-style-language/schema/raw/master/csl-citation.json" }</w:instrText>
      </w:r>
      <w:r w:rsidR="003003F8">
        <w:fldChar w:fldCharType="separate"/>
      </w:r>
      <w:r w:rsidR="003003F8" w:rsidRPr="003003F8">
        <w:rPr>
          <w:noProof/>
        </w:rPr>
        <w:t>(Smyntek et al., 2007)</w:t>
      </w:r>
      <w:r w:rsidR="003003F8">
        <w:fldChar w:fldCharType="end"/>
      </w:r>
      <w:r w:rsidR="003003F8">
        <w:t xml:space="preserve">. </w:t>
      </w:r>
    </w:p>
    <w:p w:rsidR="003003F8" w:rsidRDefault="003003F8" w:rsidP="002C0EDE">
      <w:pPr>
        <w:spacing w:line="480" w:lineRule="auto"/>
        <w:ind w:firstLine="360"/>
      </w:pPr>
      <w:r>
        <w:t xml:space="preserve">Gut evacuation prior to SIA processing is one procedure that has produced conflicting results in the literature. </w:t>
      </w:r>
      <w:r w:rsidR="00E43224">
        <w:t xml:space="preserve">When </w:t>
      </w:r>
      <w:r w:rsidR="00256630">
        <w:t xml:space="preserve">the </w:t>
      </w:r>
      <w:r w:rsidR="00E43224">
        <w:t xml:space="preserve">sample </w:t>
      </w:r>
      <w:r w:rsidR="00256630">
        <w:t>organism is</w:t>
      </w:r>
      <w:r w:rsidR="00E43224">
        <w:t xml:space="preserve"> small and whole body samples are used</w:t>
      </w:r>
      <w:r w:rsidR="004D66F5">
        <w:t>,</w:t>
      </w:r>
      <w:r w:rsidR="00E43224">
        <w:t xml:space="preserve"> rather than tissue samples, one </w:t>
      </w:r>
      <w:r w:rsidR="001B2D70">
        <w:t xml:space="preserve">concern </w:t>
      </w:r>
      <w:r w:rsidR="00E43224">
        <w:t xml:space="preserve">is that gut </w:t>
      </w:r>
      <w:r w:rsidR="004D66F5">
        <w:t xml:space="preserve">content </w:t>
      </w:r>
      <w:r w:rsidR="00E43224">
        <w:t xml:space="preserve">at the time of capture </w:t>
      </w:r>
      <w:r w:rsidR="007D4DFE">
        <w:t xml:space="preserve">might </w:t>
      </w:r>
      <w:r w:rsidR="00E43224">
        <w:t xml:space="preserve">bias </w:t>
      </w:r>
      <w:r w:rsidR="004D66F5">
        <w:t>stable isotope values</w:t>
      </w:r>
      <w:r w:rsidR="00E43224">
        <w:t xml:space="preserve">. </w:t>
      </w:r>
      <w:r w:rsidR="00256630">
        <w:t>Thus, gu</w:t>
      </w:r>
      <w:r>
        <w:t>t evacuation procedure</w:t>
      </w:r>
      <w:r w:rsidR="00256630">
        <w:t xml:space="preserve">s </w:t>
      </w:r>
      <w:r w:rsidR="001B2D70">
        <w:t>have been applied</w:t>
      </w:r>
      <w:r w:rsidR="00256630">
        <w:t xml:space="preserve"> to account for </w:t>
      </w:r>
      <w:r w:rsidR="00C76E11">
        <w:t xml:space="preserve">this possible bias </w:t>
      </w:r>
      <w:r w:rsidR="00256630">
        <w:t>and have often been applied</w:t>
      </w:r>
      <w:r>
        <w:t xml:space="preserve"> </w:t>
      </w:r>
      <w:r w:rsidR="001B2D70">
        <w:t xml:space="preserve">to </w:t>
      </w:r>
      <w:r>
        <w:t xml:space="preserve">macroinvertebrate and zooplankton SIA </w:t>
      </w:r>
      <w:r>
        <w:fldChar w:fldCharType="begin" w:fldLock="1"/>
      </w:r>
      <w:r w:rsidR="001F1E20">
        <w:instrText>ADDIN CSL_CITATION { "citationItems" : [ { "id" : "ITEM-1", "itemData" : { "author" : [ { "dropping-particle" : "", "family" : "Grey", "given" : "Jonathan", "non-dropping-particle" : "", "parse-names" : false, "suffix" : "" }, { "dropping-particle" : "", "family" : "Jones", "given" : "RI", "non-dropping-particle" : "", "parse-names" : false, "suffix" : "" }, { "dropping-particle" : "", "family" : "Sleep", "given" : "D", "non-dropping-particle" : "", "parse-names" : false, "suffix" : "" } ], "container-title" : "Limnology and Oceanography", "id" : "ITEM-1", "issue" : "3", "issued" : { "date-parts" : [ [ "2001" ] ] }, "page" : "505-513", "title" : "Seasonal changes in the importance of the source of organic matter to the diet of zooplankton in Loch Ness, as indicated by stable isotope analysis", "type" : "article-journal", "volume" : "46" }, "uris" : [ "http://www.mendeley.com/documents/?uuid=d896c6c4-047d-4d79-ba15-67a7c98e5b34" ] }, { "id" : "ITEM-2", "itemData" : { "author" : [ { "dropping-particle" : "", "family" : "France", "given" : "RL", "non-dropping-particle" : "", "parse-names" : false, "suffix" : "" } ], "container-title" : "Limnology and oceanography", "id" : "ITEM-2", "issue" : "7", "issued" : { "date-parts" : [ [ "1995" ] ] }, "page" : "1310-1313", "title" : "Differentiation between littoral and pelagic food webs in lakes using stable carbon isotopes", "type" : "article-journal", "volume" : "40" }, "uris" : [ "http://www.mendeley.com/documents/?uuid=61563c1b-571b-4c71-8667-e378d896a82a" ] } ], "mendeley" : { "previouslyFormattedCitation" : "(France, 1995; Grey et al., 2001)" }, "properties" : { "noteIndex" : 0 }, "schema" : "https://github.com/citation-style-language/schema/raw/master/csl-citation.json" }</w:instrText>
      </w:r>
      <w:r>
        <w:fldChar w:fldCharType="separate"/>
      </w:r>
      <w:r w:rsidR="00E43224" w:rsidRPr="00E43224">
        <w:rPr>
          <w:noProof/>
        </w:rPr>
        <w:t>(France, 1995; Grey et al., 2001)</w:t>
      </w:r>
      <w:r>
        <w:fldChar w:fldCharType="end"/>
      </w:r>
      <w:r>
        <w:t xml:space="preserve">. </w:t>
      </w:r>
      <w:r w:rsidR="007B3108">
        <w:t xml:space="preserve">To allow passage of gut contents prior to SIA analyses, individuals are </w:t>
      </w:r>
      <w:r>
        <w:t>incubat</w:t>
      </w:r>
      <w:r w:rsidR="007B3108">
        <w:t>ed</w:t>
      </w:r>
      <w:r>
        <w:t xml:space="preserve"> in </w:t>
      </w:r>
      <w:r>
        <w:lastRenderedPageBreak/>
        <w:t>filtered water for an extended period of time (usually 24 hours</w:t>
      </w:r>
      <w:r w:rsidR="007B3108">
        <w:t xml:space="preserve">; </w:t>
      </w:r>
      <w:r>
        <w:fldChar w:fldCharType="begin" w:fldLock="1"/>
      </w:r>
      <w:r w:rsidR="001F1E20">
        <w:instrText>ADDIN CSL_CITATION { "citationItems" : [ { "id" : "ITEM-1", "itemData" : { "author" : [ { "dropping-particle" : "", "family" : "Schmidt", "given" : "Katrin", "non-dropping-particle" : "", "parse-names" : false, "suffix" : "" }, { "dropping-particle" : "", "family" : "Atkinson", "given" : "Angus", "non-dropping-particle" : "", "parse-names" : false, "suffix" : "" }, { "dropping-particle" : "", "family" : "Stubing", "given" : "D", "non-dropping-particle" : "", "parse-names" : false, "suffix" : "" }, { "dropping-particle" : "", "family" : "McClelland", "given" : "JW", "non-dropping-particle" : "", "parse-names" : false, "suffix" : "" }, { "dropping-particle" : "", "family" : "Montoya", "given" : "JP", "non-dropping-particle" : "", "parse-names" : false, "suffix" : "" }, { "dropping-particle" : "", "family" : "Voss", "given" : "M", "non-dropping-particle" : "", "parse-names" : false, "suffix" : "" } ], "container-title" : "Limnology and Oceanography", "id" : "ITEM-1", "issue" : "1", "issued" : { "date-parts" : [ [ "2003" ] ] }, "page" : "277-289", "title" : "Trophic relationships among Southern Ocean copepods and krill: some uses and limitations of a stable isotope approach", "type" : "article-journal", "volume" : "48" }, "uris" : [ "http://www.mendeley.com/documents/?uuid=399a622a-e935-4dde-b2b8-306b0c7b5208" ] } ], "mendeley" : { "manualFormatting" : "Schmidt et al., 2003)", "previouslyFormattedCitation" : "(Schmidt et al., 2003)" }, "properties" : { "noteIndex" : 0 }, "schema" : "https://github.com/citation-style-language/schema/raw/master/csl-citation.json" }</w:instrText>
      </w:r>
      <w:r>
        <w:fldChar w:fldCharType="separate"/>
      </w:r>
      <w:r w:rsidRPr="003003F8">
        <w:rPr>
          <w:noProof/>
        </w:rPr>
        <w:t>Schmidt et al., 2003)</w:t>
      </w:r>
      <w:r>
        <w:fldChar w:fldCharType="end"/>
      </w:r>
      <w:r>
        <w:t>. Past studies</w:t>
      </w:r>
      <w:r w:rsidR="001B2D70">
        <w:t>, however,</w:t>
      </w:r>
      <w:r>
        <w:t xml:space="preserve"> show mixed results. </w:t>
      </w:r>
      <w:proofErr w:type="spellStart"/>
      <w:r>
        <w:t>Feuchtmayr</w:t>
      </w:r>
      <w:proofErr w:type="spellEnd"/>
      <w:r>
        <w:t xml:space="preserve"> and Grey (2003) found that gut evacuation significantly changed </w:t>
      </w:r>
      <w:r w:rsidR="005841ED">
        <w:t xml:space="preserve">isotope composition of </w:t>
      </w:r>
      <w:r>
        <w:t xml:space="preserve">bulk </w:t>
      </w:r>
      <w:r w:rsidR="005841ED">
        <w:t xml:space="preserve">copepod </w:t>
      </w:r>
      <w:r>
        <w:t>samples, reducing error on estimates of δ</w:t>
      </w:r>
      <w:r>
        <w:rPr>
          <w:vertAlign w:val="superscript"/>
        </w:rPr>
        <w:t>15</w:t>
      </w:r>
      <w:r>
        <w:t>N and δ</w:t>
      </w:r>
      <w:r>
        <w:rPr>
          <w:vertAlign w:val="superscript"/>
        </w:rPr>
        <w:t>13</w:t>
      </w:r>
      <w:r>
        <w:t xml:space="preserve">C by &gt; 3.0 ‰, while gut clearance was unimportant for </w:t>
      </w:r>
      <w:r w:rsidRPr="000C2364">
        <w:rPr>
          <w:i/>
        </w:rPr>
        <w:t>Daphnia</w:t>
      </w:r>
      <w:r>
        <w:t xml:space="preserve"> and reduced error by &lt; 1.0 ‰. </w:t>
      </w:r>
      <w:proofErr w:type="spellStart"/>
      <w:r>
        <w:t>Smyntek</w:t>
      </w:r>
      <w:proofErr w:type="spellEnd"/>
      <w:r>
        <w:t xml:space="preserve"> </w:t>
      </w:r>
      <w:r w:rsidRPr="00966370">
        <w:rPr>
          <w:i/>
        </w:rPr>
        <w:t>et al.</w:t>
      </w:r>
      <w:r>
        <w:t xml:space="preserve"> (2007) found no difference between bulk samples of zooplankton </w:t>
      </w:r>
      <w:r w:rsidR="005841ED">
        <w:t xml:space="preserve">with </w:t>
      </w:r>
      <w:r w:rsidR="001B2D70">
        <w:t xml:space="preserve">and without </w:t>
      </w:r>
      <w:r w:rsidR="005841ED">
        <w:t>evacuated guts</w:t>
      </w:r>
      <w:r>
        <w:t>. The simplicity of gut evacuation methods ha</w:t>
      </w:r>
      <w:r w:rsidR="00777957">
        <w:t>s</w:t>
      </w:r>
      <w:r>
        <w:t xml:space="preserve"> led to continual recommendation of gut evacuation procedures even by researchers </w:t>
      </w:r>
      <w:r w:rsidR="001B2D70">
        <w:t xml:space="preserve">who </w:t>
      </w:r>
      <w:r>
        <w:t xml:space="preserve">found evidence suggesting that gut contents have no effect on observed isotope composition </w:t>
      </w:r>
      <w:r>
        <w:fldChar w:fldCharType="begin" w:fldLock="1"/>
      </w:r>
      <w:r w:rsidR="001F1E20">
        <w:instrText>ADDIN CSL_CITATION { "citationItems" : [ { "id" : "ITEM-1", "itemData" : { "DOI" : "10.4319/lo.2007.52.5.2135", "ISSN" : "00243590", "author" : [ { "dropping-particle" : "", "family" : "Smyntek", "given" : "Peter M.", "non-dropping-particle" : "", "parse-names" : false, "suffix" : "" }, { "dropping-particle" : "", "family" : "Teece", "given" : "Mark a.", "non-dropping-particle" : "", "parse-names" : false, "suffix" : "" }, { "dropping-particle" : "", "family" : "Schulz", "given" : "Kimberly L.", "non-dropping-particle" : "", "parse-names" : false, "suffix" : "" }, { "dropping-particle" : "", "family" : "Thackeray", "given" : "Stephen J.", "non-dropping-particle" : "", "parse-names" : false, "suffix" : "" } ], "container-title" : "Limnology and Oceanography", "id" : "ITEM-1", "issue" : "5", "issued" : { "date-parts" : [ [ "2007" ] ] }, "page" : "2135-2146", "title" : "A standard protocol for stable isotope analysis of zooplankton in aquatic food web research using mass balance correction models", "type" : "article-journal", "volume" : "52" }, "uris" : [ "http://www.mendeley.com/documents/?uuid=dc774d4f-4fed-4abc-82aa-ddc313a6b15e" ] }, { "id" : "ITEM-2", "itemData" : { "DOI" : "10.1002/rcm.1227", "ISSN" : "0951-4198", "PMID" : "14648896", "abstract" : "A literature survey of zooplankton stable isotope studies revealed inconsistencies between authors concerning (a) fixation and (b) allowance for gut clearance of zooplankton prior to delta13C and delta15N determinations. To address whether commonly used preservation techniques induce changes in stable isotope values, fresh lake zooplankton (control) were compared with preserved (ethanol, methanol, formaldehyde, gluteraldehyde, frozen and shock frozen) material. Differences of up to 1.1 per thousand for carbon and 1.5 per thousand for nitrogen isotopic signatures were found. Even freezing, the most frequently used method identified from the literature, caused significant changes compared with the control. We advocate the use of fresh material prepared immediately whenever possible, or complementary testing of the preservative method to be used. Larger organisms are routinely eviscerated, or specific tissues are dissected, and analysed for stable isotopes to reduce errors introduced via the gut contents. Yet zooplankton gut clearance is rarely performed: the gut content assumed to be negligible relative to organism mass. Experimental determinations of relative gut mass, from both original and compiled data, range from 1-26% for different zooplankton species. Using reported isotopic values of basal resources from natural systems, we calculated that, when analysing bulk zooplankton, inclusion of the gut mass may introduce substantial errors of &gt;3 per thousand. Thus it appears prudent to perform the simple procedure of gut clearance, especially for copepod species.", "author" : [ { "dropping-particle" : "", "family" : "Feuchtmayr", "given" : "Heidrun", "non-dropping-particle" : "", "parse-names" : false, "suffix" : "" }, { "dropping-particle" : "", "family" : "Grey", "given" : "Jonathan", "non-dropping-particle" : "", "parse-names" : false, "suffix" : "" } ], "container-title" : "Rapid communications in mass spectrometry: RCM", "id" : "ITEM-2", "issue" : "23", "issued" : { "date-parts" : [ [ "2003", "1" ] ] }, "page" : "2605-10", "title" : "Effect of preparation and preservation procedures on carbon and nitrogen stable isotope determinations from zooplankton.", "type" : "article-journal", "volume" : "17" }, "uris" : [ "http://www.mendeley.com/documents/?uuid=b272b694-1d52-4a09-8c1b-b2659c07cc2b" ] } ], "mendeley" : { "previouslyFormattedCitation" : "(Feuchtmayr and Grey, 2003; Smyntek et al., 2007)" }, "properties" : { "noteIndex" : 0 }, "schema" : "https://github.com/citation-style-language/schema/raw/master/csl-citation.json" }</w:instrText>
      </w:r>
      <w:r>
        <w:fldChar w:fldCharType="separate"/>
      </w:r>
      <w:r w:rsidR="00E43224" w:rsidRPr="00E43224">
        <w:rPr>
          <w:noProof/>
        </w:rPr>
        <w:t>(Feuchtmayr and Grey, 2003; Smyntek et al., 2007)</w:t>
      </w:r>
      <w:r>
        <w:fldChar w:fldCharType="end"/>
      </w:r>
      <w:r>
        <w:t xml:space="preserve">. In studies where organisms die during capture or where immediate processing is necessary, however, gut evacuation can be a difficult or </w:t>
      </w:r>
      <w:r w:rsidR="001B2D70">
        <w:t>un</w:t>
      </w:r>
      <w:r>
        <w:t xml:space="preserve">feasible step. Thus determining if gut content affects observed stable isotope composition is important for standardizing SIA procedures. </w:t>
      </w:r>
    </w:p>
    <w:p w:rsidR="003003F8" w:rsidRDefault="003003F8" w:rsidP="002C0EDE">
      <w:pPr>
        <w:spacing w:line="480" w:lineRule="auto"/>
        <w:ind w:firstLine="360"/>
      </w:pPr>
      <w:r>
        <w:t xml:space="preserve">We conducted a laboratory feeding experiment to test the null hypothesis that gut contents do not affect the observed stable isotope composition of whole organism samples of </w:t>
      </w:r>
      <w:r w:rsidRPr="00B47115">
        <w:rPr>
          <w:i/>
        </w:rPr>
        <w:t>Mysis</w:t>
      </w:r>
      <w:r w:rsidRPr="00587795">
        <w:rPr>
          <w:i/>
        </w:rPr>
        <w:t xml:space="preserve"> </w:t>
      </w:r>
      <w:r w:rsidRPr="00B47115">
        <w:rPr>
          <w:i/>
        </w:rPr>
        <w:t>diluviana</w:t>
      </w:r>
      <w:r>
        <w:rPr>
          <w:i/>
        </w:rPr>
        <w:t xml:space="preserve"> </w:t>
      </w:r>
      <w:r>
        <w:t>(</w:t>
      </w:r>
      <w:r w:rsidRPr="00B47115">
        <w:rPr>
          <w:i/>
        </w:rPr>
        <w:t>Mysis</w:t>
      </w:r>
      <w:r>
        <w:t>)</w:t>
      </w:r>
      <w:r>
        <w:rPr>
          <w:i/>
        </w:rPr>
        <w:t xml:space="preserve">. </w:t>
      </w:r>
      <w:r w:rsidRPr="00B47115">
        <w:rPr>
          <w:i/>
        </w:rPr>
        <w:t>Mysis</w:t>
      </w:r>
      <w:r>
        <w:rPr>
          <w:i/>
        </w:rPr>
        <w:t xml:space="preserve"> </w:t>
      </w:r>
      <w:r w:rsidR="007D4DFE">
        <w:t xml:space="preserve">is </w:t>
      </w:r>
      <w:r>
        <w:t xml:space="preserve">an aquatic macroinvertebrate common to deep oligotrophic North American lakes </w:t>
      </w:r>
      <w:r>
        <w:fldChar w:fldCharType="begin" w:fldLock="1"/>
      </w:r>
      <w:r w:rsidR="001F1E20">
        <w:instrText>ADDIN CSL_CITATION { "citationItems" : [ { "id" : "ITEM-1", "itemData" : { "author" : [ { "dropping-particle" : "", "family" : "Carpenter", "given" : "GF", "non-dropping-particle" : "", "parse-names" : false, "suffix" : "" }, { "dropping-particle" : "", "family" : "Mansey", "given" : "EL", "non-dropping-particle" : "", "parse-names" : false, "suffix" : "" }, { "dropping-particle" : "", "family" : "Watson", "given" : "NHF", "non-dropping-particle" : "", "parse-names" : false, "suffix" : "" } ], "container-title" : "Journal of The fisheries Research Board of Canada", "id" : "ITEM-1", "issued" : { "date-parts" : [ [ "1974" ] ] }, "page" : "319-325", "title" : "Abundance and life history of Mysis relicta in St. Lawrence", "type" : "article-journal", "volume" : "31" }, "uris" : [ "http://www.mendeley.com/documents/?uuid=6bb7b6f3-8536-45dd-9da4-d1ed4e76cc64" ] } ], "mendeley" : { "previouslyFormattedCitation" : "(Carpenter et al., 1974)" }, "properties" : { "noteIndex" : 0 }, "schema" : "https://github.com/citation-style-language/schema/raw/master/csl-citation.json" }</w:instrText>
      </w:r>
      <w:r>
        <w:fldChar w:fldCharType="separate"/>
      </w:r>
      <w:r w:rsidR="00E43224" w:rsidRPr="00E43224">
        <w:rPr>
          <w:noProof/>
        </w:rPr>
        <w:t>(Carpenter et al., 1974)</w:t>
      </w:r>
      <w:r>
        <w:fldChar w:fldCharType="end"/>
      </w:r>
      <w:r w:rsidR="006D68B1">
        <w:t xml:space="preserve">. </w:t>
      </w:r>
      <w:r w:rsidR="006D68B1" w:rsidRPr="000B5B2F">
        <w:rPr>
          <w:i/>
        </w:rPr>
        <w:t>Mysis</w:t>
      </w:r>
      <w:r>
        <w:t xml:space="preserve"> feed</w:t>
      </w:r>
      <w:r w:rsidR="007D4DFE">
        <w:t>s</w:t>
      </w:r>
      <w:r>
        <w:t xml:space="preserve"> omnivorously in both benthic and pelagic regions of lakes </w:t>
      </w:r>
      <w:r>
        <w:fldChar w:fldCharType="begin" w:fldLock="1"/>
      </w:r>
      <w:r w:rsidR="001F1E20">
        <w:instrText>ADDIN CSL_CITATION { "citationItems" : [ { "id" : "ITEM-1", "itemData" : { "DOI" : "10.1139/cjfas-58-10-1975", "ISSN" : "12057533", "author" : [ { "dropping-particle" : "", "family" : "Johannsson", "given" : "Ora E.", "non-dropping-particle" : "", "parse-names" : false, "suffix" : "" }, { "dropping-particle" : "", "family" : "Leggett", "given" : "Mike F.", "non-dropping-particle" : "", "parse-names" : false, "suffix" : "" }, { "dropping-particle" : "", "family" : "Rudstam", "given" : "Lars G.", "non-dropping-particle" : "", "parse-names" : false, "suffix" : "" }, { "dropping-particle" : "", "family" : "Servos", "given" : "Mark R.", "non-dropping-particle" : "", "parse-names" : false, "suffix" : "" }, { "dropping-particle" : "", "family" : "Mohammadian", "given" : "Ali Martonius", "non-dropping-particle" : "", "parse-names" : false, "suffix" : "" }, { "dropping-particle" : "", "family" : "Gal", "given" : "Gideon", "non-dropping-particle" : "", "parse-names" : false, "suffix" : "" }, { "dropping-particle" : "", "family" : "Dermott", "given" : "Ron M.", "non-dropping-particle" : "", "parse-names" : false, "suffix" : "" }, { "dropping-particle" : "", "family" : "Hesslein", "given" : "Ray H.", "non-dropping-particle" : "", "parse-names" : false, "suffix" : "" } ], "container-title" : "Canadian Journal of Fisheries and Aquatic Sciences", "id" : "ITEM-1", "issue" : "10", "issued" : { "date-parts" : [ [ "2001" ] ] }, "page" : "1975-1986", "title" : "Diet of Mysis relicta in Lake Ontario as revealed by stable isotope and gut content analysis", "type" : "article-journal", "volume" : "58" }, "uris" : [ "http://www.mendeley.com/documents/?uuid=1e4d76be-237b-4259-8f86-bb35fae8fdab" ] } ], "mendeley" : { "previouslyFormattedCitation" : "(Johannsson et al., 2001)" }, "properties" : { "noteIndex" : 0 }, "schema" : "https://github.com/citation-style-language/schema/raw/master/csl-citation.json" }</w:instrText>
      </w:r>
      <w:r>
        <w:fldChar w:fldCharType="separate"/>
      </w:r>
      <w:r w:rsidRPr="003003F8">
        <w:rPr>
          <w:noProof/>
        </w:rPr>
        <w:t>(Johannsson et al., 2001)</w:t>
      </w:r>
      <w:r>
        <w:fldChar w:fldCharType="end"/>
      </w:r>
      <w:r>
        <w:t xml:space="preserve">. The diet and behavior of </w:t>
      </w:r>
      <w:r w:rsidRPr="00B47115">
        <w:rPr>
          <w:i/>
        </w:rPr>
        <w:t>Mysis</w:t>
      </w:r>
      <w:r>
        <w:t xml:space="preserve"> </w:t>
      </w:r>
      <w:r w:rsidRPr="008329D8">
        <w:t>spp</w:t>
      </w:r>
      <w:r>
        <w:t xml:space="preserve">. have been studied with SIA techniques previously, but sample preparation varies among studies </w:t>
      </w:r>
      <w:r>
        <w:fldChar w:fldCharType="begin" w:fldLock="1"/>
      </w:r>
      <w:r w:rsidR="001F1E20">
        <w:instrText>ADDIN CSL_CITATION { "citationItems" : [ { "id" : "ITEM-1", "itemData" : { "DOI" : "10.1139/cjfas-58-10-1975", "ISSN" : "12057533", "author" : [ { "dropping-particle" : "", "family" : "Johannsson", "given" : "Ora E.", "non-dropping-particle" : "", "parse-names" : false, "suffix" : "" }, { "dropping-particle" : "", "family" : "Leggett", "given" : "Mike F.", "non-dropping-particle" : "", "parse-names" : false, "suffix" : "" }, { "dropping-particle" : "", "family" : "Rudstam", "given" : "Lars G.", "non-dropping-particle" : "", "parse-names" : false, "suffix" : "" }, { "dropping-particle" : "", "family" : "Servos", "given" : "Mark R.", "non-dropping-particle" : "", "parse-names" : false, "suffix" : "" }, { "dropping-particle" : "", "family" : "Mohammadian", "given" : "Ali Martonius", "non-dropping-particle" : "", "parse-names" : false, "suffix" : "" }, { "dropping-particle" : "", "family" : "Gal", "given" : "Gideon", "non-dropping-particle" : "", "parse-names" : false, "suffix" : "" }, { "dropping-particle" : "", "family" : "Dermott", "given" : "Ron M.", "non-dropping-particle" : "", "parse-names" : false, "suffix" : "" }, { "dropping-particle" : "", "family" : "Hesslein", "given" : "Ray H.", "non-dropping-particle" : "", "parse-names" : false, "suffix" : "" } ], "container-title" : "Canadian Journal of Fisheries and Aquatic Sciences", "id" : "ITEM-1", "issue" : "10", "issued" : { "date-parts" : [ [ "2001" ] ] }, "page" : "1975-1986", "title" : "Diet of Mysis relicta in Lake Ontario as revealed by stable isotope and gut content analysis", "type" : "article-journal", "volume" : "58" }, "uris" : [ "http://www.mendeley.com/documents/?uuid=1e4d76be-237b-4259-8f86-bb35fae8fdab" ] }, { "id" : "ITEM-2", "itemData" : { "DOI" : "10.1139/F2011-033", "author" : [ { "dropping-particle" : "", "family" : "Sierszen", "given" : "ME", "non-dropping-particle" : "", "parse-names" : false, "suffix" : "" }, { "dropping-particle" : "", "family" : "Kelly", "given" : "JR", "non-dropping-particle" : "", "parse-names" : false, "suffix" : "" }, { "dropping-particle" : "", "family" : "Corry", "given" : "TD", "non-dropping-particle" : "", "parse-names" : false, "suffix" : "" }, { "dropping-particle" : "", "family" : "Scharold", "given" : "JV", "non-dropping-particle" : "", "parse-names" : false, "suffix" : "" }, { "dropping-particle" : "", "family" : "Yurista", "given" : "PM", "non-dropping-particle" : "", "parse-names" : false, "suffix" : "" } ], "container-title" : "Canadian Journal of Fisheries and Aquatic Sciences", "id" : "ITEM-2", "issued" : { "date-parts" : [ [ "2011" ] ] }, "page" : "1051-1063", "title" : "Benthic and pelagic contributions to Mysis nutrition across Lake Superior", "type" : "article-journal", "volume" : "68" }, "uris" : [ "http://www.mendeley.com/documents/?uuid=b8c22f19-735f-4053-bc96-16f781abe08b" ] }, { "id" : "ITEM-3", "itemData" : { "DOI" : "10.1139/cjfas-56-11-2203", "ISSN" : "12057533", "author" : [ { "dropping-particle" : "", "family" : "Gorokhova", "given" : "Elena", "non-dropping-particle" : "", "parse-names" : false, "suffix" : "" }, { "dropping-particle" : "", "family" : "Hansson", "given" : "Sture", "non-dropping-particle" : "", "parse-names" : false, "suffix" : "" } ], "container-title" : "Canadian Journal of Fisheries and Aquatic Sciences", "id" : "ITEM-3", "issue" : "11", "issued" : { "date-parts" : [ [ "1999" ] ] }, "page" : "2203-2210", "title" : "An experimental study on variations in stable carbon and nitrogen isotope fractionation during growth of &lt;i&gt;Mysis mixta&lt;/i&gt; and &lt;i&gt;Neomysis integer&lt;/i&gt;", "type" : "article-journal", "volume" : "56" }, "uris" : [ "http://www.mendeley.com/documents/?uuid=97674e0c-c547-44e5-8458-eb974e23c63b" ] }, { "id" : "ITEM-4", "itemData" : { "DOI" : "10.1371/journal.pone.0057210", "ISSN" : "1932-6203", "author" : [ { "dropping-particle" : "", "family" : "Ogonowski", "given" : "Martin", "non-dropping-particle" : "", "parse-names" : false, "suffix" : "" }, { "dropping-particle" : "", "family" : "Duberg", "given" : "Jon", "non-dropping-particle" : "", "parse-names" : false, "suffix" : "" }, { "dropping-particle" : "", "family" : "Hansson", "given" : "Sture", "non-dropping-particle" : "", "parse-names" : false, "suffix" : "" }, { "dropping-particle" : "", "family" : "Gorokhova", "given" : "Elena", "non-dropping-particle" : "", "parse-names" : false, "suffix" : "" } ], "container-title" : "PLoS ONE", "editor" : [ { "dropping-particle" : "", "family" : "MacKenzie", "given" : "Brian R.", "non-dropping-particle" : "", "parse-names" : false, "suffix" : "" } ], "id" : "ITEM-4", "issue" : "3", "issued" : { "date-parts" : [ [ "2013", "3", "1" ] ] }, "page" : "e57210", "title" : "Behavioral, Ecological and Genetic Differentiation in an Open Environment\u2014A Study of a Mysid Population in the Baltic Sea", "type" : "article-journal", "volume" : "8" }, "uris" : [ "http://www.mendeley.com/documents/?uuid=acd873ee-6601-4148-b566-96821b29c637" ] } ], "mendeley" : { "previouslyFormattedCitation" : "(Gorokhova and Hansson, 1999; Johannsson et al., 2001; Ogonowski et al., 2013; Sierszen et al., 2011)" }, "properties" : { "noteIndex" : 0 }, "schema" : "https://github.com/citation-style-language/schema/raw/master/csl-citation.json" }</w:instrText>
      </w:r>
      <w:r>
        <w:fldChar w:fldCharType="separate"/>
      </w:r>
      <w:r w:rsidR="005D73EF" w:rsidRPr="005D73EF">
        <w:rPr>
          <w:noProof/>
          <w:lang w:val="da-DK"/>
        </w:rPr>
        <w:t>(Gorokhova and Hansson, 1999; Johannsson et al., 2001; Ogonowski et al., 2013; Sierszen et al., 2011)</w:t>
      </w:r>
      <w:r>
        <w:fldChar w:fldCharType="end"/>
      </w:r>
      <w:r w:rsidRPr="00284BDA">
        <w:rPr>
          <w:lang w:val="da-DK"/>
        </w:rPr>
        <w:t xml:space="preserve">. </w:t>
      </w:r>
      <w:r>
        <w:t xml:space="preserve">Testing </w:t>
      </w:r>
      <w:r w:rsidR="007D4DFE">
        <w:t xml:space="preserve">if </w:t>
      </w:r>
      <w:r>
        <w:t xml:space="preserve">gut contents affect the isotope composition of </w:t>
      </w:r>
      <w:r w:rsidRPr="00B47115">
        <w:rPr>
          <w:i/>
        </w:rPr>
        <w:t>Mysis</w:t>
      </w:r>
      <w:r>
        <w:t xml:space="preserve"> is an essential step </w:t>
      </w:r>
      <w:r w:rsidR="00777957">
        <w:t>to standardize preparation techniques for SIA and to interpret food web relationships.</w:t>
      </w:r>
      <w:r>
        <w:t xml:space="preserve"> </w:t>
      </w:r>
    </w:p>
    <w:p w:rsidR="00DC595E" w:rsidRPr="00587795" w:rsidRDefault="00DC595E" w:rsidP="00DC595E">
      <w:pPr>
        <w:spacing w:line="480" w:lineRule="auto"/>
      </w:pPr>
    </w:p>
    <w:p w:rsidR="003003F8" w:rsidRDefault="003003F8" w:rsidP="005841ED">
      <w:pPr>
        <w:pStyle w:val="ChapSub"/>
        <w:ind w:left="0"/>
        <w:jc w:val="left"/>
      </w:pPr>
      <w:bookmarkStart w:id="2" w:name="_Toc403982564"/>
      <w:r w:rsidRPr="00E72562">
        <w:lastRenderedPageBreak/>
        <w:t>Methods</w:t>
      </w:r>
      <w:bookmarkEnd w:id="2"/>
    </w:p>
    <w:p w:rsidR="006D68B1" w:rsidRDefault="003003F8" w:rsidP="006D68B1">
      <w:pPr>
        <w:shd w:val="clear" w:color="auto" w:fill="FFFFFF"/>
        <w:spacing w:line="480" w:lineRule="auto"/>
        <w:ind w:firstLine="360"/>
        <w:rPr>
          <w:rFonts w:ascii="Arial" w:hAnsi="Arial" w:cs="Arial"/>
          <w:color w:val="222222"/>
          <w:sz w:val="19"/>
          <w:szCs w:val="19"/>
        </w:rPr>
      </w:pPr>
      <w:r w:rsidRPr="00DE5928">
        <w:t xml:space="preserve">Live </w:t>
      </w:r>
      <w:r w:rsidRPr="00B47115">
        <w:rPr>
          <w:i/>
        </w:rPr>
        <w:t>Mysis</w:t>
      </w:r>
      <w:r>
        <w:t xml:space="preserve"> were collected from </w:t>
      </w:r>
      <w:r w:rsidRPr="00DE5928">
        <w:t>Lake Champlain (</w:t>
      </w:r>
      <w:r w:rsidRPr="00567F50">
        <w:t>44</w:t>
      </w:r>
      <w:r>
        <w:t xml:space="preserve">° </w:t>
      </w:r>
      <w:r w:rsidRPr="00567F50">
        <w:t>16</w:t>
      </w:r>
      <w:r>
        <w:t xml:space="preserve">’ </w:t>
      </w:r>
      <w:r w:rsidRPr="00567F50">
        <w:t>972</w:t>
      </w:r>
      <w:r>
        <w:t xml:space="preserve">” </w:t>
      </w:r>
      <w:r w:rsidRPr="00567F50">
        <w:t>N</w:t>
      </w:r>
      <w:r>
        <w:t>,</w:t>
      </w:r>
      <w:r w:rsidRPr="00567F50">
        <w:t xml:space="preserve"> 073</w:t>
      </w:r>
      <w:r>
        <w:t xml:space="preserve">° </w:t>
      </w:r>
      <w:r w:rsidRPr="00567F50">
        <w:t>19</w:t>
      </w:r>
      <w:r>
        <w:t xml:space="preserve">’ </w:t>
      </w:r>
      <w:r w:rsidRPr="00567F50">
        <w:t>448</w:t>
      </w:r>
      <w:r>
        <w:t>”</w:t>
      </w:r>
      <w:r w:rsidRPr="00567F50">
        <w:t xml:space="preserve"> W</w:t>
      </w:r>
      <w:r w:rsidRPr="00DE5928">
        <w:t xml:space="preserve">) </w:t>
      </w:r>
      <w:r>
        <w:t>at night on 20</w:t>
      </w:r>
      <w:r w:rsidRPr="00DE5928">
        <w:t xml:space="preserve"> November </w:t>
      </w:r>
      <w:r>
        <w:t>2013 using a benthic sled with a</w:t>
      </w:r>
      <w:r w:rsidR="000224B2">
        <w:t xml:space="preserve"> 1000-µm</w:t>
      </w:r>
      <w:r>
        <w:t xml:space="preserve"> </w:t>
      </w:r>
      <w:r w:rsidR="000224B2">
        <w:t xml:space="preserve">mesh net and </w:t>
      </w:r>
      <w:r>
        <w:t>250</w:t>
      </w:r>
      <w:r w:rsidR="00216237">
        <w:t>-</w:t>
      </w:r>
      <w:r>
        <w:t>µm mesh cod end</w:t>
      </w:r>
      <w:r w:rsidRPr="00DE5928">
        <w:t xml:space="preserve">. </w:t>
      </w:r>
      <w:r w:rsidRPr="00B47115">
        <w:rPr>
          <w:i/>
        </w:rPr>
        <w:t>Mysis</w:t>
      </w:r>
      <w:r>
        <w:t xml:space="preserve"> were transported live to the Rubenstein Ecosystem Science Laboratory in Burlington, VT, in coolers filled with unfiltered</w:t>
      </w:r>
      <w:r w:rsidR="00216237">
        <w:t>,</w:t>
      </w:r>
      <w:r>
        <w:t xml:space="preserve"> chilled lake water. Within 12 hours of capture </w:t>
      </w:r>
      <w:r w:rsidRPr="00B47115">
        <w:rPr>
          <w:i/>
        </w:rPr>
        <w:t>Mysis</w:t>
      </w:r>
      <w:r>
        <w:t xml:space="preserve"> were divided into five separate </w:t>
      </w:r>
      <w:r w:rsidR="001B2D70">
        <w:t>38-L</w:t>
      </w:r>
      <w:r>
        <w:t xml:space="preserve"> tanks filled with aerated </w:t>
      </w:r>
      <w:r w:rsidR="00AB0732">
        <w:t>filtered lake</w:t>
      </w:r>
      <w:r>
        <w:t xml:space="preserve"> water </w:t>
      </w:r>
      <w:r w:rsidR="00216237">
        <w:t xml:space="preserve">and </w:t>
      </w:r>
      <w:r>
        <w:t xml:space="preserve">placed in a </w:t>
      </w:r>
      <w:proofErr w:type="spellStart"/>
      <w:r>
        <w:t>Conviron</w:t>
      </w:r>
      <w:proofErr w:type="spellEnd"/>
      <w:r>
        <w:t xml:space="preserve"> CMP 4030 environmental chamber set to 4</w:t>
      </w:r>
      <w:r w:rsidR="001868A5">
        <w:t xml:space="preserve"> º</w:t>
      </w:r>
      <w:r>
        <w:t xml:space="preserve">C in constant dark. </w:t>
      </w:r>
      <w:r w:rsidR="00AB0732">
        <w:t>Initial number o</w:t>
      </w:r>
      <w:r w:rsidR="001B2D70">
        <w:t>f</w:t>
      </w:r>
      <w:r w:rsidR="00AB0732">
        <w:t xml:space="preserve"> </w:t>
      </w:r>
      <w:r w:rsidR="00AB0732" w:rsidRPr="00A643F7">
        <w:rPr>
          <w:i/>
        </w:rPr>
        <w:t>Mysis</w:t>
      </w:r>
      <w:r w:rsidR="00AB0732">
        <w:t xml:space="preserve"> per tank was estimated </w:t>
      </w:r>
      <w:r w:rsidR="006D68B1">
        <w:t xml:space="preserve">at &gt; 200 individuals per tank except tank 3 which had 40 individuals. Any remaining </w:t>
      </w:r>
      <w:r w:rsidR="006D68B1" w:rsidRPr="00B47115">
        <w:rPr>
          <w:i/>
        </w:rPr>
        <w:t>Mysis</w:t>
      </w:r>
      <w:r w:rsidR="006D68B1">
        <w:t xml:space="preserve"> (~</w:t>
      </w:r>
      <w:r w:rsidR="006D68B1" w:rsidRPr="00BF6F11">
        <w:rPr>
          <w:color w:val="000000" w:themeColor="text1"/>
        </w:rPr>
        <w:t xml:space="preserve">500 individuals) were left in the cooler, </w:t>
      </w:r>
      <w:r w:rsidR="006D68B1">
        <w:rPr>
          <w:color w:val="000000" w:themeColor="text1"/>
        </w:rPr>
        <w:t xml:space="preserve">and </w:t>
      </w:r>
      <w:r w:rsidR="006D68B1" w:rsidRPr="00BF6F11">
        <w:rPr>
          <w:color w:val="000000" w:themeColor="text1"/>
        </w:rPr>
        <w:t>placed in a walk-in refrigerator outfitted with red lights at 4 ºC</w:t>
      </w:r>
      <w:r w:rsidR="006D68B1">
        <w:rPr>
          <w:color w:val="000000" w:themeColor="text1"/>
        </w:rPr>
        <w:t>.</w:t>
      </w:r>
      <w:r w:rsidR="006D68B1" w:rsidRPr="00BF6F11">
        <w:rPr>
          <w:color w:val="000000" w:themeColor="text1"/>
        </w:rPr>
        <w:t xml:space="preserve"> </w:t>
      </w:r>
      <w:r w:rsidR="006D68B1">
        <w:rPr>
          <w:color w:val="000000" w:themeColor="text1"/>
        </w:rPr>
        <w:t xml:space="preserve">The plan was to use these </w:t>
      </w:r>
      <w:r w:rsidR="006D68B1" w:rsidRPr="009C413B">
        <w:rPr>
          <w:i/>
          <w:color w:val="000000" w:themeColor="text1"/>
        </w:rPr>
        <w:t>Mysis</w:t>
      </w:r>
      <w:r w:rsidR="006D68B1">
        <w:rPr>
          <w:color w:val="000000" w:themeColor="text1"/>
        </w:rPr>
        <w:t xml:space="preserve"> as replacement individuals for </w:t>
      </w:r>
      <w:r w:rsidR="006D68B1" w:rsidRPr="00BF6F11">
        <w:rPr>
          <w:color w:val="000000" w:themeColor="text1"/>
        </w:rPr>
        <w:t xml:space="preserve">  dead </w:t>
      </w:r>
      <w:r w:rsidR="006D68B1" w:rsidRPr="00BF6F11">
        <w:rPr>
          <w:i/>
          <w:color w:val="000000" w:themeColor="text1"/>
        </w:rPr>
        <w:t>Mysis</w:t>
      </w:r>
      <w:r w:rsidR="006D68B1" w:rsidRPr="00BF6F11">
        <w:rPr>
          <w:color w:val="000000" w:themeColor="text1"/>
        </w:rPr>
        <w:t xml:space="preserve"> in experimental tanks. However,</w:t>
      </w:r>
      <w:r w:rsidR="006D68B1" w:rsidRPr="00BF6F11">
        <w:rPr>
          <w:rStyle w:val="apple-converted-space"/>
          <w:color w:val="000000" w:themeColor="text1"/>
        </w:rPr>
        <w:t> </w:t>
      </w:r>
      <w:r w:rsidR="006D68B1" w:rsidRPr="00BF6F11">
        <w:rPr>
          <w:i/>
          <w:iCs/>
          <w:color w:val="000000" w:themeColor="text1"/>
        </w:rPr>
        <w:t>Mysis</w:t>
      </w:r>
      <w:r w:rsidR="006D68B1" w:rsidRPr="00BF6F11">
        <w:rPr>
          <w:rStyle w:val="apple-converted-space"/>
          <w:color w:val="000000" w:themeColor="text1"/>
        </w:rPr>
        <w:t> </w:t>
      </w:r>
      <w:r w:rsidR="006D68B1" w:rsidRPr="00BF6F11">
        <w:rPr>
          <w:color w:val="000000" w:themeColor="text1"/>
        </w:rPr>
        <w:t>in all tanks experienced high mortality (40 - 95 %) regardless of density during the acclimation period</w:t>
      </w:r>
      <w:r w:rsidR="006D68B1">
        <w:rPr>
          <w:color w:val="000000" w:themeColor="text1"/>
        </w:rPr>
        <w:t>.</w:t>
      </w:r>
      <w:r w:rsidR="006D68B1" w:rsidRPr="00BF6F11">
        <w:rPr>
          <w:color w:val="000000" w:themeColor="text1"/>
        </w:rPr>
        <w:t xml:space="preserve"> </w:t>
      </w:r>
      <w:r w:rsidR="006D68B1">
        <w:rPr>
          <w:color w:val="000000" w:themeColor="text1"/>
        </w:rPr>
        <w:t>Rather</w:t>
      </w:r>
      <w:r w:rsidR="006D68B1" w:rsidRPr="00BF6F11">
        <w:rPr>
          <w:color w:val="000000" w:themeColor="text1"/>
        </w:rPr>
        <w:t xml:space="preserve"> than replace dead individuals with</w:t>
      </w:r>
      <w:r w:rsidR="006D68B1" w:rsidRPr="00BF6F11">
        <w:rPr>
          <w:rStyle w:val="apple-converted-space"/>
          <w:color w:val="000000" w:themeColor="text1"/>
        </w:rPr>
        <w:t> </w:t>
      </w:r>
      <w:r w:rsidR="006D68B1" w:rsidRPr="00BF6F11">
        <w:rPr>
          <w:i/>
          <w:iCs/>
          <w:color w:val="000000" w:themeColor="text1"/>
        </w:rPr>
        <w:t>Mysis</w:t>
      </w:r>
      <w:r w:rsidR="006D68B1" w:rsidRPr="00BF6F11">
        <w:rPr>
          <w:rStyle w:val="apple-converted-space"/>
          <w:color w:val="000000" w:themeColor="text1"/>
        </w:rPr>
        <w:t> </w:t>
      </w:r>
      <w:r w:rsidR="006D68B1" w:rsidRPr="00BF6F11">
        <w:rPr>
          <w:color w:val="000000" w:themeColor="text1"/>
        </w:rPr>
        <w:t xml:space="preserve">from the cooler, </w:t>
      </w:r>
      <w:r w:rsidR="006D68B1">
        <w:rPr>
          <w:color w:val="000000" w:themeColor="text1"/>
        </w:rPr>
        <w:t xml:space="preserve">we used </w:t>
      </w:r>
      <w:r w:rsidR="006D68B1" w:rsidRPr="00BF6F11">
        <w:rPr>
          <w:color w:val="000000" w:themeColor="text1"/>
        </w:rPr>
        <w:t xml:space="preserve">the cooler as an additional replicate allowing for statistical assessment </w:t>
      </w:r>
      <w:r w:rsidR="006D68B1">
        <w:rPr>
          <w:color w:val="000000" w:themeColor="text1"/>
        </w:rPr>
        <w:t xml:space="preserve">of </w:t>
      </w:r>
      <w:r w:rsidR="006D68B1" w:rsidRPr="00BF6F11">
        <w:rPr>
          <w:color w:val="000000" w:themeColor="text1"/>
        </w:rPr>
        <w:t>bias due to differences in environmental conditions between the environmental chamber and the refrigerator.</w:t>
      </w:r>
      <w:r w:rsidR="006D68B1" w:rsidRPr="00BF6F11">
        <w:rPr>
          <w:rFonts w:ascii="Arial" w:hAnsi="Arial" w:cs="Arial"/>
          <w:color w:val="000000" w:themeColor="text1"/>
          <w:sz w:val="19"/>
          <w:szCs w:val="19"/>
        </w:rPr>
        <w:t> </w:t>
      </w:r>
    </w:p>
    <w:p w:rsidR="003003F8" w:rsidRDefault="003003F8" w:rsidP="005841ED">
      <w:pPr>
        <w:spacing w:line="480" w:lineRule="auto"/>
        <w:ind w:firstLine="360"/>
      </w:pPr>
      <w:r>
        <w:t xml:space="preserve">To standardize tissue isotope composition, </w:t>
      </w:r>
      <w:r w:rsidRPr="00B47115">
        <w:rPr>
          <w:i/>
        </w:rPr>
        <w:t>Mysis</w:t>
      </w:r>
      <w:r>
        <w:rPr>
          <w:i/>
        </w:rPr>
        <w:t xml:space="preserve"> </w:t>
      </w:r>
      <w:r>
        <w:t xml:space="preserve">were fed a daily ration of 30 – 40 ml filtered and rinsed live </w:t>
      </w:r>
      <w:proofErr w:type="spellStart"/>
      <w:r w:rsidRPr="00194F44">
        <w:rPr>
          <w:i/>
        </w:rPr>
        <w:t>Artemia</w:t>
      </w:r>
      <w:proofErr w:type="spellEnd"/>
      <w:r>
        <w:t xml:space="preserve"> grown in a density of 1.0 g of cysts/L</w:t>
      </w:r>
      <w:r w:rsidRPr="00C11B82">
        <w:t xml:space="preserve"> </w:t>
      </w:r>
      <w:r>
        <w:t xml:space="preserve">for 58 days leading up to </w:t>
      </w:r>
      <w:proofErr w:type="gramStart"/>
      <w:r>
        <w:t>the</w:t>
      </w:r>
      <w:proofErr w:type="gramEnd"/>
      <w:r>
        <w:t xml:space="preserve"> experiment. </w:t>
      </w:r>
      <w:proofErr w:type="spellStart"/>
      <w:r>
        <w:rPr>
          <w:i/>
        </w:rPr>
        <w:t>Artemia</w:t>
      </w:r>
      <w:proofErr w:type="spellEnd"/>
      <w:r>
        <w:rPr>
          <w:i/>
        </w:rPr>
        <w:t xml:space="preserve"> </w:t>
      </w:r>
      <w:r>
        <w:t xml:space="preserve">has been shown to be a sufficient food for </w:t>
      </w:r>
      <w:r w:rsidRPr="00B47115">
        <w:rPr>
          <w:i/>
        </w:rPr>
        <w:t>Mysis</w:t>
      </w:r>
      <w:r w:rsidRPr="001274A6">
        <w:rPr>
          <w:i/>
        </w:rPr>
        <w:t xml:space="preserve"> </w:t>
      </w:r>
      <w:r w:rsidRPr="008329D8">
        <w:t>spp</w:t>
      </w:r>
      <w:r w:rsidRPr="001274A6">
        <w:rPr>
          <w:i/>
        </w:rPr>
        <w:t>.</w:t>
      </w:r>
      <w:r>
        <w:t xml:space="preserve"> in captivity </w:t>
      </w:r>
      <w:r>
        <w:fldChar w:fldCharType="begin" w:fldLock="1"/>
      </w:r>
      <w:r w:rsidR="001F1E20">
        <w:instrText>ADDIN CSL_CITATION { "citationItems" : [ { "id" : "ITEM-1", "itemData" : { "author" : [ { "dropping-particle" : "", "family" : "Gorokhova", "given" : "Elena", "non-dropping-particle" : "", "parse-names" : false, "suffix" : "" } ], "container-title" : "Ecological modelling", "id" : "ITEM-1", "issued" : { "date-parts" : [ [ "1998" ] ] }, "page" : "45-54", "title" : "Exploring and modeling the growth dynamics of Mysis mixta", "type" : "article-journal", "volume" : "110" }, "uris" : [ "http://www.mendeley.com/documents/?uuid=8dbe52df-60a0-4c9b-b68c-fe111a832f2c" ] } ], "mendeley" : { "previouslyFormattedCitation" : "(Gorokhova, 1998)" }, "properties" : { "noteIndex" : 0 }, "schema" : "https://github.com/citation-style-language/schema/raw/master/csl-citation.json" }</w:instrText>
      </w:r>
      <w:r>
        <w:fldChar w:fldCharType="separate"/>
      </w:r>
      <w:r w:rsidRPr="003003F8">
        <w:rPr>
          <w:noProof/>
        </w:rPr>
        <w:t>(Gorokhova, 1998)</w:t>
      </w:r>
      <w:r>
        <w:fldChar w:fldCharType="end"/>
      </w:r>
      <w:r>
        <w:t xml:space="preserve">. To </w:t>
      </w:r>
      <w:r w:rsidR="00684F0E">
        <w:t xml:space="preserve">test </w:t>
      </w:r>
      <w:r w:rsidR="006D68B1">
        <w:t>whether</w:t>
      </w:r>
      <w:r w:rsidR="006D68B1">
        <w:t xml:space="preserve"> </w:t>
      </w:r>
      <w:r>
        <w:t xml:space="preserve">isotope composition of </w:t>
      </w:r>
      <w:r w:rsidRPr="00B47115">
        <w:rPr>
          <w:i/>
        </w:rPr>
        <w:t>Mysis</w:t>
      </w:r>
      <w:r>
        <w:t xml:space="preserve"> had completely turned over at the time of the experiment, we sampled </w:t>
      </w:r>
      <w:r w:rsidR="005D3773">
        <w:t xml:space="preserve">2 </w:t>
      </w:r>
      <w:r>
        <w:t>pre-experimental</w:t>
      </w:r>
      <w:r w:rsidRPr="00994EEA">
        <w:rPr>
          <w:i/>
        </w:rPr>
        <w:t xml:space="preserve"> </w:t>
      </w:r>
      <w:r w:rsidRPr="00B47115">
        <w:rPr>
          <w:i/>
        </w:rPr>
        <w:t>Mysis</w:t>
      </w:r>
      <w:r>
        <w:t xml:space="preserve"> </w:t>
      </w:r>
      <w:r w:rsidR="001B2D70">
        <w:t xml:space="preserve">from each tank </w:t>
      </w:r>
      <w:r>
        <w:t xml:space="preserve">on day 41 of </w:t>
      </w:r>
      <w:r w:rsidR="001B2D70">
        <w:t xml:space="preserve">the </w:t>
      </w:r>
      <w:r>
        <w:t>58</w:t>
      </w:r>
      <w:r w:rsidR="001B2D70">
        <w:t>-day</w:t>
      </w:r>
      <w:r>
        <w:t xml:space="preserve"> acclimation period</w:t>
      </w:r>
      <w:r w:rsidR="002F610F">
        <w:t>. These individuals were</w:t>
      </w:r>
      <w:r>
        <w:t xml:space="preserve"> processed immediately to </w:t>
      </w:r>
      <w:r w:rsidR="001B2D70">
        <w:t xml:space="preserve">provide </w:t>
      </w:r>
      <w:r>
        <w:t xml:space="preserve">a two-point comparison of isotope composition to </w:t>
      </w:r>
      <w:r w:rsidR="000224B2">
        <w:t xml:space="preserve">evaluate </w:t>
      </w:r>
      <w:r>
        <w:t xml:space="preserve">isotope turnover rates in </w:t>
      </w:r>
      <w:r w:rsidRPr="00B47115">
        <w:rPr>
          <w:i/>
        </w:rPr>
        <w:t>Mysis</w:t>
      </w:r>
      <w:r>
        <w:t xml:space="preserve"> </w:t>
      </w:r>
      <w:r>
        <w:fldChar w:fldCharType="begin" w:fldLock="1"/>
      </w:r>
      <w:r w:rsidR="001F1E20">
        <w:instrText>ADDIN CSL_CITATION { "citationItems" : [ { "id" : "ITEM-1", "itemData" : { "DOI" : "10.1139/cjfas-58-10-1975", "ISSN" : "12057533", "author" : [ { "dropping-particle" : "", "family" : "Johannsson", "given" : "Ora E.", "non-dropping-particle" : "", "parse-names" : false, "suffix" : "" }, { "dropping-particle" : "", "family" : "Leggett", "given" : "Mike F.", "non-dropping-particle" : "", "parse-names" : false, "suffix" : "" }, { "dropping-particle" : "", "family" : "Rudstam", "given" : "Lars G.", "non-dropping-particle" : "", "parse-names" : false, "suffix" : "" }, { "dropping-particle" : "", "family" : "Servos", "given" : "Mark R.", "non-dropping-particle" : "", "parse-names" : false, "suffix" : "" }, { "dropping-particle" : "", "family" : "Mohammadian", "given" : "Ali Martonius", "non-dropping-particle" : "", "parse-names" : false, "suffix" : "" }, { "dropping-particle" : "", "family" : "Gal", "given" : "Gideon", "non-dropping-particle" : "", "parse-names" : false, "suffix" : "" }, { "dropping-particle" : "", "family" : "Dermott", "given" : "Ron M.", "non-dropping-particle" : "", "parse-names" : false, "suffix" : "" }, { "dropping-particle" : "", "family" : "Hesslein", "given" : "Ray H.", "non-dropping-particle" : "", "parse-names" : false, "suffix" : "" } ], "container-title" : "Canadian Journal of Fisheries and Aquatic Sciences", "id" : "ITEM-1", "issue" : "10", "issued" : { "date-parts" : [ [ "2001" ] ] }, "page" : "1975-1986", "title" : "Diet of Mysis relicta in Lake Ontario as revealed by stable isotope and gut content analysis", "type" : "article-journal", "volume" : "58" }, "uris" : [ "http://www.mendeley.com/documents/?uuid=1e4d76be-237b-4259-8f86-bb35fae8fdab" ] }, { "id" : "ITEM-2", "itemData" : { "DOI" : "10.1139/cjfas-56-11-2203", "ISSN" : "12057533", "author" : [ { "dropping-particle" : "", "family" : "Gorokhova", "given" : "Elena", "non-dropping-particle" : "", "parse-names" : false, "suffix" : "" }, { "dropping-particle" : "", "family" : "Hansson", "given" : "Sture", "non-dropping-particle" : "", "parse-names" : false, "suffix" : "" } ], "container-title" : "Canadian Journal of Fisheries and Aquatic Sciences", "id" : "ITEM-2", "issue" : "11", "issued" : { "date-parts" : [ [ "1999" ] ] }, "page" : "2203-2210", "title" : "An experimental study on variations in stable carbon and nitrogen isotope fractionation during growth of &lt;i&gt;Mysis mixta&lt;/i&gt; and &lt;i&gt;Neomysis integer&lt;/i&gt;", "type" : "article-journal", "volume" : "56" }, "uris" : [ "http://www.mendeley.com/documents/?uuid=97674e0c-c547-44e5-8458-eb974e23c63b" ] } ], "mendeley" : { "previouslyFormattedCitation" : "(Gorokhova and Hansson, 1999; Johannsson et al., 2001)" }, "properties" : { "noteIndex" : 0 }, "schema" : "https://github.com/citation-style-language/schema/raw/master/csl-citation.json" }</w:instrText>
      </w:r>
      <w:r>
        <w:fldChar w:fldCharType="separate"/>
      </w:r>
      <w:r w:rsidR="005D73EF" w:rsidRPr="005D73EF">
        <w:rPr>
          <w:noProof/>
        </w:rPr>
        <w:t>(Gorokhova and Hansson, 1999; Johannsson et al., 2001)</w:t>
      </w:r>
      <w:r>
        <w:fldChar w:fldCharType="end"/>
      </w:r>
      <w:r>
        <w:t xml:space="preserve">. </w:t>
      </w:r>
      <w:r w:rsidR="001B2D70">
        <w:t xml:space="preserve">The only exception was tank 3, where high </w:t>
      </w:r>
      <w:r w:rsidR="001B2D70">
        <w:lastRenderedPageBreak/>
        <w:t xml:space="preserve">mortality precluded sampling of </w:t>
      </w:r>
      <w:r w:rsidR="00511914">
        <w:t xml:space="preserve">pre-experimental and experimental </w:t>
      </w:r>
      <w:r w:rsidR="00511914" w:rsidRPr="00A643F7">
        <w:rPr>
          <w:i/>
        </w:rPr>
        <w:t>Mysis</w:t>
      </w:r>
      <w:r w:rsidR="00511914">
        <w:t xml:space="preserve">. </w:t>
      </w:r>
      <w:r>
        <w:t xml:space="preserve">Each day, any dead </w:t>
      </w:r>
      <w:r w:rsidRPr="00B47115">
        <w:rPr>
          <w:i/>
        </w:rPr>
        <w:t>Mysis</w:t>
      </w:r>
      <w:r>
        <w:t xml:space="preserve"> were syphoned from each of the five tanks in the environmental chamber and the single cooler in the refrigerator and number of deaths per tank was recorded. Partial water changes </w:t>
      </w:r>
      <w:r w:rsidR="00511914">
        <w:t xml:space="preserve">for each tank </w:t>
      </w:r>
      <w:r>
        <w:t xml:space="preserve">were </w:t>
      </w:r>
      <w:r w:rsidR="00511914">
        <w:t xml:space="preserve">made </w:t>
      </w:r>
      <w:r>
        <w:t>every 3 - 6 days for the entirety of the study.</w:t>
      </w:r>
    </w:p>
    <w:p w:rsidR="003003F8" w:rsidRDefault="003003F8" w:rsidP="005841ED">
      <w:pPr>
        <w:spacing w:line="480" w:lineRule="auto"/>
        <w:ind w:firstLine="360"/>
      </w:pPr>
      <w:r>
        <w:t>To assess the effect</w:t>
      </w:r>
      <w:r w:rsidR="007C3F2F">
        <w:t>s</w:t>
      </w:r>
      <w:r>
        <w:t xml:space="preserve"> of gut content on individual </w:t>
      </w:r>
      <w:r w:rsidRPr="00BB3064">
        <w:rPr>
          <w:i/>
        </w:rPr>
        <w:t>Mysis</w:t>
      </w:r>
      <w:r>
        <w:t xml:space="preserve"> </w:t>
      </w:r>
      <w:r w:rsidR="000224B2">
        <w:t>SIA results</w:t>
      </w:r>
      <w:r>
        <w:t xml:space="preserve"> we measured the isotope composition of </w:t>
      </w:r>
      <w:r w:rsidRPr="00BB3064">
        <w:rPr>
          <w:i/>
        </w:rPr>
        <w:t>Mysis</w:t>
      </w:r>
      <w:r>
        <w:t xml:space="preserve"> </w:t>
      </w:r>
      <w:r w:rsidR="000224B2">
        <w:t>from</w:t>
      </w:r>
      <w:r>
        <w:t xml:space="preserve"> three different gut content treatments</w:t>
      </w:r>
      <w:r w:rsidR="00631300">
        <w:t>:</w:t>
      </w:r>
      <w:r>
        <w:t xml:space="preserve"> guts full of </w:t>
      </w:r>
      <w:proofErr w:type="spellStart"/>
      <w:r w:rsidRPr="00DC2929">
        <w:rPr>
          <w:i/>
        </w:rPr>
        <w:t>A</w:t>
      </w:r>
      <w:r>
        <w:rPr>
          <w:i/>
        </w:rPr>
        <w:t>rtemia</w:t>
      </w:r>
      <w:proofErr w:type="spellEnd"/>
      <w:r>
        <w:rPr>
          <w:i/>
        </w:rPr>
        <w:t xml:space="preserve">, </w:t>
      </w:r>
      <w:r>
        <w:t xml:space="preserve">guts full of green algae, </w:t>
      </w:r>
      <w:r w:rsidR="000224B2">
        <w:t xml:space="preserve">and </w:t>
      </w:r>
      <w:r w:rsidR="000224B2" w:rsidRPr="00417DBE">
        <w:rPr>
          <w:i/>
        </w:rPr>
        <w:t>Mysis</w:t>
      </w:r>
      <w:r w:rsidR="000224B2">
        <w:t xml:space="preserve"> with </w:t>
      </w:r>
      <w:r>
        <w:t>fully evacuated gut</w:t>
      </w:r>
      <w:r w:rsidR="000224B2">
        <w:t>s</w:t>
      </w:r>
      <w:r>
        <w:t xml:space="preserve">. Treatments were applied </w:t>
      </w:r>
      <w:r w:rsidR="009531EE">
        <w:t xml:space="preserve">to tanks </w:t>
      </w:r>
      <w:r w:rsidR="000224B2">
        <w:t xml:space="preserve">consecutively </w:t>
      </w:r>
      <w:r>
        <w:t xml:space="preserve">over a </w:t>
      </w:r>
      <w:r w:rsidR="00631300">
        <w:t>3-</w:t>
      </w:r>
      <w:r>
        <w:t xml:space="preserve">day period following the </w:t>
      </w:r>
      <w:r w:rsidR="00631300">
        <w:t>58-</w:t>
      </w:r>
      <w:r>
        <w:t>day acclimation period</w:t>
      </w:r>
      <w:r w:rsidR="00A76D8A">
        <w:t xml:space="preserve">. Because </w:t>
      </w:r>
      <w:r w:rsidR="009531EE">
        <w:t>dietary changes are reflected in tissue isotope composition on the order of months</w:t>
      </w:r>
      <w:r w:rsidR="00E959E4">
        <w:t xml:space="preserve"> </w:t>
      </w:r>
      <w:r w:rsidR="001B27D0">
        <w:fldChar w:fldCharType="begin" w:fldLock="1"/>
      </w:r>
      <w:r w:rsidR="001F1E20">
        <w:instrText>ADDIN CSL_CITATION { "citationItems" : [ { "id" : "ITEM-1", "itemData" : { "DOI" : "10.1139/cjfas-56-11-2203", "ISSN" : "12057533", "author" : [ { "dropping-particle" : "", "family" : "Gorokhova", "given" : "Elena", "non-dropping-particle" : "", "parse-names" : false, "suffix" : "" }, { "dropping-particle" : "", "family" : "Hansson", "given" : "Sture", "non-dropping-particle" : "", "parse-names" : false, "suffix" : "" } ], "container-title" : "Canadian Journal of Fisheries and Aquatic Sciences", "id" : "ITEM-1", "issue" : "11", "issued" : { "date-parts" : [ [ "1999" ] ] }, "page" : "2203-2210", "title" : "An experimental study on variations in stable carbon and nitrogen isotope fractionation during growth of &lt;i&gt;Mysis mixta&lt;/i&gt; and &lt;i&gt;Neomysis integer&lt;/i&gt;", "type" : "article-journal", "volume" : "56" }, "uris" : [ "http://www.mendeley.com/documents/?uuid=97674e0c-c547-44e5-8458-eb974e23c63b" ] } ], "mendeley" : { "previouslyFormattedCitation" : "(Gorokhova and Hansson, 1999)" }, "properties" : { "noteIndex" : 0 }, "schema" : "https://github.com/citation-style-language/schema/raw/master/csl-citation.json" }</w:instrText>
      </w:r>
      <w:r w:rsidR="001B27D0">
        <w:fldChar w:fldCharType="separate"/>
      </w:r>
      <w:r w:rsidR="001B27D0" w:rsidRPr="001B27D0">
        <w:rPr>
          <w:noProof/>
        </w:rPr>
        <w:t>(Gorokhova and Hansson, 1999)</w:t>
      </w:r>
      <w:r w:rsidR="001B27D0">
        <w:fldChar w:fldCharType="end"/>
      </w:r>
      <w:r w:rsidR="00511914">
        <w:t>,</w:t>
      </w:r>
      <w:r w:rsidR="00A76D8A">
        <w:t xml:space="preserve"> we assumed carryover effects of </w:t>
      </w:r>
      <w:r w:rsidR="0043756E">
        <w:t xml:space="preserve">our treatment </w:t>
      </w:r>
      <w:r w:rsidR="00A76D8A">
        <w:t xml:space="preserve"> procedure </w:t>
      </w:r>
      <w:r w:rsidR="00511914">
        <w:t xml:space="preserve">over three consecutive days </w:t>
      </w:r>
      <w:r w:rsidR="00A76D8A">
        <w:t xml:space="preserve">were negligible. </w:t>
      </w:r>
      <w:r w:rsidR="00511914">
        <w:t xml:space="preserve">We </w:t>
      </w:r>
      <w:r w:rsidR="0043756E">
        <w:t>randomly sampl</w:t>
      </w:r>
      <w:r w:rsidR="00511914">
        <w:t>ed</w:t>
      </w:r>
      <w:r w:rsidR="0043756E">
        <w:t xml:space="preserve"> 1</w:t>
      </w:r>
      <w:r w:rsidR="00511914">
        <w:t xml:space="preserve"> to </w:t>
      </w:r>
      <w:r w:rsidR="0043756E">
        <w:t xml:space="preserve">2 </w:t>
      </w:r>
      <w:r w:rsidR="0043756E" w:rsidRPr="00A643F7">
        <w:rPr>
          <w:i/>
        </w:rPr>
        <w:t>Mysis</w:t>
      </w:r>
      <w:r w:rsidR="0043756E">
        <w:t xml:space="preserve"> ≥10 mm from tanks 1 and 2 (due to high mortality) and 6</w:t>
      </w:r>
      <w:r w:rsidR="00511914">
        <w:t xml:space="preserve"> to </w:t>
      </w:r>
      <w:r w:rsidR="0043756E">
        <w:t xml:space="preserve">10 </w:t>
      </w:r>
      <w:r w:rsidR="0043756E" w:rsidRPr="00A643F7">
        <w:rPr>
          <w:i/>
        </w:rPr>
        <w:t>Mysis</w:t>
      </w:r>
      <w:r w:rsidR="0043756E">
        <w:t xml:space="preserve"> ≥10 mm from tanks 4,</w:t>
      </w:r>
      <w:r w:rsidR="0031479F">
        <w:t xml:space="preserve"> </w:t>
      </w:r>
      <w:r w:rsidR="0043756E">
        <w:t xml:space="preserve">5 and the cooler. No </w:t>
      </w:r>
      <w:r w:rsidR="0043756E" w:rsidRPr="00417DBE">
        <w:rPr>
          <w:i/>
        </w:rPr>
        <w:t>Mysis</w:t>
      </w:r>
      <w:r w:rsidR="0043756E">
        <w:t xml:space="preserve"> from tank 3 were </w:t>
      </w:r>
      <w:r w:rsidR="00511914">
        <w:t xml:space="preserve">available </w:t>
      </w:r>
      <w:r w:rsidR="0043756E">
        <w:t xml:space="preserve">because of high mortality. Sampled </w:t>
      </w:r>
      <w:r w:rsidR="0043756E" w:rsidRPr="00B47115">
        <w:rPr>
          <w:i/>
        </w:rPr>
        <w:t>Mysis</w:t>
      </w:r>
      <w:r w:rsidR="0043756E">
        <w:t xml:space="preserve"> were examined and photographed using an Olympus SZS9 dissecting scope and Infinity1 camera</w:t>
      </w:r>
      <w:r w:rsidR="00B45A1F">
        <w:t xml:space="preserve"> to ensure all samples met treatment requirements of full or empty guts</w:t>
      </w:r>
      <w:r w:rsidR="00511914">
        <w:t>. Photographed individuals were</w:t>
      </w:r>
      <w:r w:rsidR="0043756E">
        <w:t xml:space="preserve"> measured to the nearest </w:t>
      </w:r>
      <w:r w:rsidR="00765B10">
        <w:t>mm</w:t>
      </w:r>
      <w:r w:rsidR="0043756E">
        <w:t xml:space="preserve"> from the tip of the rostrum to the base of the </w:t>
      </w:r>
      <w:proofErr w:type="spellStart"/>
      <w:r w:rsidR="0043756E">
        <w:t>telson</w:t>
      </w:r>
      <w:proofErr w:type="spellEnd"/>
      <w:r w:rsidR="00511914">
        <w:t xml:space="preserve"> using </w:t>
      </w:r>
      <w:r w:rsidR="00ED0FCE" w:rsidRPr="0031479F">
        <w:t>Image-Pro Insight, version</w:t>
      </w:r>
      <w:r w:rsidR="009173A0">
        <w:t xml:space="preserve"> 8.0</w:t>
      </w:r>
      <w:r w:rsidR="00ED0FCE" w:rsidRPr="0031479F">
        <w:t xml:space="preserve"> </w:t>
      </w:r>
      <w:r w:rsidR="0031479F">
        <w:t>(</w:t>
      </w:r>
      <w:proofErr w:type="spellStart"/>
      <w:r w:rsidR="0031479F">
        <w:t>MediaCybernetics</w:t>
      </w:r>
      <w:proofErr w:type="spellEnd"/>
      <w:r w:rsidR="0031479F">
        <w:t>)</w:t>
      </w:r>
      <w:r w:rsidR="0043756E" w:rsidRPr="0031479F">
        <w:t>,</w:t>
      </w:r>
      <w:r w:rsidR="0043756E">
        <w:t xml:space="preserve"> and </w:t>
      </w:r>
      <w:r w:rsidR="00511914">
        <w:t xml:space="preserve">then </w:t>
      </w:r>
      <w:r w:rsidR="0043756E">
        <w:t xml:space="preserve">frozen at -20 ºC in individual 2-ml test tubes. </w:t>
      </w:r>
      <w:r w:rsidR="00A76D8A">
        <w:t>O</w:t>
      </w:r>
      <w:r>
        <w:t xml:space="preserve">n </w:t>
      </w:r>
      <w:r w:rsidR="007C3F2F">
        <w:t xml:space="preserve">Day 1 </w:t>
      </w:r>
      <w:r w:rsidR="00A77F4A">
        <w:t>of the treatments</w:t>
      </w:r>
      <w:r>
        <w:t xml:space="preserve">, </w:t>
      </w:r>
      <w:r w:rsidRPr="00773EC4">
        <w:rPr>
          <w:i/>
        </w:rPr>
        <w:t>Mysis</w:t>
      </w:r>
      <w:r>
        <w:t xml:space="preserve"> were collected with </w:t>
      </w:r>
      <w:proofErr w:type="spellStart"/>
      <w:r w:rsidRPr="00773EC4">
        <w:rPr>
          <w:i/>
        </w:rPr>
        <w:t>Artemia</w:t>
      </w:r>
      <w:proofErr w:type="spellEnd"/>
      <w:r w:rsidR="00E959E4">
        <w:t>-</w:t>
      </w:r>
      <w:r>
        <w:t>filled guts</w:t>
      </w:r>
      <w:r w:rsidR="00B45A1F">
        <w:t xml:space="preserve"> using the above procedure</w:t>
      </w:r>
      <w:r w:rsidR="0043756E">
        <w:t>.</w:t>
      </w:r>
      <w:r>
        <w:t xml:space="preserve"> Remaining </w:t>
      </w:r>
      <w:r w:rsidRPr="00B47115">
        <w:rPr>
          <w:i/>
        </w:rPr>
        <w:t>Mysis</w:t>
      </w:r>
      <w:r>
        <w:t xml:space="preserve"> </w:t>
      </w:r>
      <w:r w:rsidR="00217F3E">
        <w:t xml:space="preserve">in each tank </w:t>
      </w:r>
      <w:r>
        <w:t>were then netted and moved</w:t>
      </w:r>
      <w:r w:rsidR="00765B10">
        <w:t>,</w:t>
      </w:r>
      <w:r>
        <w:t xml:space="preserve"> </w:t>
      </w:r>
      <w:r w:rsidR="00217F3E">
        <w:t xml:space="preserve">without mixing </w:t>
      </w:r>
      <w:r w:rsidR="00217F3E" w:rsidRPr="00A643F7">
        <w:rPr>
          <w:i/>
        </w:rPr>
        <w:t>Mysis</w:t>
      </w:r>
      <w:r w:rsidR="00217F3E">
        <w:t xml:space="preserve"> among tanks</w:t>
      </w:r>
      <w:r w:rsidR="00765B10">
        <w:t>,</w:t>
      </w:r>
      <w:r w:rsidR="00217F3E">
        <w:t xml:space="preserve"> </w:t>
      </w:r>
      <w:r>
        <w:t xml:space="preserve">to </w:t>
      </w:r>
      <w:r w:rsidR="00A643F7">
        <w:t xml:space="preserve">five </w:t>
      </w:r>
      <w:r>
        <w:t xml:space="preserve">new tanks containing </w:t>
      </w:r>
      <w:r w:rsidR="00934A93">
        <w:t>4</w:t>
      </w:r>
      <w:r w:rsidR="00934A93" w:rsidRPr="00934A93">
        <w:t xml:space="preserve"> </w:t>
      </w:r>
      <w:r w:rsidR="00934A93">
        <w:t>ºC</w:t>
      </w:r>
      <w:r>
        <w:t xml:space="preserve">, fresh de-chlorinated water and starved for 24 hours to allow time for complete gut evacuation </w:t>
      </w:r>
      <w:r>
        <w:fldChar w:fldCharType="begin" w:fldLock="1"/>
      </w:r>
      <w:r w:rsidR="001F1E20">
        <w:instrText>ADDIN CSL_CITATION { "citationItems" : [ { "id" : "ITEM-1", "itemData" : { "DOI" : "10.1093/plankt/20.12.2401", "ISSN" : "0142-7873", "author" : [ { "dropping-particle" : "", "family" : "Chipps", "given" : "SR", "non-dropping-particle" : "", "parse-names" : false, "suffix" : "" } ], "container-title" : "Journal of Plankton Research", "id" : "ITEM-1", "issue" : "12", "issued" : { "date-parts" : [ [ "1998" ] ] }, "page" : "2401-2411", "title" : "Temperature-dependent consumption and gut-residence time in the opossum shrimp Mysis relicta", "type" : "article-journal", "volume" : "20" }, "uris" : [ "http://www.mendeley.com/documents/?uuid=4796b990-4a5c-4ba1-af94-5124b626e846" ] } ], "mendeley" : { "previouslyFormattedCitation" : "(Chipps, 1998)" }, "properties" : { "noteIndex" : 0 }, "schema" : "https://github.com/citation-style-language/schema/raw/master/csl-citation.json" }</w:instrText>
      </w:r>
      <w:r>
        <w:fldChar w:fldCharType="separate"/>
      </w:r>
      <w:r w:rsidRPr="003003F8">
        <w:rPr>
          <w:noProof/>
        </w:rPr>
        <w:t>(Chipps, 1998)</w:t>
      </w:r>
      <w:r>
        <w:fldChar w:fldCharType="end"/>
      </w:r>
      <w:r>
        <w:t xml:space="preserve">. On </w:t>
      </w:r>
      <w:r w:rsidR="007C3F2F">
        <w:t>Day 2</w:t>
      </w:r>
      <w:r>
        <w:t xml:space="preserve">, </w:t>
      </w:r>
      <w:r w:rsidRPr="00B47115">
        <w:rPr>
          <w:i/>
        </w:rPr>
        <w:t>Mysis</w:t>
      </w:r>
      <w:r>
        <w:t xml:space="preserve"> with evacuated guts </w:t>
      </w:r>
      <w:r w:rsidR="00765B10">
        <w:t>from original tanks 1,</w:t>
      </w:r>
      <w:r w:rsidR="007C3F2F">
        <w:t xml:space="preserve"> </w:t>
      </w:r>
      <w:r w:rsidR="00765B10">
        <w:t>2</w:t>
      </w:r>
      <w:r w:rsidR="007C3F2F">
        <w:t>,</w:t>
      </w:r>
      <w:r w:rsidR="00765B10">
        <w:t xml:space="preserve"> 4, 5 and the cooler </w:t>
      </w:r>
      <w:r>
        <w:t xml:space="preserve">were sampled using the same procedure as above. Following the sampling of </w:t>
      </w:r>
      <w:r>
        <w:rPr>
          <w:i/>
        </w:rPr>
        <w:t xml:space="preserve">Mysis </w:t>
      </w:r>
      <w:r>
        <w:t xml:space="preserve">with evacuated guts, remaining </w:t>
      </w:r>
      <w:r w:rsidRPr="00B47115">
        <w:rPr>
          <w:i/>
        </w:rPr>
        <w:t>Mysis</w:t>
      </w:r>
      <w:r>
        <w:t xml:space="preserve"> </w:t>
      </w:r>
      <w:r w:rsidR="00765B10">
        <w:t>from tanks 1,</w:t>
      </w:r>
      <w:r w:rsidR="007C3F2F">
        <w:t xml:space="preserve"> </w:t>
      </w:r>
      <w:r w:rsidR="00765B10">
        <w:t>2</w:t>
      </w:r>
      <w:r w:rsidR="007C3F2F">
        <w:t>,</w:t>
      </w:r>
      <w:r w:rsidR="00765B10">
        <w:t xml:space="preserve"> 4, </w:t>
      </w:r>
      <w:r w:rsidR="00765B10">
        <w:lastRenderedPageBreak/>
        <w:t>5 and the cooler</w:t>
      </w:r>
      <w:r w:rsidR="00765B10" w:rsidDel="00217F3E">
        <w:t xml:space="preserve"> </w:t>
      </w:r>
      <w:r>
        <w:t>were fed</w:t>
      </w:r>
      <w:r w:rsidR="00A643F7">
        <w:t xml:space="preserve"> green algae</w:t>
      </w:r>
      <w:r>
        <w:t xml:space="preserve"> (</w:t>
      </w:r>
      <w:proofErr w:type="spellStart"/>
      <w:r w:rsidRPr="007A5C32">
        <w:rPr>
          <w:i/>
          <w:shd w:val="clear" w:color="auto" w:fill="FFFFFF"/>
        </w:rPr>
        <w:t>Scenedesmus</w:t>
      </w:r>
      <w:proofErr w:type="spellEnd"/>
      <w:r w:rsidRPr="007A5C32">
        <w:rPr>
          <w:i/>
          <w:shd w:val="clear" w:color="auto" w:fill="FFFFFF"/>
        </w:rPr>
        <w:t xml:space="preserve"> </w:t>
      </w:r>
      <w:proofErr w:type="spellStart"/>
      <w:r w:rsidRPr="00CA4B91">
        <w:rPr>
          <w:i/>
          <w:shd w:val="clear" w:color="auto" w:fill="FFFFFF"/>
        </w:rPr>
        <w:t>obliquus</w:t>
      </w:r>
      <w:proofErr w:type="spellEnd"/>
      <w:r>
        <w:t>)</w:t>
      </w:r>
      <w:r w:rsidR="00A643F7">
        <w:t xml:space="preserve"> </w:t>
      </w:r>
      <w:r w:rsidR="00A643F7" w:rsidRPr="00A41580">
        <w:rPr>
          <w:i/>
        </w:rPr>
        <w:t>a</w:t>
      </w:r>
      <w:r w:rsidR="007C3F2F">
        <w:rPr>
          <w:i/>
        </w:rPr>
        <w:t>d</w:t>
      </w:r>
      <w:r w:rsidR="00A643F7" w:rsidRPr="00A41580">
        <w:rPr>
          <w:i/>
        </w:rPr>
        <w:t xml:space="preserve"> libitum</w:t>
      </w:r>
      <w:r w:rsidR="00765B10">
        <w:t>,</w:t>
      </w:r>
      <w:r>
        <w:t xml:space="preserve"> left to feed for 24 hours, and then sampled </w:t>
      </w:r>
      <w:r w:rsidR="00765B10">
        <w:t xml:space="preserve">on </w:t>
      </w:r>
      <w:r w:rsidR="007C3F2F">
        <w:t>Day 3</w:t>
      </w:r>
      <w:r w:rsidR="00765B10">
        <w:t xml:space="preserve"> </w:t>
      </w:r>
      <w:r>
        <w:t xml:space="preserve">using the same procedure as above. Bulk samples of </w:t>
      </w:r>
      <w:proofErr w:type="spellStart"/>
      <w:r w:rsidRPr="001274A6">
        <w:rPr>
          <w:i/>
        </w:rPr>
        <w:t>Artemia</w:t>
      </w:r>
      <w:proofErr w:type="spellEnd"/>
      <w:r>
        <w:t xml:space="preserve"> and green algae were collected into 2 ml test tubes and dried for analysis of diet source at the time of the experiment. </w:t>
      </w:r>
    </w:p>
    <w:p w:rsidR="003003F8" w:rsidRDefault="003003F8" w:rsidP="005841ED">
      <w:pPr>
        <w:spacing w:line="480" w:lineRule="auto"/>
        <w:ind w:firstLine="360"/>
      </w:pPr>
      <w:r>
        <w:t xml:space="preserve">Within </w:t>
      </w:r>
      <w:r w:rsidR="00765B10">
        <w:t xml:space="preserve">two </w:t>
      </w:r>
      <w:r>
        <w:t xml:space="preserve">months of the conclusion of the experiment, </w:t>
      </w:r>
      <w:r w:rsidRPr="00B47115">
        <w:rPr>
          <w:i/>
        </w:rPr>
        <w:t>Mysis</w:t>
      </w:r>
      <w:r>
        <w:t xml:space="preserve"> were thawed for processing; several </w:t>
      </w:r>
      <w:proofErr w:type="spellStart"/>
      <w:r>
        <w:t>p</w:t>
      </w:r>
      <w:r w:rsidRPr="00567F50">
        <w:t>leopods</w:t>
      </w:r>
      <w:proofErr w:type="spellEnd"/>
      <w:r w:rsidRPr="00567F50">
        <w:t xml:space="preserve"> were removed from all selected individuals and re-frozen for genetic analysis</w:t>
      </w:r>
      <w:r w:rsidR="00A1004D">
        <w:t xml:space="preserve"> for a different study</w:t>
      </w:r>
      <w:r>
        <w:t>. The remaining</w:t>
      </w:r>
      <w:r w:rsidRPr="00567F50">
        <w:t xml:space="preserve"> </w:t>
      </w:r>
      <w:r w:rsidRPr="00F51B9E">
        <w:t>bod</w:t>
      </w:r>
      <w:r w:rsidR="00B45A1F">
        <w:t>ies</w:t>
      </w:r>
      <w:r>
        <w:rPr>
          <w:i/>
        </w:rPr>
        <w:t xml:space="preserve"> </w:t>
      </w:r>
      <w:r>
        <w:t xml:space="preserve">along with samples of green algae and </w:t>
      </w:r>
      <w:proofErr w:type="spellStart"/>
      <w:r w:rsidRPr="00DB1A42">
        <w:rPr>
          <w:i/>
        </w:rPr>
        <w:t>Artemia</w:t>
      </w:r>
      <w:proofErr w:type="spellEnd"/>
      <w:r>
        <w:t xml:space="preserve"> were</w:t>
      </w:r>
      <w:r w:rsidRPr="00567F50">
        <w:t xml:space="preserve"> dried </w:t>
      </w:r>
      <w:r w:rsidR="007C3F2F">
        <w:t xml:space="preserve">in a drying oven </w:t>
      </w:r>
      <w:r w:rsidRPr="00567F50">
        <w:t>at 60</w:t>
      </w:r>
      <w:r w:rsidR="008D4AFC">
        <w:t xml:space="preserve"> º</w:t>
      </w:r>
      <w:r w:rsidRPr="00567F50">
        <w:t xml:space="preserve">C for 72 hours. </w:t>
      </w:r>
      <w:r>
        <w:t xml:space="preserve">Whole dried individual </w:t>
      </w:r>
      <w:r w:rsidRPr="00B47115">
        <w:rPr>
          <w:i/>
        </w:rPr>
        <w:t>Mysis</w:t>
      </w:r>
      <w:r>
        <w:t xml:space="preserve"> and 3 laboratory replicates of each source food</w:t>
      </w:r>
      <w:r w:rsidRPr="00567F50">
        <w:t xml:space="preserve"> were milled using a mortar and pestle into a fine powder</w:t>
      </w:r>
      <w:r w:rsidR="007C3F2F">
        <w:t>,</w:t>
      </w:r>
      <w:r w:rsidRPr="00567F50">
        <w:t xml:space="preserve"> then 0.7</w:t>
      </w:r>
      <w:r>
        <w:t xml:space="preserve">1 </w:t>
      </w:r>
      <w:r w:rsidR="00A1004D">
        <w:t xml:space="preserve">– </w:t>
      </w:r>
      <w:r>
        <w:t>0.89</w:t>
      </w:r>
      <w:r w:rsidRPr="00567F50">
        <w:t xml:space="preserve"> mg of</w:t>
      </w:r>
      <w:r w:rsidR="00A1004D">
        <w:t xml:space="preserve"> each individual</w:t>
      </w:r>
      <w:r w:rsidRPr="00567F50">
        <w:t xml:space="preserve"> </w:t>
      </w:r>
      <w:r w:rsidRPr="00B47115">
        <w:rPr>
          <w:i/>
        </w:rPr>
        <w:t>Mysis</w:t>
      </w:r>
      <w:r>
        <w:t xml:space="preserve"> and</w:t>
      </w:r>
      <w:r w:rsidR="00A1004D">
        <w:t xml:space="preserve"> bulk</w:t>
      </w:r>
      <w:r>
        <w:t xml:space="preserve"> </w:t>
      </w:r>
      <w:proofErr w:type="spellStart"/>
      <w:r w:rsidRPr="00DB1A42">
        <w:rPr>
          <w:i/>
        </w:rPr>
        <w:t>Artemia</w:t>
      </w:r>
      <w:proofErr w:type="spellEnd"/>
      <w:r>
        <w:t xml:space="preserve"> </w:t>
      </w:r>
      <w:r w:rsidRPr="00567F50">
        <w:t xml:space="preserve">tissue </w:t>
      </w:r>
      <w:r>
        <w:t xml:space="preserve">and 2.4 </w:t>
      </w:r>
      <w:r w:rsidR="00A1004D">
        <w:t>–</w:t>
      </w:r>
      <w:r>
        <w:t xml:space="preserve"> 2.5 mg of green algae </w:t>
      </w:r>
      <w:r w:rsidR="0056673D">
        <w:t>were</w:t>
      </w:r>
      <w:r w:rsidR="0056673D" w:rsidRPr="00567F50">
        <w:t xml:space="preserve"> </w:t>
      </w:r>
      <w:r w:rsidRPr="00567F50">
        <w:t xml:space="preserve">added to </w:t>
      </w:r>
      <w:r>
        <w:t xml:space="preserve">3.5 </w:t>
      </w:r>
      <w:r w:rsidR="00A1004D">
        <w:t xml:space="preserve">x </w:t>
      </w:r>
      <w:r>
        <w:t>5 mm</w:t>
      </w:r>
      <w:r w:rsidRPr="00567F50">
        <w:t xml:space="preserve"> tin capsules</w:t>
      </w:r>
      <w:r>
        <w:t xml:space="preserve"> </w:t>
      </w:r>
      <w:r w:rsidR="00935894">
        <w:t>(</w:t>
      </w:r>
      <w:proofErr w:type="spellStart"/>
      <w:r w:rsidR="00ED0FCE">
        <w:t>Costech</w:t>
      </w:r>
      <w:proofErr w:type="spellEnd"/>
      <w:r w:rsidR="00ED0FCE">
        <w:t xml:space="preserve"> Analytical Technologies</w:t>
      </w:r>
      <w:r w:rsidR="00935894">
        <w:t xml:space="preserve">) </w:t>
      </w:r>
      <w:r>
        <w:t>for SIA</w:t>
      </w:r>
      <w:r w:rsidRPr="00567F50">
        <w:t>.</w:t>
      </w:r>
    </w:p>
    <w:p w:rsidR="003003F8" w:rsidRDefault="003003F8" w:rsidP="005841ED">
      <w:pPr>
        <w:spacing w:line="480" w:lineRule="auto"/>
        <w:ind w:firstLine="360"/>
      </w:pPr>
      <w:r w:rsidRPr="00567F50">
        <w:t xml:space="preserve">Samples were analyzed for relative abundance of stable carbon and nitrogen isotopes at the University of Wyoming Stable Isotope Facility using continuous flow settings on a </w:t>
      </w:r>
      <w:proofErr w:type="spellStart"/>
      <w:r w:rsidRPr="00567F50">
        <w:t>Costech</w:t>
      </w:r>
      <w:proofErr w:type="spellEnd"/>
      <w:r w:rsidRPr="00567F50">
        <w:t xml:space="preserve"> 4010 Elemental Analyzer coupled to a </w:t>
      </w:r>
      <w:proofErr w:type="spellStart"/>
      <w:r w:rsidRPr="00567F50">
        <w:t>Thermo</w:t>
      </w:r>
      <w:proofErr w:type="spellEnd"/>
      <w:r w:rsidRPr="00567F50">
        <w:t xml:space="preserve"> Delta </w:t>
      </w:r>
      <w:proofErr w:type="gramStart"/>
      <w:r w:rsidRPr="00567F50">
        <w:t>Plus</w:t>
      </w:r>
      <w:proofErr w:type="gramEnd"/>
      <w:r w:rsidRPr="00567F50">
        <w:t xml:space="preserve"> XP IRMS. </w:t>
      </w:r>
      <w:r>
        <w:t xml:space="preserve">Results are expressed in parts per thousand (‰) and denoted as δ calculated according to </w:t>
      </w:r>
      <w:r w:rsidR="00D840F2">
        <w:t xml:space="preserve">the </w:t>
      </w:r>
      <w:r>
        <w:t>equation:</w:t>
      </w:r>
    </w:p>
    <w:p w:rsidR="003003F8" w:rsidRPr="003003F8" w:rsidRDefault="003003F8" w:rsidP="003003F8">
      <w:pPr>
        <w:spacing w:line="480" w:lineRule="auto"/>
        <w:jc w:val="center"/>
      </w:pPr>
      <m:oMathPara>
        <m:oMath>
          <m:r>
            <w:rPr>
              <w:rFonts w:ascii="Cambria Math" w:hAnsi="Cambria Math"/>
            </w:rPr>
            <m:t>δX=</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Sample</m:t>
                          </m:r>
                        </m:sub>
                      </m:sSub>
                    </m:num>
                    <m:den>
                      <m:sSub>
                        <m:sSubPr>
                          <m:ctrlPr>
                            <w:rPr>
                              <w:rFonts w:ascii="Cambria Math" w:hAnsi="Cambria Math"/>
                              <w:i/>
                            </w:rPr>
                          </m:ctrlPr>
                        </m:sSubPr>
                        <m:e>
                          <m:r>
                            <w:rPr>
                              <w:rFonts w:ascii="Cambria Math" w:hAnsi="Cambria Math"/>
                            </w:rPr>
                            <m:t>R</m:t>
                          </m:r>
                        </m:e>
                        <m:sub>
                          <m:r>
                            <w:rPr>
                              <w:rFonts w:ascii="Cambria Math" w:hAnsi="Cambria Math"/>
                            </w:rPr>
                            <m:t>standard</m:t>
                          </m:r>
                        </m:sub>
                      </m:sSub>
                    </m:den>
                  </m:f>
                </m:e>
              </m:d>
              <m:r>
                <w:rPr>
                  <w:rFonts w:ascii="Cambria Math" w:hAnsi="Cambria Math"/>
                </w:rPr>
                <m:t>-1</m:t>
              </m:r>
            </m:e>
          </m:d>
          <m:r>
            <w:rPr>
              <w:rFonts w:ascii="Cambria Math" w:hAnsi="Cambria Math"/>
            </w:rPr>
            <m:t>*1000</m:t>
          </m:r>
        </m:oMath>
      </m:oMathPara>
    </w:p>
    <w:p w:rsidR="0028266C" w:rsidRPr="00C6039F" w:rsidRDefault="003003F8" w:rsidP="0028266C">
      <w:pPr>
        <w:autoSpaceDE w:val="0"/>
        <w:autoSpaceDN w:val="0"/>
        <w:adjustRightInd w:val="0"/>
        <w:spacing w:line="480" w:lineRule="auto"/>
        <w:rPr>
          <w:rFonts w:ascii="AdvPSPAL-R" w:hAnsi="AdvPSPAL-R" w:cs="AdvPSPAL-R"/>
        </w:rPr>
      </w:pPr>
      <w:proofErr w:type="gramStart"/>
      <w:r>
        <w:t>where</w:t>
      </w:r>
      <w:proofErr w:type="gramEnd"/>
      <w:r>
        <w:t xml:space="preserve"> X is </w:t>
      </w:r>
      <w:r>
        <w:rPr>
          <w:vertAlign w:val="superscript"/>
        </w:rPr>
        <w:t>15</w:t>
      </w:r>
      <w:r>
        <w:t xml:space="preserve">N or </w:t>
      </w:r>
      <w:r>
        <w:rPr>
          <w:vertAlign w:val="superscript"/>
        </w:rPr>
        <w:t>13</w:t>
      </w:r>
      <w:r>
        <w:t>C</w:t>
      </w:r>
      <w:r w:rsidR="00935894">
        <w:t>,</w:t>
      </w:r>
      <w:r>
        <w:t xml:space="preserve"> R is the corresponding ratio </w:t>
      </w:r>
      <w:r>
        <w:rPr>
          <w:vertAlign w:val="superscript"/>
        </w:rPr>
        <w:t>15</w:t>
      </w:r>
      <w:r>
        <w:t>N:</w:t>
      </w:r>
      <w:r>
        <w:rPr>
          <w:vertAlign w:val="superscript"/>
        </w:rPr>
        <w:t>14</w:t>
      </w:r>
      <w:r>
        <w:t xml:space="preserve">N or </w:t>
      </w:r>
      <w:r>
        <w:rPr>
          <w:vertAlign w:val="superscript"/>
        </w:rPr>
        <w:t>13</w:t>
      </w:r>
      <w:r>
        <w:t>C:</w:t>
      </w:r>
      <w:r>
        <w:rPr>
          <w:vertAlign w:val="superscript"/>
        </w:rPr>
        <w:t>12</w:t>
      </w:r>
      <w:r>
        <w:t>C</w:t>
      </w:r>
      <w:r w:rsidR="0028266C">
        <w:t xml:space="preserve">, </w:t>
      </w:r>
      <w:r w:rsidR="0028266C" w:rsidRPr="007B074D">
        <w:t>and</w:t>
      </w:r>
      <w:r w:rsidR="0028266C">
        <w:t xml:space="preserve"> </w:t>
      </w:r>
      <w:r w:rsidR="0028266C" w:rsidRPr="00C6039F">
        <w:rPr>
          <w:rFonts w:ascii="AdvPSPAL-R" w:hAnsi="AdvPSPAL-R" w:cs="AdvPSPAL-R"/>
        </w:rPr>
        <w:t>the standard</w:t>
      </w:r>
    </w:p>
    <w:p w:rsidR="003003F8" w:rsidRDefault="0028266C" w:rsidP="0028266C">
      <w:pPr>
        <w:spacing w:line="480" w:lineRule="auto"/>
      </w:pPr>
      <w:proofErr w:type="gramStart"/>
      <w:r w:rsidRPr="00C6039F">
        <w:rPr>
          <w:rFonts w:ascii="AdvPSPAL-R" w:hAnsi="AdvPSPAL-R" w:cs="AdvPSPAL-R"/>
        </w:rPr>
        <w:t>was</w:t>
      </w:r>
      <w:proofErr w:type="gramEnd"/>
      <w:r w:rsidRPr="00C6039F">
        <w:rPr>
          <w:rFonts w:ascii="AdvPSPAL-R" w:hAnsi="AdvPSPAL-R" w:cs="AdvPSPAL-R"/>
        </w:rPr>
        <w:t xml:space="preserve"> Vienna Pee Dee belemnite (VPDB) for carbon and atmospheric N</w:t>
      </w:r>
      <w:r w:rsidRPr="00C6039F">
        <w:rPr>
          <w:rFonts w:ascii="AdvPSPAL-R" w:hAnsi="AdvPSPAL-R" w:cs="AdvPSPAL-R"/>
          <w:vertAlign w:val="subscript"/>
        </w:rPr>
        <w:t>2</w:t>
      </w:r>
      <w:r w:rsidRPr="00C6039F">
        <w:rPr>
          <w:rFonts w:ascii="AdvPSPAL-R" w:hAnsi="AdvPSPAL-R" w:cs="AdvPSPAL-R"/>
        </w:rPr>
        <w:t xml:space="preserve"> for nitrogen</w:t>
      </w:r>
      <w:r w:rsidR="003003F8">
        <w:t xml:space="preserve">. </w:t>
      </w:r>
      <w:r w:rsidRPr="00061DFE">
        <w:t>For quality control, 36-UWSIF- Glutamic 1</w:t>
      </w:r>
      <w:r>
        <w:t>,</w:t>
      </w:r>
      <w:r w:rsidRPr="00061DFE">
        <w:t xml:space="preserve"> 39-UWSIF-Glutamic 2</w:t>
      </w:r>
      <w:r>
        <w:t xml:space="preserve">, </w:t>
      </w:r>
      <w:r w:rsidRPr="00061DFE">
        <w:t xml:space="preserve">and UWSIF01 Liver </w:t>
      </w:r>
      <w:r>
        <w:t>were</w:t>
      </w:r>
      <w:r w:rsidRPr="00061DFE">
        <w:t xml:space="preserve"> used for measurement</w:t>
      </w:r>
      <w:r>
        <w:t>s</w:t>
      </w:r>
      <w:r w:rsidRPr="00061DFE">
        <w:t xml:space="preserve"> of </w:t>
      </w:r>
      <w:r>
        <w:t xml:space="preserve">standard </w:t>
      </w:r>
      <w:r w:rsidRPr="00061DFE">
        <w:t>quality assurance (n = 2 per 24 samples).</w:t>
      </w:r>
      <w:r w:rsidR="003003F8">
        <w:t xml:space="preserve"> </w:t>
      </w:r>
      <w:r w:rsidRPr="00061DFE">
        <w:t xml:space="preserve">The </w:t>
      </w:r>
      <w:r>
        <w:t xml:space="preserve">standard deviations </w:t>
      </w:r>
      <w:r w:rsidRPr="00061DFE">
        <w:t>for δ</w:t>
      </w:r>
      <w:r w:rsidRPr="00061DFE">
        <w:rPr>
          <w:vertAlign w:val="superscript"/>
        </w:rPr>
        <w:t>13</w:t>
      </w:r>
      <w:r w:rsidRPr="00061DFE">
        <w:t>C and δ</w:t>
      </w:r>
      <w:r w:rsidRPr="00061DFE">
        <w:rPr>
          <w:vertAlign w:val="superscript"/>
        </w:rPr>
        <w:t>15</w:t>
      </w:r>
      <w:r w:rsidRPr="00061DFE">
        <w:t xml:space="preserve">N of 36-UWSIF- Glutamic 1 and 39-UWSIF-Glutamic 2 </w:t>
      </w:r>
      <w:r>
        <w:t>were</w:t>
      </w:r>
      <w:r w:rsidRPr="00061DFE">
        <w:t xml:space="preserve"> ±</w:t>
      </w:r>
      <w:r>
        <w:t xml:space="preserve"> </w:t>
      </w:r>
      <w:r w:rsidRPr="00061DFE">
        <w:t>0.2 and ±</w:t>
      </w:r>
      <w:r>
        <w:t xml:space="preserve"> </w:t>
      </w:r>
      <w:r w:rsidRPr="00061DFE">
        <w:t>0.05‰</w:t>
      </w:r>
      <w:r>
        <w:t>,</w:t>
      </w:r>
      <w:r w:rsidRPr="00061DFE">
        <w:t xml:space="preserve"> and ±</w:t>
      </w:r>
      <w:r>
        <w:t xml:space="preserve"> </w:t>
      </w:r>
      <w:r w:rsidRPr="00061DFE">
        <w:t>0.1 and ±</w:t>
      </w:r>
      <w:r>
        <w:t xml:space="preserve"> </w:t>
      </w:r>
      <w:r w:rsidRPr="00061DFE">
        <w:t>0.</w:t>
      </w:r>
      <w:r>
        <w:t>1</w:t>
      </w:r>
      <w:r w:rsidRPr="00061DFE">
        <w:t xml:space="preserve">‰, respectively, and the </w:t>
      </w:r>
      <w:r>
        <w:t xml:space="preserve">standard deviations </w:t>
      </w:r>
      <w:r w:rsidRPr="00061DFE">
        <w:t xml:space="preserve">of UWSIF01 Liver </w:t>
      </w:r>
      <w:r>
        <w:t xml:space="preserve">were </w:t>
      </w:r>
      <w:r w:rsidRPr="00061DFE">
        <w:t>±</w:t>
      </w:r>
      <w:r>
        <w:t xml:space="preserve"> </w:t>
      </w:r>
      <w:r w:rsidRPr="00061DFE">
        <w:t>0.1‰ for both δ</w:t>
      </w:r>
      <w:r w:rsidRPr="00061DFE">
        <w:rPr>
          <w:vertAlign w:val="superscript"/>
        </w:rPr>
        <w:t>13</w:t>
      </w:r>
      <w:r w:rsidRPr="00061DFE">
        <w:t>C and δ</w:t>
      </w:r>
      <w:r w:rsidRPr="00061DFE">
        <w:rPr>
          <w:vertAlign w:val="superscript"/>
        </w:rPr>
        <w:t>15</w:t>
      </w:r>
      <w:r w:rsidRPr="00061DFE">
        <w:t xml:space="preserve">N. </w:t>
      </w:r>
    </w:p>
    <w:p w:rsidR="003003F8" w:rsidRDefault="000C3D66" w:rsidP="00E40F9C">
      <w:pPr>
        <w:spacing w:line="480" w:lineRule="auto"/>
        <w:ind w:firstLine="360"/>
      </w:pPr>
      <w:r>
        <w:lastRenderedPageBreak/>
        <w:t>We used two-way analysis of variance (ANOVA) and Chi-Square tests t</w:t>
      </w:r>
      <w:r w:rsidR="00E40F9C">
        <w:t>o identify potential differences in length and fecundity am</w:t>
      </w:r>
      <w:r w:rsidR="00336AAD">
        <w:t>ong treatment groups and tanks</w:t>
      </w:r>
      <w:r w:rsidR="003003F8">
        <w:t xml:space="preserve">. Differences among </w:t>
      </w:r>
      <w:proofErr w:type="spellStart"/>
      <w:r w:rsidR="003003F8" w:rsidRPr="00D11F93">
        <w:rPr>
          <w:i/>
        </w:rPr>
        <w:t>Artemia</w:t>
      </w:r>
      <w:proofErr w:type="spellEnd"/>
      <w:r w:rsidR="003003F8">
        <w:t>-filled-, empty, and green algae-filled</w:t>
      </w:r>
      <w:r w:rsidR="00637530">
        <w:t xml:space="preserve"> </w:t>
      </w:r>
      <w:r w:rsidR="003003F8">
        <w:t xml:space="preserve">gut treatments were </w:t>
      </w:r>
      <w:r w:rsidR="008A6035">
        <w:t>tested</w:t>
      </w:r>
      <w:r w:rsidR="003003F8">
        <w:t xml:space="preserve"> using ANOVA and an indicator variable test with gut content as the princip</w:t>
      </w:r>
      <w:r w:rsidR="006D68B1">
        <w:t>al</w:t>
      </w:r>
      <w:r w:rsidR="003003F8">
        <w:t xml:space="preserve"> variable and</w:t>
      </w:r>
      <w:r w:rsidR="0031479F">
        <w:t xml:space="preserve"> length and tank as covariates.</w:t>
      </w:r>
      <w:r w:rsidR="003003F8" w:rsidRPr="00F67384">
        <w:t xml:space="preserve"> </w:t>
      </w:r>
      <w:r w:rsidR="003003F8">
        <w:t>All statistical analys</w:t>
      </w:r>
      <w:r w:rsidR="00935894">
        <w:t>e</w:t>
      </w:r>
      <w:r w:rsidR="003003F8">
        <w:t>s w</w:t>
      </w:r>
      <w:r w:rsidR="00935894">
        <w:t>ere</w:t>
      </w:r>
      <w:r w:rsidR="003003F8">
        <w:t xml:space="preserve"> conducted in R version 3.1.0</w:t>
      </w:r>
      <w:r w:rsidR="00A169BC">
        <w:t xml:space="preserve"> (R core team 2014</w:t>
      </w:r>
      <w:r w:rsidR="008C4CC7">
        <w:t>)</w:t>
      </w:r>
      <w:r w:rsidR="003003F8">
        <w:t xml:space="preserve"> with {FSA} </w:t>
      </w:r>
      <w:r w:rsidR="0031479F">
        <w:t>package (Ogle</w:t>
      </w:r>
      <w:r w:rsidR="007B2C32">
        <w:t xml:space="preserve"> 2014</w:t>
      </w:r>
      <w:r w:rsidR="0031479F">
        <w:t>)</w:t>
      </w:r>
      <w:r w:rsidR="003003F8">
        <w:t>.</w:t>
      </w:r>
    </w:p>
    <w:p w:rsidR="008A6035" w:rsidRDefault="008A6035" w:rsidP="008A6035">
      <w:pPr>
        <w:spacing w:line="480" w:lineRule="auto"/>
      </w:pPr>
    </w:p>
    <w:p w:rsidR="003003F8" w:rsidRPr="00E72562" w:rsidRDefault="003003F8" w:rsidP="00934A93">
      <w:pPr>
        <w:pStyle w:val="ChapSub"/>
        <w:ind w:left="0"/>
        <w:jc w:val="left"/>
      </w:pPr>
      <w:bookmarkStart w:id="3" w:name="_Toc403982565"/>
      <w:r w:rsidRPr="00E72562">
        <w:t>Results</w:t>
      </w:r>
      <w:bookmarkEnd w:id="3"/>
    </w:p>
    <w:p w:rsidR="003003F8" w:rsidRDefault="003003F8" w:rsidP="00934A93">
      <w:pPr>
        <w:spacing w:line="480" w:lineRule="auto"/>
        <w:ind w:firstLine="360"/>
      </w:pPr>
      <w:r w:rsidRPr="00B47115">
        <w:rPr>
          <w:i/>
        </w:rPr>
        <w:t>Mysis</w:t>
      </w:r>
      <w:r>
        <w:t xml:space="preserve"> ranged from 9 to 20 mm, with a mean</w:t>
      </w:r>
      <w:r w:rsidR="00934A93">
        <w:t xml:space="preserve"> </w:t>
      </w:r>
      <w:r w:rsidR="000C3D66">
        <w:t>length (</w:t>
      </w:r>
      <w:r w:rsidR="00934A93">
        <w:t xml:space="preserve">± </w:t>
      </w:r>
      <w:r w:rsidR="00637530">
        <w:t>SD</w:t>
      </w:r>
      <w:r w:rsidR="000C3D66">
        <w:t>)</w:t>
      </w:r>
      <w:r>
        <w:t xml:space="preserve"> of 15.0 ± 2.71 mm. </w:t>
      </w:r>
      <w:proofErr w:type="gramStart"/>
      <w:r>
        <w:t>Approximately</w:t>
      </w:r>
      <w:proofErr w:type="gramEnd"/>
      <w:r>
        <w:t xml:space="preserve"> half </w:t>
      </w:r>
      <w:r w:rsidR="00444FC7">
        <w:t xml:space="preserve">(47%) </w:t>
      </w:r>
      <w:r>
        <w:t xml:space="preserve">of the </w:t>
      </w:r>
      <w:r w:rsidRPr="00B47115">
        <w:rPr>
          <w:i/>
        </w:rPr>
        <w:t>Mysis</w:t>
      </w:r>
      <w:r>
        <w:t xml:space="preserve"> </w:t>
      </w:r>
      <w:r w:rsidR="00444FC7">
        <w:t xml:space="preserve">analyzed </w:t>
      </w:r>
      <w:r>
        <w:t>were fecund</w:t>
      </w:r>
      <w:r w:rsidR="001576DF">
        <w:t xml:space="preserve"> (Table 1)</w:t>
      </w:r>
      <w:r>
        <w:t xml:space="preserve">. Length and </w:t>
      </w:r>
      <w:r w:rsidR="00934A93">
        <w:t xml:space="preserve">proportion </w:t>
      </w:r>
      <w:r>
        <w:t xml:space="preserve">fecundity did not vary among different gut content </w:t>
      </w:r>
      <w:r w:rsidR="00444FC7">
        <w:t xml:space="preserve">treatments </w:t>
      </w:r>
      <w:r>
        <w:t>(</w:t>
      </w:r>
      <w:r w:rsidR="008320C2">
        <w:t xml:space="preserve">ANOVA </w:t>
      </w:r>
      <w:r>
        <w:t>p &gt; 0.05 and Chi-Square p &gt; 0.05 respectively). Additionally, experimental tank had no effect on δ</w:t>
      </w:r>
      <w:r>
        <w:rPr>
          <w:vertAlign w:val="superscript"/>
        </w:rPr>
        <w:t>15</w:t>
      </w:r>
      <w:r>
        <w:t>N, δ</w:t>
      </w:r>
      <w:r>
        <w:rPr>
          <w:vertAlign w:val="superscript"/>
        </w:rPr>
        <w:t>13</w:t>
      </w:r>
      <w:r>
        <w:t>C or C</w:t>
      </w:r>
      <w:proofErr w:type="gramStart"/>
      <w:r>
        <w:t>:N</w:t>
      </w:r>
      <w:proofErr w:type="gramEnd"/>
      <w:r>
        <w:t xml:space="preserve"> (p &gt; 0.10 for all), indicating that any difference in experimental environment or sampling among gut contents and tanks did not impact isotope composition. </w:t>
      </w:r>
    </w:p>
    <w:p w:rsidR="006D68B1" w:rsidRDefault="003003F8" w:rsidP="006D68B1">
      <w:pPr>
        <w:spacing w:line="480" w:lineRule="auto"/>
        <w:ind w:firstLine="360"/>
      </w:pPr>
      <w:r>
        <w:t xml:space="preserve">Pre-experimental </w:t>
      </w:r>
      <w:r w:rsidRPr="00B47115">
        <w:rPr>
          <w:i/>
        </w:rPr>
        <w:t>Mysis</w:t>
      </w:r>
      <w:r>
        <w:t xml:space="preserve"> from day 41 of </w:t>
      </w:r>
      <w:r w:rsidR="000C3D66">
        <w:t xml:space="preserve">the </w:t>
      </w:r>
      <w:r>
        <w:t xml:space="preserve">acclimation </w:t>
      </w:r>
      <w:r w:rsidR="000C3D66">
        <w:t xml:space="preserve">period </w:t>
      </w:r>
      <w:r>
        <w:t>had lower δ</w:t>
      </w:r>
      <w:r>
        <w:rPr>
          <w:vertAlign w:val="superscript"/>
        </w:rPr>
        <w:t>13</w:t>
      </w:r>
      <w:r>
        <w:t xml:space="preserve">C than experimental </w:t>
      </w:r>
      <w:r>
        <w:rPr>
          <w:i/>
        </w:rPr>
        <w:t xml:space="preserve">Mysis </w:t>
      </w:r>
      <w:r>
        <w:t xml:space="preserve">following the </w:t>
      </w:r>
      <w:r w:rsidR="00C5002A">
        <w:t>58-</w:t>
      </w:r>
      <w:r>
        <w:t>day acclimation</w:t>
      </w:r>
      <w:r w:rsidR="000C3D66">
        <w:t xml:space="preserve"> period</w:t>
      </w:r>
      <w:r>
        <w:t xml:space="preserve"> (</w:t>
      </w:r>
      <w:r w:rsidRPr="00DD7A47">
        <w:rPr>
          <w:i/>
        </w:rPr>
        <w:t>F</w:t>
      </w:r>
      <w:r w:rsidRPr="00D11F93">
        <w:rPr>
          <w:vertAlign w:val="subscript"/>
        </w:rPr>
        <w:t>1</w:t>
      </w:r>
      <w:proofErr w:type="gramStart"/>
      <w:r w:rsidRPr="00D11F93">
        <w:rPr>
          <w:vertAlign w:val="subscript"/>
        </w:rPr>
        <w:t>,2</w:t>
      </w:r>
      <w:r>
        <w:rPr>
          <w:vertAlign w:val="subscript"/>
        </w:rPr>
        <w:t>8</w:t>
      </w:r>
      <w:proofErr w:type="gramEnd"/>
      <w:r w:rsidRPr="00D11F93">
        <w:rPr>
          <w:vertAlign w:val="subscript"/>
        </w:rPr>
        <w:t xml:space="preserve"> </w:t>
      </w:r>
      <w:r>
        <w:t xml:space="preserve">= 8.096; </w:t>
      </w:r>
      <w:r w:rsidRPr="00DD7A47">
        <w:t>p</w:t>
      </w:r>
      <w:r>
        <w:t xml:space="preserve"> &lt; 0.01)</w:t>
      </w:r>
      <w:r w:rsidR="000C3D66">
        <w:t>,</w:t>
      </w:r>
      <w:r>
        <w:t xml:space="preserve"> but similar δ</w:t>
      </w:r>
      <w:r>
        <w:rPr>
          <w:vertAlign w:val="superscript"/>
        </w:rPr>
        <w:t>15</w:t>
      </w:r>
      <w:r>
        <w:t>N (</w:t>
      </w:r>
      <w:r w:rsidRPr="00DD7A47">
        <w:rPr>
          <w:i/>
        </w:rPr>
        <w:t>F</w:t>
      </w:r>
      <w:r>
        <w:rPr>
          <w:vertAlign w:val="subscript"/>
        </w:rPr>
        <w:t>1,28</w:t>
      </w:r>
      <w:r w:rsidRPr="00D11F93">
        <w:rPr>
          <w:vertAlign w:val="subscript"/>
        </w:rPr>
        <w:t xml:space="preserve"> </w:t>
      </w:r>
      <w:r>
        <w:t xml:space="preserve">= 0.06; </w:t>
      </w:r>
      <w:r w:rsidRPr="00DD7A47">
        <w:t>p</w:t>
      </w:r>
      <w:r>
        <w:t xml:space="preserve"> = 0.81) and C:N (</w:t>
      </w:r>
      <w:r w:rsidRPr="00DD7A47">
        <w:rPr>
          <w:i/>
        </w:rPr>
        <w:t>F</w:t>
      </w:r>
      <w:r>
        <w:rPr>
          <w:vertAlign w:val="subscript"/>
        </w:rPr>
        <w:t>1,28</w:t>
      </w:r>
      <w:r w:rsidRPr="00D11F93">
        <w:rPr>
          <w:vertAlign w:val="subscript"/>
        </w:rPr>
        <w:t xml:space="preserve"> </w:t>
      </w:r>
      <w:r>
        <w:t xml:space="preserve">= 0.51; </w:t>
      </w:r>
      <w:r w:rsidRPr="00DD7A47">
        <w:t>p</w:t>
      </w:r>
      <w:r>
        <w:t xml:space="preserve"> = 0.48). The difference in δ</w:t>
      </w:r>
      <w:r>
        <w:rPr>
          <w:vertAlign w:val="superscript"/>
        </w:rPr>
        <w:t>13</w:t>
      </w:r>
      <w:r>
        <w:t>C and δ</w:t>
      </w:r>
      <w:r>
        <w:rPr>
          <w:vertAlign w:val="superscript"/>
        </w:rPr>
        <w:t>15</w:t>
      </w:r>
      <w:r>
        <w:t xml:space="preserve">N between </w:t>
      </w:r>
      <w:proofErr w:type="spellStart"/>
      <w:r w:rsidR="00503DF7" w:rsidRPr="00E63194">
        <w:rPr>
          <w:i/>
        </w:rPr>
        <w:t>Artemia</w:t>
      </w:r>
      <w:proofErr w:type="spellEnd"/>
      <w:r w:rsidR="00503DF7" w:rsidRPr="00B47115">
        <w:rPr>
          <w:i/>
        </w:rPr>
        <w:t xml:space="preserve"> </w:t>
      </w:r>
      <w:r w:rsidR="00503DF7">
        <w:t xml:space="preserve">and </w:t>
      </w:r>
      <w:r w:rsidRPr="00B47115">
        <w:rPr>
          <w:i/>
        </w:rPr>
        <w:t>Mysis</w:t>
      </w:r>
      <w:r>
        <w:t xml:space="preserve"> with evacuated guts was -5.54‰ and 0.45‰</w:t>
      </w:r>
      <w:r w:rsidR="00503DF7">
        <w:t>,</w:t>
      </w:r>
      <w:r>
        <w:t xml:space="preserve"> respectively</w:t>
      </w:r>
      <w:r w:rsidR="006D68B1">
        <w:t>.</w:t>
      </w:r>
      <w:r w:rsidR="006D68B1" w:rsidRPr="006D68B1">
        <w:t xml:space="preserve"> </w:t>
      </w:r>
      <w:r w:rsidR="006D68B1">
        <w:t xml:space="preserve">The fractionation </w:t>
      </w:r>
      <w:proofErr w:type="gramStart"/>
      <w:r w:rsidR="006D68B1">
        <w:t>of  δ</w:t>
      </w:r>
      <w:r w:rsidR="006D68B1">
        <w:rPr>
          <w:vertAlign w:val="superscript"/>
        </w:rPr>
        <w:t>13</w:t>
      </w:r>
      <w:r w:rsidR="006D68B1">
        <w:t>C</w:t>
      </w:r>
      <w:proofErr w:type="gramEnd"/>
      <w:r w:rsidR="006D68B1">
        <w:t xml:space="preserve"> with trophic level is &lt; 1‰ in most organisms (Peterson and Fry 1987) while δ</w:t>
      </w:r>
      <w:r w:rsidR="006D68B1">
        <w:rPr>
          <w:vertAlign w:val="superscript"/>
        </w:rPr>
        <w:t>15</w:t>
      </w:r>
      <w:r w:rsidR="006D68B1">
        <w:t xml:space="preserve">N fractionation in </w:t>
      </w:r>
      <w:r w:rsidR="006D68B1" w:rsidRPr="00D83B00">
        <w:rPr>
          <w:i/>
        </w:rPr>
        <w:t xml:space="preserve">M. </w:t>
      </w:r>
      <w:proofErr w:type="spellStart"/>
      <w:r w:rsidR="006D68B1" w:rsidRPr="00D83B00">
        <w:rPr>
          <w:i/>
        </w:rPr>
        <w:t>mixta</w:t>
      </w:r>
      <w:proofErr w:type="spellEnd"/>
      <w:r w:rsidR="006D68B1">
        <w:t xml:space="preserve"> is between 2.7 and 3.6‰ for (</w:t>
      </w:r>
      <w:proofErr w:type="spellStart"/>
      <w:r w:rsidR="006D68B1">
        <w:t>Gorokhova</w:t>
      </w:r>
      <w:proofErr w:type="spellEnd"/>
      <w:r w:rsidR="006D68B1">
        <w:t xml:space="preserve"> and Hansson 1999). Therefore, we would expect fully turned over δ</w:t>
      </w:r>
      <w:r w:rsidR="006D68B1">
        <w:rPr>
          <w:vertAlign w:val="superscript"/>
        </w:rPr>
        <w:t>13</w:t>
      </w:r>
      <w:r w:rsidR="006D68B1">
        <w:t xml:space="preserve">C of </w:t>
      </w:r>
      <w:r w:rsidR="006D68B1" w:rsidRPr="00E71D16">
        <w:rPr>
          <w:i/>
        </w:rPr>
        <w:t>Mysis</w:t>
      </w:r>
      <w:r w:rsidR="006D68B1">
        <w:t xml:space="preserve"> to be approximately equal to </w:t>
      </w:r>
      <w:proofErr w:type="spellStart"/>
      <w:r w:rsidR="006D68B1" w:rsidRPr="00E71D16">
        <w:rPr>
          <w:i/>
        </w:rPr>
        <w:t>Artemia</w:t>
      </w:r>
      <w:proofErr w:type="spellEnd"/>
      <w:r w:rsidR="006D68B1">
        <w:t xml:space="preserve"> δ</w:t>
      </w:r>
      <w:r w:rsidR="006D68B1">
        <w:rPr>
          <w:vertAlign w:val="superscript"/>
        </w:rPr>
        <w:t>13</w:t>
      </w:r>
      <w:r w:rsidR="006D68B1">
        <w:t>C and δ</w:t>
      </w:r>
      <w:r w:rsidR="006D68B1">
        <w:rPr>
          <w:vertAlign w:val="superscript"/>
        </w:rPr>
        <w:t>15</w:t>
      </w:r>
      <w:r w:rsidR="006D68B1">
        <w:t xml:space="preserve">N to be &gt; 2.7‰ higher in </w:t>
      </w:r>
      <w:r w:rsidR="006D68B1" w:rsidRPr="00E71D16">
        <w:rPr>
          <w:i/>
        </w:rPr>
        <w:t>Mysis</w:t>
      </w:r>
      <w:r w:rsidR="006D68B1">
        <w:t xml:space="preserve"> than </w:t>
      </w:r>
      <w:proofErr w:type="spellStart"/>
      <w:r w:rsidR="006D68B1" w:rsidRPr="00E71D16">
        <w:rPr>
          <w:i/>
        </w:rPr>
        <w:t>Artemia</w:t>
      </w:r>
      <w:proofErr w:type="spellEnd"/>
      <w:r w:rsidR="006D68B1">
        <w:t xml:space="preserve"> suggesting that neither isotope had completely turned over in </w:t>
      </w:r>
      <w:r w:rsidR="006D68B1" w:rsidRPr="00E71D16">
        <w:rPr>
          <w:i/>
        </w:rPr>
        <w:t>Mysis</w:t>
      </w:r>
      <w:r w:rsidR="006D68B1">
        <w:t xml:space="preserve"> at the time of the experiment. </w:t>
      </w:r>
    </w:p>
    <w:p w:rsidR="003003F8" w:rsidRDefault="003003F8" w:rsidP="00934A93">
      <w:pPr>
        <w:spacing w:line="480" w:lineRule="auto"/>
        <w:ind w:firstLine="360"/>
      </w:pPr>
    </w:p>
    <w:p w:rsidR="003003F8" w:rsidRDefault="003003F8" w:rsidP="00934A93">
      <w:pPr>
        <w:spacing w:line="480" w:lineRule="auto"/>
        <w:ind w:firstLine="360"/>
      </w:pPr>
      <w:r>
        <w:t>All but three individuals used for stable isotope analysis were visually verified for presence of gut contents, confirming that we were comparing individuals with full and empty guts (Figure 1). Both δ</w:t>
      </w:r>
      <w:r>
        <w:rPr>
          <w:vertAlign w:val="superscript"/>
        </w:rPr>
        <w:t>15</w:t>
      </w:r>
      <w:r>
        <w:t>N and δ</w:t>
      </w:r>
      <w:r>
        <w:rPr>
          <w:vertAlign w:val="superscript"/>
        </w:rPr>
        <w:t>13</w:t>
      </w:r>
      <w:r>
        <w:t>C had a negative relationship with length (r</w:t>
      </w:r>
      <w:r>
        <w:rPr>
          <w:vertAlign w:val="superscript"/>
        </w:rPr>
        <w:t>2</w:t>
      </w:r>
      <w:r>
        <w:t xml:space="preserve"> = 0.16</w:t>
      </w:r>
      <w:r w:rsidR="00BA45BC">
        <w:t xml:space="preserve">, </w:t>
      </w:r>
      <w:r w:rsidR="00BA45BC" w:rsidRPr="00A41580">
        <w:rPr>
          <w:i/>
        </w:rPr>
        <w:t>F</w:t>
      </w:r>
      <w:r w:rsidR="00BA45BC">
        <w:rPr>
          <w:vertAlign w:val="subscript"/>
        </w:rPr>
        <w:t>3</w:t>
      </w:r>
      <w:proofErr w:type="gramStart"/>
      <w:r w:rsidR="00BA45BC">
        <w:rPr>
          <w:vertAlign w:val="subscript"/>
        </w:rPr>
        <w:t>,65</w:t>
      </w:r>
      <w:proofErr w:type="gramEnd"/>
      <w:r w:rsidR="00BA45BC">
        <w:t xml:space="preserve"> = 2.95, p = 0.01</w:t>
      </w:r>
      <w:r>
        <w:t xml:space="preserve"> and </w:t>
      </w:r>
      <w:r w:rsidR="00BA45BC">
        <w:t>r</w:t>
      </w:r>
      <w:r w:rsidR="00BA45BC">
        <w:rPr>
          <w:vertAlign w:val="superscript"/>
        </w:rPr>
        <w:t>2</w:t>
      </w:r>
      <w:r w:rsidR="00BA45BC">
        <w:t xml:space="preserve"> = </w:t>
      </w:r>
      <w:r>
        <w:t>0.71</w:t>
      </w:r>
      <w:r w:rsidR="00C53DD6">
        <w:t>,</w:t>
      </w:r>
      <w:r w:rsidR="00BA45BC">
        <w:t xml:space="preserve"> </w:t>
      </w:r>
      <w:r w:rsidR="00BA45BC" w:rsidRPr="00A41580">
        <w:rPr>
          <w:i/>
        </w:rPr>
        <w:t>F</w:t>
      </w:r>
      <w:r w:rsidR="00BA45BC">
        <w:rPr>
          <w:vertAlign w:val="subscript"/>
        </w:rPr>
        <w:t>3,65</w:t>
      </w:r>
      <w:r w:rsidR="00BA45BC">
        <w:t xml:space="preserve"> = </w:t>
      </w:r>
      <w:r w:rsidR="008320C2" w:rsidRPr="000C25DB">
        <w:t>1</w:t>
      </w:r>
      <w:r w:rsidR="000C25DB" w:rsidRPr="000C25DB">
        <w:t>58</w:t>
      </w:r>
      <w:r w:rsidR="008320C2" w:rsidRPr="000C25DB">
        <w:t>.</w:t>
      </w:r>
      <w:r w:rsidR="000C25DB" w:rsidRPr="000C25DB">
        <w:t>54</w:t>
      </w:r>
      <w:r w:rsidR="00BA45BC" w:rsidRPr="000C25DB">
        <w:t>,</w:t>
      </w:r>
      <w:r w:rsidR="00BA45BC">
        <w:t xml:space="preserve"> p &lt; 0.01</w:t>
      </w:r>
      <w:r>
        <w:t xml:space="preserve"> respectively) while C:N showed no relationship with length (r</w:t>
      </w:r>
      <w:r>
        <w:rPr>
          <w:vertAlign w:val="superscript"/>
        </w:rPr>
        <w:t xml:space="preserve">2 </w:t>
      </w:r>
      <w:r>
        <w:t>= 0.08</w:t>
      </w:r>
      <w:r w:rsidR="00BA45BC">
        <w:t xml:space="preserve">, </w:t>
      </w:r>
      <w:r w:rsidR="00BA45BC" w:rsidRPr="00A41580">
        <w:rPr>
          <w:i/>
        </w:rPr>
        <w:t>F</w:t>
      </w:r>
      <w:r w:rsidR="00BA45BC">
        <w:rPr>
          <w:vertAlign w:val="subscript"/>
        </w:rPr>
        <w:t xml:space="preserve">3,65 </w:t>
      </w:r>
      <w:r w:rsidR="00BA45BC">
        <w:t>= 1.99, p = 0.15</w:t>
      </w:r>
      <w:r w:rsidR="00637530">
        <w:t>; Figure 2</w:t>
      </w:r>
      <w:r>
        <w:t>). Gut content had no effect on the δ</w:t>
      </w:r>
      <w:r>
        <w:rPr>
          <w:vertAlign w:val="superscript"/>
        </w:rPr>
        <w:t>15</w:t>
      </w:r>
      <w:r>
        <w:t>N, δ</w:t>
      </w:r>
      <w:r>
        <w:rPr>
          <w:vertAlign w:val="superscript"/>
        </w:rPr>
        <w:t>13</w:t>
      </w:r>
      <w:r>
        <w:t>C or C</w:t>
      </w:r>
      <w:proofErr w:type="gramStart"/>
      <w:r>
        <w:t>:N</w:t>
      </w:r>
      <w:proofErr w:type="gramEnd"/>
      <w:r>
        <w:t xml:space="preserve"> composition of </w:t>
      </w:r>
      <w:r w:rsidRPr="00B47115">
        <w:rPr>
          <w:i/>
        </w:rPr>
        <w:t>Mysis</w:t>
      </w:r>
      <w:r>
        <w:t xml:space="preserve"> (</w:t>
      </w:r>
      <w:r w:rsidRPr="00075965">
        <w:rPr>
          <w:i/>
        </w:rPr>
        <w:t>F</w:t>
      </w:r>
      <w:r w:rsidRPr="00C86056">
        <w:rPr>
          <w:vertAlign w:val="subscript"/>
        </w:rPr>
        <w:t>2,65</w:t>
      </w:r>
      <w:r>
        <w:t xml:space="preserve"> = 1.35, 1.08, and 2.52 respectively; p &gt; 0.05 for all; Figure 2</w:t>
      </w:r>
      <w:r w:rsidR="000C3D66">
        <w:t>).</w:t>
      </w:r>
    </w:p>
    <w:p w:rsidR="00C53DD6" w:rsidRDefault="00C53DD6" w:rsidP="00E973D8">
      <w:pPr>
        <w:spacing w:line="480" w:lineRule="auto"/>
      </w:pPr>
    </w:p>
    <w:p w:rsidR="003003F8" w:rsidRDefault="003003F8" w:rsidP="00E973D8">
      <w:pPr>
        <w:pStyle w:val="ChapSub"/>
        <w:ind w:left="0"/>
        <w:jc w:val="left"/>
      </w:pPr>
      <w:bookmarkStart w:id="4" w:name="_Toc403982566"/>
      <w:r w:rsidRPr="00E72562">
        <w:t>Discussion</w:t>
      </w:r>
      <w:bookmarkEnd w:id="4"/>
    </w:p>
    <w:p w:rsidR="00341718" w:rsidRDefault="003003F8" w:rsidP="00E973D8">
      <w:pPr>
        <w:spacing w:line="480" w:lineRule="auto"/>
        <w:ind w:firstLine="360"/>
      </w:pPr>
      <w:r>
        <w:t xml:space="preserve">Gut contents did not affect the observed isotope composition of 9-20 mm </w:t>
      </w:r>
      <w:r w:rsidRPr="00B47115">
        <w:rPr>
          <w:i/>
        </w:rPr>
        <w:t>Mysis</w:t>
      </w:r>
      <w:r>
        <w:rPr>
          <w:i/>
        </w:rPr>
        <w:t xml:space="preserve"> </w:t>
      </w:r>
      <w:r>
        <w:t xml:space="preserve">in our experiment. Therefore, we conclude that gut evacuation prior to processing samples for SIA is an unnecessary step </w:t>
      </w:r>
      <w:r w:rsidR="004A47D7">
        <w:t xml:space="preserve">to </w:t>
      </w:r>
      <w:r>
        <w:t>determin</w:t>
      </w:r>
      <w:r w:rsidR="004A47D7">
        <w:t>e</w:t>
      </w:r>
      <w:r>
        <w:t xml:space="preserve"> isotopic composition of field</w:t>
      </w:r>
      <w:r w:rsidR="004A47D7">
        <w:t>-</w:t>
      </w:r>
      <w:r>
        <w:t xml:space="preserve">caught </w:t>
      </w:r>
      <w:r w:rsidRPr="00B47115">
        <w:rPr>
          <w:i/>
        </w:rPr>
        <w:t>Mysis</w:t>
      </w:r>
      <w:r w:rsidR="00D53E54">
        <w:t xml:space="preserve"> in this size range</w:t>
      </w:r>
      <w:r>
        <w:t xml:space="preserve">. Our results are consistent with observations of other zooplankton where gut evacuation </w:t>
      </w:r>
      <w:r w:rsidR="00C90812">
        <w:t xml:space="preserve">did not </w:t>
      </w:r>
      <w:r>
        <w:t xml:space="preserve">alter observed isotope composition of bulk samples </w:t>
      </w:r>
      <w:r>
        <w:fldChar w:fldCharType="begin" w:fldLock="1"/>
      </w:r>
      <w:r w:rsidR="001F1E20">
        <w:instrText>ADDIN CSL_CITATION { "citationItems" : [ { "id" : "ITEM-1", "itemData" : { "DOI" : "10.4319/lo.2007.52.5.2135", "ISSN" : "00243590", "author" : [ { "dropping-particle" : "", "family" : "Smyntek", "given" : "Peter M.", "non-dropping-particle" : "", "parse-names" : false, "suffix" : "" }, { "dropping-particle" : "", "family" : "Teece", "given" : "Mark a.", "non-dropping-particle" : "", "parse-names" : false, "suffix" : "" }, { "dropping-particle" : "", "family" : "Schulz", "given" : "Kimberly L.", "non-dropping-particle" : "", "parse-names" : false, "suffix" : "" }, { "dropping-particle" : "", "family" : "Thackeray", "given" : "Stephen J.", "non-dropping-particle" : "", "parse-names" : false, "suffix" : "" } ], "container-title" : "Limnology and Oceanography", "id" : "ITEM-1", "issue" : "5", "issued" : { "date-parts" : [ [ "2007" ] ] }, "page" : "2135-2146", "title" : "A standard protocol for stable isotope analysis of zooplankton in aquatic food web research using mass balance correction models", "type" : "article-journal", "volume" : "52" }, "uris" : [ "http://www.mendeley.com/documents/?uuid=dc774d4f-4fed-4abc-82aa-ddc313a6b15e" ] }, { "id" : "ITEM-2", "itemData" : { "DOI" : "10.1002/rcm.1227", "ISSN" : "0951-4198", "PMID" : "14648896", "abstract" : "A literature survey of zooplankton stable isotope studies revealed inconsistencies between authors concerning (a) fixation and (b) allowance for gut clearance of zooplankton prior to delta13C and delta15N determinations. To address whether commonly used preservation techniques induce changes in stable isotope values, fresh lake zooplankton (control) were compared with preserved (ethanol, methanol, formaldehyde, gluteraldehyde, frozen and shock frozen) material. Differences of up to 1.1 per thousand for carbon and 1.5 per thousand for nitrogen isotopic signatures were found. Even freezing, the most frequently used method identified from the literature, caused significant changes compared with the control. We advocate the use of fresh material prepared immediately whenever possible, or complementary testing of the preservative method to be used. Larger organisms are routinely eviscerated, or specific tissues are dissected, and analysed for stable isotopes to reduce errors introduced via the gut contents. Yet zooplankton gut clearance is rarely performed: the gut content assumed to be negligible relative to organism mass. Experimental determinations of relative gut mass, from both original and compiled data, range from 1-26% for different zooplankton species. Using reported isotopic values of basal resources from natural systems, we calculated that, when analysing bulk zooplankton, inclusion of the gut mass may introduce substantial errors of &gt;3 per thousand. Thus it appears prudent to perform the simple procedure of gut clearance, especially for copepod species.", "author" : [ { "dropping-particle" : "", "family" : "Feuchtmayr", "given" : "Heidrun", "non-dropping-particle" : "", "parse-names" : false, "suffix" : "" }, { "dropping-particle" : "", "family" : "Grey", "given" : "Jonathan", "non-dropping-particle" : "", "parse-names" : false, "suffix" : "" } ], "container-title" : "Rapid communications in mass spectrometry: RCM", "id" : "ITEM-2", "issue" : "23", "issued" : { "date-parts" : [ [ "2003", "1" ] ] }, "page" : "2605-10", "title" : "Effect of preparation and preservation procedures on carbon and nitrogen stable isotope determinations from zooplankton.", "type" : "article-journal", "volume" : "17" }, "uris" : [ "http://www.mendeley.com/documents/?uuid=b272b694-1d52-4a09-8c1b-b2659c07cc2b" ] } ], "mendeley" : { "previouslyFormattedCitation" : "(Feuchtmayr and Grey, 2003; Smyntek et al., 2007)" }, "properties" : { "noteIndex" : 0 }, "schema" : "https://github.com/citation-style-language/schema/raw/master/csl-citation.json" }</w:instrText>
      </w:r>
      <w:r>
        <w:fldChar w:fldCharType="separate"/>
      </w:r>
      <w:r w:rsidR="00E43224" w:rsidRPr="00E43224">
        <w:rPr>
          <w:noProof/>
        </w:rPr>
        <w:t>(Feuchtmayr and Grey, 2003; Smyntek et al., 2007)</w:t>
      </w:r>
      <w:r>
        <w:fldChar w:fldCharType="end"/>
      </w:r>
      <w:r>
        <w:t xml:space="preserve">. </w:t>
      </w:r>
      <w:proofErr w:type="spellStart"/>
      <w:r>
        <w:t>Feuchtmayr</w:t>
      </w:r>
      <w:proofErr w:type="spellEnd"/>
      <w:r>
        <w:t xml:space="preserve"> and Grey (2003) had conflicting results where gut evacuation significantly changed isotope composition in copepods but not in </w:t>
      </w:r>
      <w:r w:rsidRPr="000C2364">
        <w:rPr>
          <w:i/>
        </w:rPr>
        <w:t>Daphnia</w:t>
      </w:r>
      <w:r>
        <w:t xml:space="preserve">. They suggested that </w:t>
      </w:r>
      <w:r w:rsidR="00C90812">
        <w:t xml:space="preserve">the ratio of </w:t>
      </w:r>
      <w:r>
        <w:t>gut</w:t>
      </w:r>
      <w:r w:rsidR="00C90812">
        <w:t xml:space="preserve"> mass to body</w:t>
      </w:r>
      <w:r>
        <w:t xml:space="preserve"> mass</w:t>
      </w:r>
      <w:r w:rsidR="00C90812">
        <w:t xml:space="preserve"> </w:t>
      </w:r>
      <w:r w:rsidR="00BA1FD2">
        <w:t xml:space="preserve">(“relative gut mass”) </w:t>
      </w:r>
      <w:r>
        <w:t>may impact the importance of gut content to observed isotope composition</w:t>
      </w:r>
      <w:r w:rsidR="00C90812">
        <w:t xml:space="preserve"> – </w:t>
      </w:r>
      <w:r>
        <w:t xml:space="preserve">gut content </w:t>
      </w:r>
      <w:r w:rsidR="00C90812">
        <w:t>altered</w:t>
      </w:r>
      <w:r>
        <w:t xml:space="preserve"> observed isotope composition of copepods</w:t>
      </w:r>
      <w:r w:rsidR="00C90812">
        <w:t xml:space="preserve"> (</w:t>
      </w:r>
      <w:r w:rsidR="00BA1FD2">
        <w:t xml:space="preserve">relative gut mass </w:t>
      </w:r>
      <w:r>
        <w:t>of ~20 %</w:t>
      </w:r>
      <w:r w:rsidR="00C90812">
        <w:t>) but not</w:t>
      </w:r>
      <w:r>
        <w:t xml:space="preserve"> </w:t>
      </w:r>
      <w:r w:rsidRPr="000C2364">
        <w:rPr>
          <w:i/>
        </w:rPr>
        <w:t>Daphnia</w:t>
      </w:r>
      <w:r>
        <w:t xml:space="preserve"> </w:t>
      </w:r>
      <w:r w:rsidR="00C90812">
        <w:t>(</w:t>
      </w:r>
      <w:r>
        <w:t>~5 %</w:t>
      </w:r>
      <w:r w:rsidR="00BA1FD2">
        <w:t xml:space="preserve">; </w:t>
      </w:r>
      <w:r w:rsidR="00DB72BA">
        <w:fldChar w:fldCharType="begin" w:fldLock="1"/>
      </w:r>
      <w:r w:rsidR="001F1E20">
        <w:instrText>ADDIN CSL_CITATION { "citationItems" : [ { "id" : "ITEM-1", "itemData" : { "DOI" : "10.1002/rcm.1227", "ISSN" : "0951-4198", "PMID" : "14648896", "abstract" : "A literature survey of zooplankton stable isotope studies revealed inconsistencies between authors concerning (a) fixation and (b) allowance for gut clearance of zooplankton prior to delta13C and delta15N determinations. To address whether commonly used preservation techniques induce changes in stable isotope values, fresh lake zooplankton (control) were compared with preserved (ethanol, methanol, formaldehyde, gluteraldehyde, frozen and shock frozen) material. Differences of up to 1.1 per thousand for carbon and 1.5 per thousand for nitrogen isotopic signatures were found. Even freezing, the most frequently used method identified from the literature, caused significant changes compared with the control. We advocate the use of fresh material prepared immediately whenever possible, or complementary testing of the preservative method to be used. Larger organisms are routinely eviscerated, or specific tissues are dissected, and analysed for stable isotopes to reduce errors introduced via the gut contents. Yet zooplankton gut clearance is rarely performed: the gut content assumed to be negligible relative to organism mass. Experimental determinations of relative gut mass, from both original and compiled data, range from 1-26% for different zooplankton species. Using reported isotopic values of basal resources from natural systems, we calculated that, when analysing bulk zooplankton, inclusion of the gut mass may introduce substantial errors of &gt;3 per thousand. Thus it appears prudent to perform the simple procedure of gut clearance, especially for copepod species.", "author" : [ { "dropping-particle" : "", "family" : "Feuchtmayr", "given" : "Heidrun", "non-dropping-particle" : "", "parse-names" : false, "suffix" : "" }, { "dropping-particle" : "", "family" : "Grey", "given" : "Jonathan", "non-dropping-particle" : "", "parse-names" : false, "suffix" : "" } ], "container-title" : "Rapid communications in mass spectrometry: RCM", "id" : "ITEM-1", "issue" : "23", "issued" : { "date-parts" : [ [ "2003", "1" ] ] }, "page" : "2605-10", "title" : "Effect of preparation and preservation procedures on carbon and nitrogen stable isotope determinations from zooplankton.", "type" : "article-journal", "volume" : "17" }, "uris" : [ "http://www.mendeley.com/documents/?uuid=b272b694-1d52-4a09-8c1b-b2659c07cc2b" ] } ], "mendeley" : { "manualFormatting" : "; Feuchtmayr and Grey, 2003)", "previouslyFormattedCitation" : "(Feuchtmayr and Grey, 2003)" }, "properties" : { "noteIndex" : 0 }, "schema" : "https://github.com/citation-style-language/schema/raw/master/csl-citation.json" }</w:instrText>
      </w:r>
      <w:r w:rsidR="00DB72BA">
        <w:fldChar w:fldCharType="separate"/>
      </w:r>
      <w:r w:rsidR="00DB72BA">
        <w:rPr>
          <w:noProof/>
        </w:rPr>
        <w:t xml:space="preserve">; </w:t>
      </w:r>
      <w:r w:rsidR="00DB72BA" w:rsidRPr="00DB72BA">
        <w:rPr>
          <w:noProof/>
        </w:rPr>
        <w:t>Feuchtmayr and Grey, 2003)</w:t>
      </w:r>
      <w:r w:rsidR="00DB72BA">
        <w:fldChar w:fldCharType="end"/>
      </w:r>
      <w:r>
        <w:t xml:space="preserve">. </w:t>
      </w:r>
      <w:r w:rsidR="00417DBE">
        <w:t>R</w:t>
      </w:r>
      <w:r w:rsidR="0001556B">
        <w:t>elative gut mass can be estimated from the gut passage time and feeding rate</w:t>
      </w:r>
      <w:r w:rsidR="00417DBE">
        <w:t xml:space="preserve"> </w:t>
      </w:r>
      <w:r w:rsidR="00417DBE">
        <w:fldChar w:fldCharType="begin" w:fldLock="1"/>
      </w:r>
      <w:r w:rsidR="001F1E20">
        <w:instrText>ADDIN CSL_CITATION { "citationItems" : [ { "id" : "ITEM-1", "itemData" : { "DOI" : "10.1002/rcm.1227", "ISSN" : "0951-4198", "PMID" : "14648896", "abstract" : "A literature survey of zooplankton stable isotope studies revealed inconsistencies between authors concerning (a) fixation and (b) allowance for gut clearance of zooplankton prior to delta13C and delta15N determinations. To address whether commonly used preservation techniques induce changes in stable isotope values, fresh lake zooplankton (control) were compared with preserved (ethanol, methanol, formaldehyde, gluteraldehyde, frozen and shock frozen) material. Differences of up to 1.1 per thousand for carbon and 1.5 per thousand for nitrogen isotopic signatures were found. Even freezing, the most frequently used method identified from the literature, caused significant changes compared with the control. We advocate the use of fresh material prepared immediately whenever possible, or complementary testing of the preservative method to be used. Larger organisms are routinely eviscerated, or specific tissues are dissected, and analysed for stable isotopes to reduce errors introduced via the gut contents. Yet zooplankton gut clearance is rarely performed: the gut content assumed to be negligible relative to organism mass. Experimental determinations of relative gut mass, from both original and compiled data, range from 1-26% for different zooplankton species. Using reported isotopic values of basal resources from natural systems, we calculated that, when analysing bulk zooplankton, inclusion of the gut mass may introduce substantial errors of &gt;3 per thousand. Thus it appears prudent to perform the simple procedure of gut clearance, especially for copepod species.", "author" : [ { "dropping-particle" : "", "family" : "Feuchtmayr", "given" : "Heidrun", "non-dropping-particle" : "", "parse-names" : false, "suffix" : "" }, { "dropping-particle" : "", "family" : "Grey", "given" : "Jonathan", "non-dropping-particle" : "", "parse-names" : false, "suffix" : "" } ], "container-title" : "Rapid communications in mass spectrometry: RCM", "id" : "ITEM-1", "issue" : "23", "issued" : { "date-parts" : [ [ "2003", "1" ] ] }, "page" : "2605-10", "title" : "Effect of preparation and preservation procedures on carbon and nitrogen stable isotope determinations from zooplankton.", "type" : "article-journal", "volume" : "17" }, "uris" : [ "http://www.mendeley.com/documents/?uuid=b272b694-1d52-4a09-8c1b-b2659c07cc2b" ] } ], "mendeley" : { "previouslyFormattedCitation" : "(Feuchtmayr and Grey, 2003)" }, "properties" : { "noteIndex" : 0 }, "schema" : "https://github.com/citation-style-language/schema/raw/master/csl-citation.json" }</w:instrText>
      </w:r>
      <w:r w:rsidR="00417DBE">
        <w:fldChar w:fldCharType="separate"/>
      </w:r>
      <w:r w:rsidR="00417DBE" w:rsidRPr="00417DBE">
        <w:rPr>
          <w:noProof/>
        </w:rPr>
        <w:t>(Feuchtmayr and Grey, 2003)</w:t>
      </w:r>
      <w:r w:rsidR="00417DBE">
        <w:fldChar w:fldCharType="end"/>
      </w:r>
      <w:r w:rsidR="0001556B">
        <w:t xml:space="preserve">. Using gut passage </w:t>
      </w:r>
      <w:r w:rsidR="000C28A5">
        <w:t xml:space="preserve">time </w:t>
      </w:r>
      <w:r w:rsidR="00BA1FD2">
        <w:t>(</w:t>
      </w:r>
      <w:r w:rsidR="00DB72BA">
        <w:t>3.1 h</w:t>
      </w:r>
      <w:r w:rsidR="00BA1FD2">
        <w:t xml:space="preserve">) </w:t>
      </w:r>
      <w:r w:rsidR="0001556B">
        <w:t xml:space="preserve">and feeding rates </w:t>
      </w:r>
      <w:r w:rsidR="00BA1FD2">
        <w:t>(</w:t>
      </w:r>
      <w:r w:rsidR="00DB72BA">
        <w:t>0.12 g g</w:t>
      </w:r>
      <w:r w:rsidR="00DB72BA">
        <w:rPr>
          <w:vertAlign w:val="superscript"/>
        </w:rPr>
        <w:t>-1</w:t>
      </w:r>
      <w:r w:rsidR="00DB72BA">
        <w:t>day</w:t>
      </w:r>
      <w:r w:rsidR="00DB72BA">
        <w:rPr>
          <w:vertAlign w:val="superscript"/>
        </w:rPr>
        <w:t>-1</w:t>
      </w:r>
      <w:r w:rsidR="00BA1FD2">
        <w:t xml:space="preserve">) </w:t>
      </w:r>
      <w:r w:rsidR="00430990">
        <w:t xml:space="preserve">of </w:t>
      </w:r>
      <w:r w:rsidR="00430990" w:rsidRPr="00ED22E2">
        <w:rPr>
          <w:i/>
        </w:rPr>
        <w:t>Mysis</w:t>
      </w:r>
      <w:r w:rsidR="00430990">
        <w:t xml:space="preserve"> </w:t>
      </w:r>
      <w:r w:rsidR="0001556B">
        <w:t xml:space="preserve">taken from </w:t>
      </w:r>
      <w:proofErr w:type="spellStart"/>
      <w:r w:rsidR="0001556B">
        <w:t>Chipps</w:t>
      </w:r>
      <w:proofErr w:type="spellEnd"/>
      <w:r w:rsidR="0001556B">
        <w:t xml:space="preserve"> (1998)</w:t>
      </w:r>
      <w:r w:rsidR="00BA1FD2">
        <w:t>,</w:t>
      </w:r>
      <w:r w:rsidR="0001556B">
        <w:t xml:space="preserve"> we estimate the relative gut mass of a </w:t>
      </w:r>
      <w:r w:rsidR="00BA1FD2">
        <w:t xml:space="preserve">5-mg </w:t>
      </w:r>
      <w:r w:rsidR="0001556B" w:rsidRPr="00ED22E2">
        <w:rPr>
          <w:i/>
        </w:rPr>
        <w:t>Mysis</w:t>
      </w:r>
      <w:r w:rsidR="0001556B">
        <w:t xml:space="preserve"> </w:t>
      </w:r>
      <w:r w:rsidR="00BA1FD2">
        <w:t>(</w:t>
      </w:r>
      <w:r w:rsidR="0001556B">
        <w:t xml:space="preserve">dry </w:t>
      </w:r>
      <w:r w:rsidR="00BA1FD2">
        <w:t>mass)</w:t>
      </w:r>
      <w:r w:rsidR="0001556B">
        <w:t xml:space="preserve"> to be between 1</w:t>
      </w:r>
      <w:r w:rsidR="001B27D0">
        <w:t>.0</w:t>
      </w:r>
      <w:r w:rsidR="0001556B">
        <w:t xml:space="preserve"> </w:t>
      </w:r>
      <w:r w:rsidR="00BA1FD2">
        <w:t xml:space="preserve">– </w:t>
      </w:r>
      <w:r w:rsidR="0001556B">
        <w:t>1.7</w:t>
      </w:r>
      <w:r w:rsidR="00B86FF5">
        <w:t xml:space="preserve"> </w:t>
      </w:r>
      <w:r w:rsidR="0001556B">
        <w:t>%</w:t>
      </w:r>
      <w:r w:rsidR="00BA1FD2">
        <w:t>,</w:t>
      </w:r>
      <w:r w:rsidR="0001556B">
        <w:t xml:space="preserve"> </w:t>
      </w:r>
      <w:r w:rsidR="00BA1FD2">
        <w:t xml:space="preserve"> </w:t>
      </w:r>
      <w:r w:rsidR="00BA1FD2">
        <w:lastRenderedPageBreak/>
        <w:t xml:space="preserve">consistent with the hypothesis that </w:t>
      </w:r>
      <w:r w:rsidR="00E17BE2">
        <w:t xml:space="preserve">gut content of </w:t>
      </w:r>
      <w:r w:rsidR="00BA1FD2">
        <w:t>organisms with relative</w:t>
      </w:r>
      <w:r w:rsidR="00E17BE2">
        <w:t>ly</w:t>
      </w:r>
      <w:r w:rsidR="00BA1FD2">
        <w:t xml:space="preserve"> low gut </w:t>
      </w:r>
      <w:r w:rsidR="00E17BE2">
        <w:t>mass</w:t>
      </w:r>
      <w:r w:rsidR="00BA1FD2">
        <w:t xml:space="preserve"> </w:t>
      </w:r>
      <w:r w:rsidR="00430990">
        <w:t xml:space="preserve">should have </w:t>
      </w:r>
      <w:r w:rsidR="0001556B">
        <w:t>little effect on observed isotope composition.</w:t>
      </w:r>
    </w:p>
    <w:p w:rsidR="003003F8" w:rsidRDefault="003003F8" w:rsidP="00E973D8">
      <w:pPr>
        <w:spacing w:line="480" w:lineRule="auto"/>
        <w:ind w:firstLine="360"/>
      </w:pPr>
      <w:r>
        <w:t>Both δ</w:t>
      </w:r>
      <w:r>
        <w:rPr>
          <w:vertAlign w:val="superscript"/>
        </w:rPr>
        <w:t>15</w:t>
      </w:r>
      <w:r>
        <w:t>N and δ</w:t>
      </w:r>
      <w:r>
        <w:rPr>
          <w:vertAlign w:val="superscript"/>
        </w:rPr>
        <w:t>13</w:t>
      </w:r>
      <w:r>
        <w:t xml:space="preserve">C of </w:t>
      </w:r>
      <w:r w:rsidRPr="00B47115">
        <w:rPr>
          <w:i/>
        </w:rPr>
        <w:t>Mysis</w:t>
      </w:r>
      <w:r>
        <w:t xml:space="preserve"> had a negative relationship with length. </w:t>
      </w:r>
      <w:r w:rsidR="00341718">
        <w:t>Typically</w:t>
      </w:r>
      <w:r>
        <w:t>, δ</w:t>
      </w:r>
      <w:r>
        <w:rPr>
          <w:vertAlign w:val="superscript"/>
        </w:rPr>
        <w:t>15</w:t>
      </w:r>
      <w:r>
        <w:t xml:space="preserve">N </w:t>
      </w:r>
      <w:r w:rsidR="001C2CA7">
        <w:t xml:space="preserve">increases </w:t>
      </w:r>
      <w:r>
        <w:t>and δ</w:t>
      </w:r>
      <w:r>
        <w:rPr>
          <w:vertAlign w:val="superscript"/>
        </w:rPr>
        <w:t>13</w:t>
      </w:r>
      <w:r>
        <w:t xml:space="preserve">C </w:t>
      </w:r>
      <w:r w:rsidR="001C2CA7">
        <w:t xml:space="preserve">decreases </w:t>
      </w:r>
      <w:r>
        <w:t xml:space="preserve">with </w:t>
      </w:r>
      <w:r w:rsidR="00FA2623" w:rsidRPr="00A41580">
        <w:rPr>
          <w:i/>
        </w:rPr>
        <w:t>Mysis</w:t>
      </w:r>
      <w:r w:rsidR="00FA2623">
        <w:t xml:space="preserve"> </w:t>
      </w:r>
      <w:r>
        <w:t xml:space="preserve">size as relative </w:t>
      </w:r>
      <w:proofErr w:type="spellStart"/>
      <w:r>
        <w:t>carnivory</w:t>
      </w:r>
      <w:proofErr w:type="spellEnd"/>
      <w:r>
        <w:t xml:space="preserve"> increases </w:t>
      </w:r>
      <w:r>
        <w:fldChar w:fldCharType="begin" w:fldLock="1"/>
      </w:r>
      <w:r w:rsidR="001F1E20">
        <w:instrText>ADDIN CSL_CITATION { "citationItems" : [ { "id" : "ITEM-1", "itemData" : { "DOI" : "10.1139/cjfas-58-10-1975", "ISSN" : "12057533", "author" : [ { "dropping-particle" : "", "family" : "Johannsson", "given" : "Ora E.", "non-dropping-particle" : "", "parse-names" : false, "suffix" : "" }, { "dropping-particle" : "", "family" : "Leggett", "given" : "Mike F.", "non-dropping-particle" : "", "parse-names" : false, "suffix" : "" }, { "dropping-particle" : "", "family" : "Rudstam", "given" : "Lars G.", "non-dropping-particle" : "", "parse-names" : false, "suffix" : "" }, { "dropping-particle" : "", "family" : "Servos", "given" : "Mark R.", "non-dropping-particle" : "", "parse-names" : false, "suffix" : "" }, { "dropping-particle" : "", "family" : "Mohammadian", "given" : "Ali Martonius", "non-dropping-particle" : "", "parse-names" : false, "suffix" : "" }, { "dropping-particle" : "", "family" : "Gal", "given" : "Gideon", "non-dropping-particle" : "", "parse-names" : false, "suffix" : "" }, { "dropping-particle" : "", "family" : "Dermott", "given" : "Ron M.", "non-dropping-particle" : "", "parse-names" : false, "suffix" : "" }, { "dropping-particle" : "", "family" : "Hesslein", "given" : "Ray H.", "non-dropping-particle" : "", "parse-names" : false, "suffix" : "" } ], "container-title" : "Canadian Journal of Fisheries and Aquatic Sciences", "id" : "ITEM-1", "issue" : "10", "issued" : { "date-parts" : [ [ "2001" ] ] }, "page" : "1975-1986", "title" : "Diet of Mysis relicta in Lake Ontario as revealed by stable isotope and gut content analysis", "type" : "article-journal", "volume" : "58" }, "uris" : [ "http://www.mendeley.com/documents/?uuid=1e4d76be-237b-4259-8f86-bb35fae8fdab" ] }, { "id" : "ITEM-2", "itemData" : { "author" : [ { "dropping-particle" : "", "family" : "Branstrator", "given" : "DK", "non-dropping-particle" : "", "parse-names" : false, "suffix" : "" }, { "dropping-particle" : "", "family" : "Cabana", "given" : "G", "non-dropping-particle" : "", "parse-names" : false, "suffix" : "" }, { "dropping-particle" : "", "family" : "Mazumder", "given" : "A", "non-dropping-particle" : "", "parse-names" : false, "suffix" : "" }, { "dropping-particle" : "", "family" : "Rasmussen", "given" : "J", "non-dropping-particle" : "", "parse-names" : false, "suffix" : "" } ], "container-title" : "Limnology and Oceanography", "id" : "ITEM-2", "issue" : "2", "issued" : { "date-parts" : [ [ "2000" ] ] }, "page" : "463-467", "title" : "Measuring life-history omnivory in the opossum shrimp, Mysis relicta, with stable nitrogen isotopes", "type" : "article-journal", "volume" : "45" }, "uris" : [ "http://www.mendeley.com/documents/?uuid=795d90d4-a993-486d-bdd7-67290481cde1" ] } ], "mendeley" : { "previouslyFormattedCitation" : "(Branstrator et al., 2000; Johannsson et al., 2001)" }, "properties" : { "noteIndex" : 0 }, "schema" : "https://github.com/citation-style-language/schema/raw/master/csl-citation.json" }</w:instrText>
      </w:r>
      <w:r>
        <w:fldChar w:fldCharType="separate"/>
      </w:r>
      <w:r w:rsidR="00E43224" w:rsidRPr="00E43224">
        <w:rPr>
          <w:noProof/>
        </w:rPr>
        <w:t>(Branstrator et al., 2000; Johannsson et al., 2001)</w:t>
      </w:r>
      <w:r>
        <w:fldChar w:fldCharType="end"/>
      </w:r>
      <w:r>
        <w:t xml:space="preserve">. Because all </w:t>
      </w:r>
      <w:r w:rsidRPr="00B47115">
        <w:rPr>
          <w:i/>
        </w:rPr>
        <w:t>Mysis</w:t>
      </w:r>
      <w:r>
        <w:t xml:space="preserve"> </w:t>
      </w:r>
      <w:r w:rsidR="00846683">
        <w:t xml:space="preserve">in our study </w:t>
      </w:r>
      <w:r>
        <w:t xml:space="preserve">were fed a uniform diet of </w:t>
      </w:r>
      <w:proofErr w:type="spellStart"/>
      <w:r w:rsidRPr="00545D67">
        <w:rPr>
          <w:i/>
        </w:rPr>
        <w:t>Artemia</w:t>
      </w:r>
      <w:proofErr w:type="spellEnd"/>
      <w:r>
        <w:t xml:space="preserve"> for 58 days</w:t>
      </w:r>
      <w:r w:rsidR="00341718">
        <w:t>,</w:t>
      </w:r>
      <w:r>
        <w:t xml:space="preserve"> </w:t>
      </w:r>
      <w:r w:rsidR="000C74CC">
        <w:t xml:space="preserve">we expected </w:t>
      </w:r>
      <w:r w:rsidRPr="00B47115">
        <w:rPr>
          <w:i/>
        </w:rPr>
        <w:t>Mysis</w:t>
      </w:r>
      <w:r>
        <w:t xml:space="preserve"> </w:t>
      </w:r>
      <w:r w:rsidR="000C74CC">
        <w:t xml:space="preserve">to </w:t>
      </w:r>
      <w:r>
        <w:t xml:space="preserve">be at an equal trophic level </w:t>
      </w:r>
      <w:r w:rsidR="00846683">
        <w:t>regardless of size as</w:t>
      </w:r>
      <w:r w:rsidR="000C74CC">
        <w:t xml:space="preserve"> turnover rate </w:t>
      </w:r>
      <w:r w:rsidR="00846683">
        <w:t>of δ</w:t>
      </w:r>
      <w:r w:rsidR="00846683">
        <w:rPr>
          <w:vertAlign w:val="superscript"/>
        </w:rPr>
        <w:t>15</w:t>
      </w:r>
      <w:r w:rsidR="00846683">
        <w:t xml:space="preserve">N </w:t>
      </w:r>
      <w:r w:rsidR="000C74CC">
        <w:t>has been estimated at 1</w:t>
      </w:r>
      <w:r w:rsidR="00315C31">
        <w:t xml:space="preserve"> </w:t>
      </w:r>
      <w:r w:rsidR="000C74CC">
        <w:t>to 2 months (</w:t>
      </w:r>
      <w:proofErr w:type="spellStart"/>
      <w:r w:rsidR="000C74CC" w:rsidRPr="005D73EF">
        <w:rPr>
          <w:noProof/>
        </w:rPr>
        <w:t>Gorokhova</w:t>
      </w:r>
      <w:proofErr w:type="spellEnd"/>
      <w:r w:rsidR="000C74CC" w:rsidRPr="005D73EF">
        <w:rPr>
          <w:noProof/>
        </w:rPr>
        <w:t xml:space="preserve"> and Hansson, 1999; Johannsson et al., 2001)</w:t>
      </w:r>
      <w:r w:rsidR="00846683">
        <w:rPr>
          <w:noProof/>
        </w:rPr>
        <w:t xml:space="preserve">. The turnover rate of </w:t>
      </w:r>
      <w:r w:rsidR="00846683">
        <w:t>δ</w:t>
      </w:r>
      <w:r w:rsidR="00846683">
        <w:rPr>
          <w:vertAlign w:val="superscript"/>
        </w:rPr>
        <w:t>13</w:t>
      </w:r>
      <w:r w:rsidR="00846683">
        <w:t xml:space="preserve">C </w:t>
      </w:r>
      <w:r w:rsidR="00FA2623">
        <w:t xml:space="preserve">in </w:t>
      </w:r>
      <w:r w:rsidR="00FA2623" w:rsidRPr="00A41580">
        <w:rPr>
          <w:i/>
        </w:rPr>
        <w:t>Mysis</w:t>
      </w:r>
      <w:r w:rsidR="00FA2623">
        <w:t xml:space="preserve"> </w:t>
      </w:r>
      <w:r w:rsidR="00846683">
        <w:t xml:space="preserve">is unknown; complete turnover was undetectable in </w:t>
      </w:r>
      <w:r w:rsidR="00846683" w:rsidRPr="00A41580">
        <w:rPr>
          <w:i/>
        </w:rPr>
        <w:t>Mysis</w:t>
      </w:r>
      <w:r w:rsidR="00846683">
        <w:t xml:space="preserve"> after 67 days (Johannsson et al., 2001).</w:t>
      </w:r>
      <w:r w:rsidR="000C74CC">
        <w:t xml:space="preserve"> </w:t>
      </w:r>
      <w:r w:rsidR="00846683">
        <w:t xml:space="preserve">Comparisons of isotope composition between experimental </w:t>
      </w:r>
      <w:r w:rsidR="00846683" w:rsidRPr="00C53DC7">
        <w:rPr>
          <w:i/>
        </w:rPr>
        <w:t>Mysis</w:t>
      </w:r>
      <w:r w:rsidR="00846683" w:rsidRPr="00A41580">
        <w:t>,</w:t>
      </w:r>
      <w:r w:rsidR="00FA2623">
        <w:t xml:space="preserve"> </w:t>
      </w:r>
      <w:r w:rsidR="00846683" w:rsidRPr="00B05F94">
        <w:t>a</w:t>
      </w:r>
      <w:r w:rsidR="00846683">
        <w:t xml:space="preserve">nd both pre-experimental </w:t>
      </w:r>
      <w:r w:rsidR="00846683">
        <w:rPr>
          <w:i/>
        </w:rPr>
        <w:t>Mysis</w:t>
      </w:r>
      <w:r w:rsidR="00846683">
        <w:t xml:space="preserve"> and </w:t>
      </w:r>
      <w:proofErr w:type="spellStart"/>
      <w:r w:rsidR="00846683" w:rsidRPr="000A6629">
        <w:rPr>
          <w:i/>
        </w:rPr>
        <w:t>Artemia</w:t>
      </w:r>
      <w:proofErr w:type="spellEnd"/>
      <w:r w:rsidR="00846683" w:rsidRPr="00A41580">
        <w:t>,</w:t>
      </w:r>
      <w:r w:rsidR="00846683">
        <w:t xml:space="preserve"> suggest that both δ</w:t>
      </w:r>
      <w:r w:rsidR="00846683">
        <w:rPr>
          <w:vertAlign w:val="superscript"/>
        </w:rPr>
        <w:t>15</w:t>
      </w:r>
      <w:r w:rsidR="00846683">
        <w:t>N and δ</w:t>
      </w:r>
      <w:r w:rsidR="00846683">
        <w:rPr>
          <w:vertAlign w:val="superscript"/>
        </w:rPr>
        <w:t>13</w:t>
      </w:r>
      <w:r w:rsidR="00846683">
        <w:t xml:space="preserve">C were still approaching equilibrium at the time of the experiment. </w:t>
      </w:r>
      <w:r>
        <w:t xml:space="preserve">Because </w:t>
      </w:r>
      <w:r w:rsidRPr="00B47115">
        <w:rPr>
          <w:i/>
        </w:rPr>
        <w:t>Mysis</w:t>
      </w:r>
      <w:r>
        <w:t xml:space="preserve"> were kept at a consistent 4°C, turnover rates could have been slowed, lengthening the required time for total turnover</w:t>
      </w:r>
      <w:r w:rsidR="00846683">
        <w:t xml:space="preserve"> of δ</w:t>
      </w:r>
      <w:r w:rsidR="00846683">
        <w:rPr>
          <w:vertAlign w:val="superscript"/>
        </w:rPr>
        <w:t>15</w:t>
      </w:r>
      <w:r w:rsidR="00846683">
        <w:t>N</w:t>
      </w:r>
      <w:r>
        <w:t xml:space="preserve">. Additionally, we observed high mortality rates in experimental tanks; if </w:t>
      </w:r>
      <w:r w:rsidRPr="00B47115">
        <w:rPr>
          <w:i/>
        </w:rPr>
        <w:t>Mysis</w:t>
      </w:r>
      <w:r>
        <w:t xml:space="preserve"> were </w:t>
      </w:r>
      <w:r w:rsidR="00ED0ED8">
        <w:t xml:space="preserve">stressed </w:t>
      </w:r>
      <w:r>
        <w:t>they may not have eaten or grown as quickly as expected</w:t>
      </w:r>
      <w:r w:rsidR="00ED0ED8">
        <w:t>,</w:t>
      </w:r>
      <w:r>
        <w:t xml:space="preserve"> which would further decrease turnover rates. Because </w:t>
      </w:r>
      <w:r w:rsidRPr="00B47115">
        <w:rPr>
          <w:i/>
        </w:rPr>
        <w:t>Mysis</w:t>
      </w:r>
      <w:r>
        <w:t xml:space="preserve"> did not reach equilibrium with their food at the time of the experiment, we suggest the negative relationship of δ</w:t>
      </w:r>
      <w:r>
        <w:rPr>
          <w:vertAlign w:val="superscript"/>
        </w:rPr>
        <w:t>15</w:t>
      </w:r>
      <w:r>
        <w:t>N and δ</w:t>
      </w:r>
      <w:r>
        <w:rPr>
          <w:vertAlign w:val="superscript"/>
        </w:rPr>
        <w:t>13</w:t>
      </w:r>
      <w:r>
        <w:t>C with length is the result of faster growth and turnover rates in smaller individuals compared to larger ones</w:t>
      </w:r>
      <w:r w:rsidR="009B3973">
        <w:t>.</w:t>
      </w:r>
      <w:r>
        <w:t xml:space="preserve"> </w:t>
      </w:r>
    </w:p>
    <w:p w:rsidR="003003F8" w:rsidRDefault="003003F8" w:rsidP="00E973D8">
      <w:pPr>
        <w:spacing w:line="480" w:lineRule="auto"/>
        <w:ind w:firstLine="360"/>
      </w:pPr>
      <w:r>
        <w:t>We conclude that gut evacuation is an unnecessary step in sample preparation for</w:t>
      </w:r>
      <w:r w:rsidR="00AE13DA">
        <w:t xml:space="preserve"> SIA of </w:t>
      </w:r>
      <w:r w:rsidRPr="00B47115">
        <w:rPr>
          <w:i/>
        </w:rPr>
        <w:t>Mysis</w:t>
      </w:r>
      <w:r w:rsidRPr="00F2621C">
        <w:rPr>
          <w:i/>
        </w:rPr>
        <w:t xml:space="preserve"> </w:t>
      </w:r>
      <w:r>
        <w:t xml:space="preserve">and can be </w:t>
      </w:r>
      <w:r w:rsidR="00ED0ED8">
        <w:t>excluded from</w:t>
      </w:r>
      <w:r>
        <w:t xml:space="preserve"> future studies. Additionally, past studies using inconsistent gut evacuation practices should be </w:t>
      </w:r>
      <w:r w:rsidR="00ED0ED8">
        <w:t>comparable in this respect</w:t>
      </w:r>
      <w:r>
        <w:t xml:space="preserve">. Because our results contradict the findings of similar studies on other species, the importance of gut evacuation is likely species-specific. Consequently, our results should be applied to other species with caution. </w:t>
      </w:r>
    </w:p>
    <w:p w:rsidR="002B73E0" w:rsidRDefault="003003F8" w:rsidP="002B73E0">
      <w:pPr>
        <w:spacing w:line="480" w:lineRule="auto"/>
        <w:ind w:firstLine="360"/>
      </w:pPr>
      <w:r>
        <w:lastRenderedPageBreak/>
        <w:t xml:space="preserve">Controlled laboratory studies of SIA have commonly been stated as an important step for the progress of isotope research </w:t>
      </w:r>
      <w:r>
        <w:fldChar w:fldCharType="begin" w:fldLock="1"/>
      </w:r>
      <w:r w:rsidR="001F1E20">
        <w:instrText>ADDIN CSL_CITATION { "citationItems" : [ { "id" : "ITEM-1", "itemData" : { "DOI" : "10.1111/j.1469-185X.2008.00064.x", "ISSN" : "1469-185X", "PMID" : "19046398", "abstract" : "About 10 years ago, reviews of the use of stable isotopes in animal ecology predicted explosive growth in this field and called for laboratory experiments to provide a mechanistic foundation to this growth. They identified four major areas of inquiry: (1) the dynamics of isotopic incorporation, (2) mixing models, (3) the problem of routing, and (4) trophic discrimination factors. Because these areas remain central to isotopic ecology, we use them as organising foci to review the experimental results that isotopic ecologists have collected in the intervening 10 years since the call for laboratory experiments. We also review the models that have been built to explain and organise experimental results in these areas.", "author" : [ { "dropping-particle" : "", "family" : "Rio", "given" : "Carlos Mart\u00ednez", "non-dropping-particle" : "del", "parse-names" : false, "suffix" : "" }, { "dropping-particle" : "", "family" : "Wolf", "given" : "Nathan", "non-dropping-particle" : "", "parse-names" : false, "suffix" : "" }, { "dropping-particle" : "", "family" : "Carleton", "given" : "Scott a", "non-dropping-particle" : "", "parse-names" : false, "suffix" : "" }, { "dropping-particle" : "", "family" : "Gannes", "given" : "Leonard Z", "non-dropping-particle" : "", "parse-names" : false, "suffix" : "" } ], "container-title" : "Biological reviews of the Cambridge Philosophical Society", "id" : "ITEM-1", "issue" : "1", "issued" : { "date-parts" : [ [ "2009", "2" ] ] }, "page" : "91-111", "title" : "Isotopic ecology ten years after a call for more laboratory experiments.", "type" : "article-journal", "volume" : "84" }, "uris" : [ "http://www.mendeley.com/documents/?uuid=765fb4ee-8a07-444d-a99e-9261041d1f0f" ] }, { "id" : "ITEM-2", "itemData" : { "author" : [ { "dropping-particle" : "", "family" : "Gannes", "given" : "Leonard Z", "non-dropping-particle" : "", "parse-names" : false, "suffix" : "" }, { "dropping-particle" : "", "family" : "O'Brien", "given" : "DM", "non-dropping-particle" : "", "parse-names" : false, "suffix" : "" }, { "dropping-particle" : "", "family" : "Rio", "given" : "CM", "non-dropping-particle" : "", "parse-names" : false, "suffix" : "" } ], "container-title" : "Ecology", "id" : "ITEM-2", "issue" : "4", "issued" : { "date-parts" : [ [ "1997" ] ] }, "page" : "1271-1276", "title" : "Stable isotopes in animal ecology: assumptions, caveats, and a call for more laboratory experiments", "type" : "article-journal", "volume" : "78" }, "uris" : [ "http://www.mendeley.com/documents/?uuid=a248a5b9-2843-4ad5-947b-1699fbaa2097" ] } ], "mendeley" : { "previouslyFormattedCitation" : "(del Rio et al., 2009; Gannes et al., 1997)" }, "properties" : { "noteIndex" : 0 }, "schema" : "https://github.com/citation-style-language/schema/raw/master/csl-citation.json" }</w:instrText>
      </w:r>
      <w:r>
        <w:fldChar w:fldCharType="separate"/>
      </w:r>
      <w:r w:rsidRPr="003003F8">
        <w:rPr>
          <w:noProof/>
        </w:rPr>
        <w:t>(del Rio et al., 2009; Gannes et al., 1997)</w:t>
      </w:r>
      <w:r>
        <w:fldChar w:fldCharType="end"/>
      </w:r>
      <w:r>
        <w:t xml:space="preserve">. Though we have answered questions about gut evacuation procedures </w:t>
      </w:r>
      <w:r w:rsidR="002C5716">
        <w:t xml:space="preserve">for </w:t>
      </w:r>
      <w:r w:rsidRPr="00B47115">
        <w:rPr>
          <w:i/>
        </w:rPr>
        <w:t>Mysis</w:t>
      </w:r>
      <w:r>
        <w:t>, more controlled experiments testing effects of other potential sources of error in SIA such as lipid content, tissue type and turnover rate, and the interspecific variation of these sources, remain an important and fertile area of stable isotope research.</w:t>
      </w:r>
    </w:p>
    <w:p w:rsidR="00940C44" w:rsidRDefault="00940C44" w:rsidP="002B73E0">
      <w:pPr>
        <w:spacing w:line="480" w:lineRule="auto"/>
        <w:ind w:firstLine="360"/>
      </w:pPr>
    </w:p>
    <w:p w:rsidR="00940C44" w:rsidRDefault="00940C44" w:rsidP="00940C44">
      <w:pPr>
        <w:pStyle w:val="ChapSub"/>
        <w:ind w:left="0"/>
        <w:jc w:val="left"/>
      </w:pPr>
      <w:r>
        <w:t>Acknowledgements</w:t>
      </w:r>
    </w:p>
    <w:p w:rsidR="00940C44" w:rsidRPr="000A38E0" w:rsidRDefault="00940C44" w:rsidP="00940C44">
      <w:pPr>
        <w:spacing w:line="480" w:lineRule="auto"/>
      </w:pPr>
      <w:r>
        <w:t xml:space="preserve">We extend our appreciation to Mike </w:t>
      </w:r>
      <w:proofErr w:type="spellStart"/>
      <w:r>
        <w:t>Sierszen</w:t>
      </w:r>
      <w:proofErr w:type="spellEnd"/>
      <w:r w:rsidR="002F1523">
        <w:t>,</w:t>
      </w:r>
      <w:r>
        <w:t xml:space="preserve"> </w:t>
      </w:r>
      <w:proofErr w:type="spellStart"/>
      <w:r>
        <w:t>Sture</w:t>
      </w:r>
      <w:proofErr w:type="spellEnd"/>
      <w:r>
        <w:t xml:space="preserve"> Hansson</w:t>
      </w:r>
      <w:r w:rsidR="002F1523">
        <w:t>, and two anonymous reviewers</w:t>
      </w:r>
      <w:r>
        <w:t xml:space="preserve"> for their helpful </w:t>
      </w:r>
      <w:r w:rsidR="000C28A5">
        <w:t>comments on earlier drafts of the manuscript</w:t>
      </w:r>
      <w:r>
        <w:t xml:space="preserve">. We also thank </w:t>
      </w:r>
      <w:r w:rsidR="000C28A5">
        <w:t>C</w:t>
      </w:r>
      <w:r>
        <w:t xml:space="preserve">aptain Steve </w:t>
      </w:r>
      <w:proofErr w:type="spellStart"/>
      <w:r>
        <w:t>Cluett</w:t>
      </w:r>
      <w:proofErr w:type="spellEnd"/>
      <w:r>
        <w:t xml:space="preserve"> and </w:t>
      </w:r>
      <w:r w:rsidR="000C28A5">
        <w:t>D</w:t>
      </w:r>
      <w:r w:rsidR="000C74CC">
        <w:t>eckhand</w:t>
      </w:r>
      <w:r>
        <w:t xml:space="preserve"> </w:t>
      </w:r>
      <w:proofErr w:type="spellStart"/>
      <w:r>
        <w:t>Suz</w:t>
      </w:r>
      <w:proofErr w:type="spellEnd"/>
      <w:r>
        <w:t xml:space="preserve"> Ball of the </w:t>
      </w:r>
      <w:r w:rsidR="000C74CC">
        <w:t>R/V</w:t>
      </w:r>
      <w:r>
        <w:t xml:space="preserve"> </w:t>
      </w:r>
      <w:proofErr w:type="spellStart"/>
      <w:r>
        <w:rPr>
          <w:i/>
        </w:rPr>
        <w:t>Melosira</w:t>
      </w:r>
      <w:proofErr w:type="spellEnd"/>
      <w:r w:rsidR="000C28A5">
        <w:t xml:space="preserve"> for their field expertise</w:t>
      </w:r>
      <w:r w:rsidR="000C74CC" w:rsidRPr="001F1E20">
        <w:t>,</w:t>
      </w:r>
      <w:r>
        <w:t xml:space="preserve"> Rachael DeWitt and Jake </w:t>
      </w:r>
      <w:proofErr w:type="spellStart"/>
      <w:r>
        <w:t>Calvitti</w:t>
      </w:r>
      <w:proofErr w:type="spellEnd"/>
      <w:r>
        <w:t xml:space="preserve"> for their </w:t>
      </w:r>
      <w:r w:rsidR="000C74CC">
        <w:t xml:space="preserve">help </w:t>
      </w:r>
      <w:r>
        <w:t xml:space="preserve">collecting </w:t>
      </w:r>
      <w:r w:rsidRPr="000A38E0">
        <w:rPr>
          <w:i/>
        </w:rPr>
        <w:t>Mysis</w:t>
      </w:r>
      <w:r w:rsidR="000C74CC" w:rsidRPr="009D3262">
        <w:t>,</w:t>
      </w:r>
      <w:r>
        <w:t xml:space="preserve"> and Ellen Marsden for </w:t>
      </w:r>
      <w:r w:rsidR="000C28A5">
        <w:t xml:space="preserve">her </w:t>
      </w:r>
      <w:r w:rsidR="000C74CC">
        <w:t xml:space="preserve">assistance </w:t>
      </w:r>
      <w:r>
        <w:t xml:space="preserve">in the laboratory.   </w:t>
      </w:r>
    </w:p>
    <w:p w:rsidR="003003F8" w:rsidRDefault="003003F8" w:rsidP="00940C44">
      <w:pPr>
        <w:spacing w:line="480" w:lineRule="auto"/>
        <w:rPr>
          <w:b/>
        </w:rPr>
      </w:pPr>
      <w:r>
        <w:br w:type="page"/>
      </w:r>
      <w:r w:rsidR="00401BCF" w:rsidRPr="009B3973">
        <w:rPr>
          <w:b/>
        </w:rPr>
        <w:lastRenderedPageBreak/>
        <w:t>R</w:t>
      </w:r>
      <w:r w:rsidRPr="002C5716">
        <w:rPr>
          <w:b/>
        </w:rPr>
        <w:t>e</w:t>
      </w:r>
      <w:r w:rsidRPr="003003F8">
        <w:rPr>
          <w:b/>
        </w:rPr>
        <w:t>ferences</w:t>
      </w:r>
    </w:p>
    <w:p w:rsidR="00F618F3" w:rsidRPr="001F1E20" w:rsidRDefault="00F618F3" w:rsidP="00F618F3">
      <w:pPr>
        <w:pStyle w:val="NormalWeb"/>
        <w:spacing w:line="480" w:lineRule="auto"/>
        <w:ind w:left="480" w:hanging="480"/>
        <w:divId w:val="1272324193"/>
        <w:rPr>
          <w:noProof/>
        </w:rPr>
      </w:pPr>
      <w:r>
        <w:fldChar w:fldCharType="begin" w:fldLock="1"/>
      </w:r>
      <w:r>
        <w:instrText xml:space="preserve">ADDIN Mendeley Bibliography CSL_BIBLIOGRAPHY </w:instrText>
      </w:r>
      <w:r>
        <w:fldChar w:fldCharType="separate"/>
      </w:r>
      <w:r w:rsidRPr="001F1E20">
        <w:rPr>
          <w:noProof/>
        </w:rPr>
        <w:t xml:space="preserve">Branstrator, D., Cabana, G., Mazumder, A., Rasmussen, J., 2000. Measuring life-history omnivory in the opossum shrimp, </w:t>
      </w:r>
      <w:r w:rsidRPr="001838BD">
        <w:rPr>
          <w:i/>
          <w:noProof/>
        </w:rPr>
        <w:t>Mysis relicta</w:t>
      </w:r>
      <w:r w:rsidRPr="001F1E20">
        <w:rPr>
          <w:noProof/>
        </w:rPr>
        <w:t>, with stable nitrogen isotopes. Limnol. Oceanogr. 45, 463–467.</w:t>
      </w:r>
    </w:p>
    <w:p w:rsidR="00F618F3" w:rsidRPr="001F1E20" w:rsidRDefault="00F618F3" w:rsidP="00F618F3">
      <w:pPr>
        <w:pStyle w:val="NormalWeb"/>
        <w:spacing w:line="480" w:lineRule="auto"/>
        <w:ind w:left="480" w:hanging="480"/>
        <w:divId w:val="1272324193"/>
        <w:rPr>
          <w:noProof/>
        </w:rPr>
      </w:pPr>
      <w:r w:rsidRPr="001F1E20">
        <w:rPr>
          <w:noProof/>
        </w:rPr>
        <w:t xml:space="preserve">Carpenter, G., Mansey, E., Watson, N., 1974. Abundance and life history of </w:t>
      </w:r>
      <w:r w:rsidRPr="001838BD">
        <w:rPr>
          <w:i/>
          <w:noProof/>
        </w:rPr>
        <w:t>Mysis relicta</w:t>
      </w:r>
      <w:r w:rsidRPr="001F1E20">
        <w:rPr>
          <w:noProof/>
        </w:rPr>
        <w:t xml:space="preserve"> in St. Lawrence. J. Fish. Res. Board Canada 31, 319–325.</w:t>
      </w:r>
    </w:p>
    <w:p w:rsidR="00F618F3" w:rsidRPr="001F1E20" w:rsidRDefault="00F618F3" w:rsidP="00F618F3">
      <w:pPr>
        <w:pStyle w:val="NormalWeb"/>
        <w:spacing w:line="480" w:lineRule="auto"/>
        <w:ind w:left="480" w:hanging="480"/>
        <w:divId w:val="1272324193"/>
        <w:rPr>
          <w:noProof/>
        </w:rPr>
      </w:pPr>
      <w:r w:rsidRPr="001F1E20">
        <w:rPr>
          <w:noProof/>
        </w:rPr>
        <w:t xml:space="preserve">Chipps, S., 1998. Temperature-dependent consumption and gut-residence time in the opossum shrimp </w:t>
      </w:r>
      <w:r w:rsidRPr="001838BD">
        <w:rPr>
          <w:i/>
          <w:noProof/>
        </w:rPr>
        <w:t>Mysis relicta</w:t>
      </w:r>
      <w:r w:rsidRPr="001F1E20">
        <w:rPr>
          <w:noProof/>
        </w:rPr>
        <w:t>. J. Plankton Res. 20, 2401–2411. doi:10.1093/plankt/20.12.2401</w:t>
      </w:r>
    </w:p>
    <w:p w:rsidR="00F618F3" w:rsidRPr="001F1E20" w:rsidRDefault="00F618F3" w:rsidP="00F618F3">
      <w:pPr>
        <w:pStyle w:val="NormalWeb"/>
        <w:spacing w:line="480" w:lineRule="auto"/>
        <w:ind w:left="480" w:hanging="480"/>
        <w:divId w:val="1272324193"/>
        <w:rPr>
          <w:noProof/>
        </w:rPr>
      </w:pPr>
      <w:r w:rsidRPr="001F1E20">
        <w:rPr>
          <w:noProof/>
        </w:rPr>
        <w:t>Del Rio, C.M., Wolf, N., Carleton, S.</w:t>
      </w:r>
      <w:r>
        <w:rPr>
          <w:noProof/>
        </w:rPr>
        <w:t>A</w:t>
      </w:r>
      <w:r w:rsidRPr="001F1E20">
        <w:rPr>
          <w:noProof/>
        </w:rPr>
        <w:t>, Gannes, L.Z., 2009. Isotopic ecology ten years after a call for more laboratory experiments. Biol. Rev. Camb. Philos. Soc. 84, 91–111. doi:10.1111/j.1469-185X.2008.00064.x</w:t>
      </w:r>
    </w:p>
    <w:p w:rsidR="00F618F3" w:rsidRPr="001F1E20" w:rsidRDefault="00F618F3" w:rsidP="00F618F3">
      <w:pPr>
        <w:pStyle w:val="NormalWeb"/>
        <w:spacing w:line="480" w:lineRule="auto"/>
        <w:ind w:left="480" w:hanging="480"/>
        <w:divId w:val="1272324193"/>
        <w:rPr>
          <w:noProof/>
        </w:rPr>
      </w:pPr>
      <w:r w:rsidRPr="001F1E20">
        <w:rPr>
          <w:noProof/>
        </w:rPr>
        <w:t>Feuchtmayr, H., Grey, J., 2003. Effect of preparation and preservation procedures on carbon and nitrogen stable isotope determinations from zooplankton. Rapid Commun. mass Spectrom. RCM 17, 2605–10. doi:10.1002/rcm.1227</w:t>
      </w:r>
    </w:p>
    <w:p w:rsidR="00F618F3" w:rsidRPr="001F1E20" w:rsidRDefault="00F618F3" w:rsidP="00F618F3">
      <w:pPr>
        <w:pStyle w:val="NormalWeb"/>
        <w:spacing w:line="480" w:lineRule="auto"/>
        <w:ind w:left="480" w:hanging="480"/>
        <w:divId w:val="1272324193"/>
        <w:rPr>
          <w:noProof/>
        </w:rPr>
      </w:pPr>
      <w:r w:rsidRPr="001F1E20">
        <w:rPr>
          <w:noProof/>
        </w:rPr>
        <w:t>Fleming, T., Nuñez, R., Sternberg, L., 1993. Seasonal changes in the diets of migrant and non-migrant nectarivorous bats as revealed by carbon stable isotope analysis. Oecologia 94, 72–75.</w:t>
      </w:r>
    </w:p>
    <w:p w:rsidR="00F618F3" w:rsidRPr="001F1E20" w:rsidRDefault="00F618F3" w:rsidP="00F618F3">
      <w:pPr>
        <w:pStyle w:val="NormalWeb"/>
        <w:spacing w:line="480" w:lineRule="auto"/>
        <w:ind w:left="480" w:hanging="480"/>
        <w:divId w:val="1272324193"/>
        <w:rPr>
          <w:noProof/>
        </w:rPr>
      </w:pPr>
      <w:r w:rsidRPr="001F1E20">
        <w:rPr>
          <w:noProof/>
        </w:rPr>
        <w:t>France, R., 1995. Differentiation between littoral and pelagic food webs in lakes using stable carbon isotopes. Limnol. Oceanogr. 40, 1310–1313.</w:t>
      </w:r>
    </w:p>
    <w:p w:rsidR="00F618F3" w:rsidRPr="001F1E20" w:rsidRDefault="00F618F3" w:rsidP="00F618F3">
      <w:pPr>
        <w:pStyle w:val="NormalWeb"/>
        <w:spacing w:line="480" w:lineRule="auto"/>
        <w:ind w:left="480" w:hanging="480"/>
        <w:divId w:val="1272324193"/>
        <w:rPr>
          <w:noProof/>
        </w:rPr>
      </w:pPr>
      <w:r w:rsidRPr="001F1E20">
        <w:rPr>
          <w:noProof/>
        </w:rPr>
        <w:lastRenderedPageBreak/>
        <w:t>Fry, B., 1981. Natural stable carbon isotope tag traces Texas shrimp migrations. Fish. Bull. 79, 337–345.</w:t>
      </w:r>
    </w:p>
    <w:p w:rsidR="00F618F3" w:rsidRPr="001F1E20" w:rsidRDefault="00F618F3" w:rsidP="00F618F3">
      <w:pPr>
        <w:pStyle w:val="NormalWeb"/>
        <w:spacing w:line="480" w:lineRule="auto"/>
        <w:ind w:left="480" w:hanging="480"/>
        <w:divId w:val="1272324193"/>
        <w:rPr>
          <w:noProof/>
        </w:rPr>
      </w:pPr>
      <w:r w:rsidRPr="001F1E20">
        <w:rPr>
          <w:noProof/>
        </w:rPr>
        <w:t>Gannes, L.Z., O’Brien, D., Rio, C., 1997. Stable isotopes in animal ecology: assumptions, caveats, and a call for more laboratory experiments. Ecology 78, 1271–1276.</w:t>
      </w:r>
    </w:p>
    <w:p w:rsidR="00F618F3" w:rsidRPr="001F1E20" w:rsidRDefault="00F618F3" w:rsidP="00F618F3">
      <w:pPr>
        <w:pStyle w:val="NormalWeb"/>
        <w:spacing w:line="480" w:lineRule="auto"/>
        <w:ind w:left="480" w:hanging="480"/>
        <w:divId w:val="1272324193"/>
        <w:rPr>
          <w:noProof/>
        </w:rPr>
      </w:pPr>
      <w:r w:rsidRPr="001F1E20">
        <w:rPr>
          <w:noProof/>
        </w:rPr>
        <w:t xml:space="preserve">Gorokhova, E., 1998. Exploring and modeling the growth dynamics of </w:t>
      </w:r>
      <w:r w:rsidRPr="001838BD">
        <w:rPr>
          <w:i/>
          <w:noProof/>
        </w:rPr>
        <w:t>Mysis mixta</w:t>
      </w:r>
      <w:r w:rsidRPr="001F1E20">
        <w:rPr>
          <w:noProof/>
        </w:rPr>
        <w:t>. Ecol. Modell. 110, 45–54.</w:t>
      </w:r>
    </w:p>
    <w:p w:rsidR="00F618F3" w:rsidRPr="001F1E20" w:rsidRDefault="00F618F3" w:rsidP="00F618F3">
      <w:pPr>
        <w:pStyle w:val="NormalWeb"/>
        <w:spacing w:line="480" w:lineRule="auto"/>
        <w:ind w:left="480" w:hanging="480"/>
        <w:divId w:val="1272324193"/>
        <w:rPr>
          <w:noProof/>
        </w:rPr>
      </w:pPr>
      <w:r w:rsidRPr="001F1E20">
        <w:rPr>
          <w:noProof/>
        </w:rPr>
        <w:t xml:space="preserve">Gorokhova, E., Hansson, S., 1999. An experimental study on variations in stable carbon and nitrogen isotope fractionation during growth of </w:t>
      </w:r>
      <w:r w:rsidRPr="001F1E20">
        <w:rPr>
          <w:i/>
          <w:iCs/>
          <w:noProof/>
        </w:rPr>
        <w:t>Mysis mixta</w:t>
      </w:r>
      <w:r w:rsidRPr="001F1E20">
        <w:rPr>
          <w:noProof/>
        </w:rPr>
        <w:t xml:space="preserve"> and </w:t>
      </w:r>
      <w:r w:rsidRPr="001F1E20">
        <w:rPr>
          <w:i/>
          <w:iCs/>
          <w:noProof/>
        </w:rPr>
        <w:t>Neomysis integer</w:t>
      </w:r>
      <w:r w:rsidRPr="001F1E20">
        <w:rPr>
          <w:noProof/>
        </w:rPr>
        <w:t>. Can. J. Fish. Aquat. Sci. 56, 2203–2210. doi:10.1139/cjfas-56-11-2203</w:t>
      </w:r>
    </w:p>
    <w:p w:rsidR="00F618F3" w:rsidRPr="001F1E20" w:rsidRDefault="00F618F3" w:rsidP="00F618F3">
      <w:pPr>
        <w:pStyle w:val="NormalWeb"/>
        <w:spacing w:line="480" w:lineRule="auto"/>
        <w:ind w:left="480" w:hanging="480"/>
        <w:divId w:val="1272324193"/>
        <w:rPr>
          <w:noProof/>
        </w:rPr>
      </w:pPr>
      <w:r w:rsidRPr="001F1E20">
        <w:rPr>
          <w:noProof/>
        </w:rPr>
        <w:t>Grey, J., Jones, R., Sleep, D., 2001. Seasonal changes in the importance of the source of organic matter to the diet of zooplankton in Loch Ness, as indicated by stable isotope analysis. Limnol. Oceanogr. 46, 505–513.</w:t>
      </w:r>
    </w:p>
    <w:p w:rsidR="00F618F3" w:rsidRDefault="00F618F3" w:rsidP="00F618F3">
      <w:pPr>
        <w:pStyle w:val="NormalWeb"/>
        <w:spacing w:line="480" w:lineRule="auto"/>
        <w:ind w:left="480" w:hanging="480"/>
        <w:divId w:val="1272324193"/>
        <w:rPr>
          <w:noProof/>
        </w:rPr>
      </w:pPr>
      <w:r w:rsidRPr="001F1E20">
        <w:rPr>
          <w:noProof/>
        </w:rPr>
        <w:t>Grey, J., Kelly, A., Jones, R., 2004. High intraspecific variability in carbon and nitrogen stable isotope ratios of lake chironomid larvae. Limnol. Oceanogr. 49, 239–244.</w:t>
      </w:r>
    </w:p>
    <w:p w:rsidR="00F618F3" w:rsidRPr="001F1E20" w:rsidRDefault="00F618F3" w:rsidP="00F618F3">
      <w:pPr>
        <w:pStyle w:val="NormalWeb"/>
        <w:spacing w:line="480" w:lineRule="auto"/>
        <w:ind w:left="480" w:hanging="480"/>
        <w:divId w:val="1272324193"/>
        <w:rPr>
          <w:noProof/>
        </w:rPr>
      </w:pPr>
      <w:r w:rsidRPr="001F1E20">
        <w:rPr>
          <w:noProof/>
        </w:rPr>
        <w:t>Hobson, K.</w:t>
      </w:r>
      <w:r>
        <w:rPr>
          <w:noProof/>
        </w:rPr>
        <w:t>A</w:t>
      </w:r>
      <w:r w:rsidRPr="001F1E20">
        <w:rPr>
          <w:noProof/>
        </w:rPr>
        <w:t>., 1999. Tracing origins and migration of wildlife using stable isotopes: a review. Oecologia 120, 314–326. doi:10.1007/s004420050865</w:t>
      </w:r>
    </w:p>
    <w:p w:rsidR="00F618F3" w:rsidRPr="001F1E20" w:rsidRDefault="00F618F3" w:rsidP="00F618F3">
      <w:pPr>
        <w:pStyle w:val="NormalWeb"/>
        <w:spacing w:line="480" w:lineRule="auto"/>
        <w:ind w:left="480" w:hanging="480"/>
        <w:divId w:val="1272324193"/>
        <w:rPr>
          <w:noProof/>
        </w:rPr>
      </w:pPr>
      <w:r w:rsidRPr="001F1E20">
        <w:rPr>
          <w:noProof/>
        </w:rPr>
        <w:t xml:space="preserve">Johannsson, O.E., Leggett, M.F., Rudstam, L.G., Servos, M.R., Mohammadian, A.M., Gal, G., Dermott, R.M., Hesslein, R.H., 2001. Diet of </w:t>
      </w:r>
      <w:r w:rsidRPr="001838BD">
        <w:rPr>
          <w:i/>
          <w:noProof/>
        </w:rPr>
        <w:t>Mysis relicta</w:t>
      </w:r>
      <w:r w:rsidRPr="001F1E20">
        <w:rPr>
          <w:noProof/>
        </w:rPr>
        <w:t xml:space="preserve"> in Lake Ontario as revealed by stable isotope and gut content analysis. Can. J. Fish. Aquat. Sci. 58, 1975–1986. doi:10.1139/cjfas-58-10-1975</w:t>
      </w:r>
    </w:p>
    <w:p w:rsidR="00F618F3" w:rsidRDefault="00F618F3" w:rsidP="00F618F3">
      <w:pPr>
        <w:pStyle w:val="NormalWeb"/>
        <w:spacing w:before="0" w:beforeAutospacing="0" w:line="480" w:lineRule="auto"/>
        <w:ind w:left="480" w:hanging="480"/>
        <w:divId w:val="1272324193"/>
        <w:rPr>
          <w:noProof/>
        </w:rPr>
      </w:pPr>
      <w:r w:rsidRPr="001F1E20">
        <w:rPr>
          <w:noProof/>
        </w:rPr>
        <w:lastRenderedPageBreak/>
        <w:t xml:space="preserve">Mittermayr, </w:t>
      </w:r>
      <w:r>
        <w:rPr>
          <w:noProof/>
        </w:rPr>
        <w:t>A.</w:t>
      </w:r>
      <w:r w:rsidRPr="001F1E20">
        <w:rPr>
          <w:noProof/>
        </w:rPr>
        <w:t>, Hansen, T., Sommer, U., 2014. Simultaneous analysis of δ</w:t>
      </w:r>
      <w:r w:rsidRPr="001838BD">
        <w:rPr>
          <w:noProof/>
          <w:vertAlign w:val="superscript"/>
        </w:rPr>
        <w:t>13</w:t>
      </w:r>
      <w:r w:rsidRPr="001F1E20">
        <w:rPr>
          <w:noProof/>
        </w:rPr>
        <w:t>C, δ</w:t>
      </w:r>
      <w:r w:rsidRPr="001838BD">
        <w:rPr>
          <w:noProof/>
          <w:vertAlign w:val="superscript"/>
        </w:rPr>
        <w:t>15</w:t>
      </w:r>
      <w:r w:rsidRPr="001F1E20">
        <w:rPr>
          <w:noProof/>
        </w:rPr>
        <w:t>N and δ</w:t>
      </w:r>
      <w:r w:rsidRPr="001838BD">
        <w:rPr>
          <w:noProof/>
          <w:vertAlign w:val="superscript"/>
        </w:rPr>
        <w:t>34</w:t>
      </w:r>
      <w:r w:rsidRPr="001F1E20">
        <w:rPr>
          <w:noProof/>
        </w:rPr>
        <w:t xml:space="preserve">S ratios uncovers food web relationships and the trophic importance of epiphytes in an eelgrass </w:t>
      </w:r>
      <w:r w:rsidRPr="001838BD">
        <w:rPr>
          <w:i/>
          <w:noProof/>
        </w:rPr>
        <w:t>Zostera marina</w:t>
      </w:r>
      <w:r w:rsidRPr="001F1E20">
        <w:rPr>
          <w:noProof/>
        </w:rPr>
        <w:t xml:space="preserve"> community. Mar. Ecol. Prog. Ser. 497, 93–103. doi:10.3354/meps10569</w:t>
      </w:r>
    </w:p>
    <w:p w:rsidR="00F618F3" w:rsidRPr="00DB72BA" w:rsidRDefault="00F618F3" w:rsidP="00F618F3">
      <w:pPr>
        <w:pStyle w:val="NormalWeb"/>
        <w:spacing w:before="0" w:beforeAutospacing="0" w:after="0" w:afterAutospacing="0" w:line="480" w:lineRule="auto"/>
        <w:ind w:left="480" w:hanging="480"/>
        <w:divId w:val="1272324193"/>
        <w:rPr>
          <w:noProof/>
        </w:rPr>
      </w:pPr>
      <w:r>
        <w:rPr>
          <w:noProof/>
        </w:rPr>
        <w:t>Ogle, D.H., NA. FSA: Fisheries Stock Analysis. R package version 0.4.17.</w:t>
      </w:r>
    </w:p>
    <w:p w:rsidR="00F618F3" w:rsidRPr="001F1E20" w:rsidRDefault="00F618F3" w:rsidP="00F618F3">
      <w:pPr>
        <w:pStyle w:val="NormalWeb"/>
        <w:spacing w:before="0" w:beforeAutospacing="0" w:line="480" w:lineRule="auto"/>
        <w:ind w:left="480" w:hanging="480"/>
        <w:divId w:val="1272324193"/>
        <w:rPr>
          <w:noProof/>
        </w:rPr>
      </w:pPr>
      <w:r w:rsidRPr="001F1E20">
        <w:rPr>
          <w:noProof/>
        </w:rPr>
        <w:t xml:space="preserve">Ogonowski, M., Duberg, J., Hansson, S., Gorokhova, E., 2013. Behavioral, Ecological and Genetic Differentiation in an Open Environment—A Study of a </w:t>
      </w:r>
      <w:r w:rsidRPr="001838BD">
        <w:rPr>
          <w:i/>
          <w:noProof/>
        </w:rPr>
        <w:t>Mysid</w:t>
      </w:r>
      <w:r w:rsidRPr="001F1E20">
        <w:rPr>
          <w:noProof/>
        </w:rPr>
        <w:t xml:space="preserve"> Population in the Baltic Sea. PLoS One 8, e57210. doi:10.1371/journal.pone.0057210</w:t>
      </w:r>
    </w:p>
    <w:p w:rsidR="00F618F3" w:rsidRPr="001F1E20" w:rsidRDefault="00F618F3" w:rsidP="00F618F3">
      <w:pPr>
        <w:pStyle w:val="NormalWeb"/>
        <w:spacing w:line="480" w:lineRule="auto"/>
        <w:ind w:left="480" w:hanging="480"/>
        <w:divId w:val="1272324193"/>
        <w:rPr>
          <w:noProof/>
        </w:rPr>
      </w:pPr>
      <w:r w:rsidRPr="001F1E20">
        <w:rPr>
          <w:noProof/>
        </w:rPr>
        <w:t>Peterson, B., Fry, B., 1987. Stable isotopes in ecosystem studies. Annu. Rev. Ecol. Syst. 18, 293–320.</w:t>
      </w:r>
    </w:p>
    <w:p w:rsidR="00F618F3" w:rsidRPr="001F1E20" w:rsidRDefault="00F618F3" w:rsidP="00F618F3">
      <w:pPr>
        <w:pStyle w:val="NormalWeb"/>
        <w:spacing w:line="480" w:lineRule="auto"/>
        <w:ind w:left="480" w:hanging="480"/>
        <w:divId w:val="1272324193"/>
        <w:rPr>
          <w:noProof/>
        </w:rPr>
      </w:pPr>
      <w:r w:rsidRPr="001F1E20">
        <w:rPr>
          <w:noProof/>
        </w:rPr>
        <w:t>Phillips, D.L., Gregg, J.W., 2003. Source partitioning using stable isotopes: coping with too many sources. Oecologia 136, 261–9. doi:10.1007/s00442-003-1218-3</w:t>
      </w:r>
    </w:p>
    <w:p w:rsidR="00F618F3" w:rsidRPr="001F1E20" w:rsidRDefault="00F618F3" w:rsidP="00F618F3">
      <w:pPr>
        <w:pStyle w:val="NormalWeb"/>
        <w:spacing w:line="480" w:lineRule="auto"/>
        <w:ind w:left="480" w:hanging="480"/>
        <w:divId w:val="1272324193"/>
        <w:rPr>
          <w:noProof/>
        </w:rPr>
      </w:pPr>
      <w:r w:rsidRPr="001F1E20">
        <w:rPr>
          <w:noProof/>
        </w:rPr>
        <w:t>Pinnegar, J., Polunin, N., 1999. Differential fractionation of δ</w:t>
      </w:r>
      <w:r w:rsidRPr="001838BD">
        <w:rPr>
          <w:noProof/>
          <w:vertAlign w:val="superscript"/>
        </w:rPr>
        <w:t>13</w:t>
      </w:r>
      <w:r w:rsidRPr="001F1E20">
        <w:rPr>
          <w:noProof/>
        </w:rPr>
        <w:t>C and δ</w:t>
      </w:r>
      <w:r w:rsidRPr="001838BD">
        <w:rPr>
          <w:noProof/>
          <w:vertAlign w:val="superscript"/>
        </w:rPr>
        <w:t>15</w:t>
      </w:r>
      <w:r w:rsidRPr="001F1E20">
        <w:rPr>
          <w:noProof/>
        </w:rPr>
        <w:t>N among fish tissues: implications for the study of trophic interactions. Funct. Ecol. 225–231.</w:t>
      </w:r>
    </w:p>
    <w:p w:rsidR="00F618F3" w:rsidRPr="001F1E20" w:rsidRDefault="00F618F3" w:rsidP="00F618F3">
      <w:pPr>
        <w:pStyle w:val="NormalWeb"/>
        <w:spacing w:line="480" w:lineRule="auto"/>
        <w:ind w:left="480" w:hanging="480"/>
        <w:divId w:val="1272324193"/>
        <w:rPr>
          <w:noProof/>
        </w:rPr>
      </w:pPr>
      <w:r w:rsidRPr="001F1E20">
        <w:rPr>
          <w:noProof/>
        </w:rPr>
        <w:t>Post, D., 2002. Using stable isotopes to estimate trophic position: models, methods, and assumptions. Ecology 83, 703–718.</w:t>
      </w:r>
    </w:p>
    <w:p w:rsidR="00F618F3" w:rsidRDefault="00F618F3" w:rsidP="00F618F3">
      <w:pPr>
        <w:pStyle w:val="NormalWeb"/>
        <w:spacing w:line="480" w:lineRule="auto"/>
        <w:ind w:left="480" w:hanging="480"/>
        <w:divId w:val="1272324193"/>
        <w:rPr>
          <w:noProof/>
          <w:color w:val="000000" w:themeColor="text1"/>
        </w:rPr>
      </w:pPr>
      <w:r w:rsidRPr="001F1E20">
        <w:rPr>
          <w:noProof/>
        </w:rPr>
        <w:t>Post, D.M., Layman, C.</w:t>
      </w:r>
      <w:r>
        <w:rPr>
          <w:noProof/>
        </w:rPr>
        <w:t>A.</w:t>
      </w:r>
      <w:r w:rsidRPr="001F1E20">
        <w:rPr>
          <w:noProof/>
        </w:rPr>
        <w:t>, Arrington, D.A., Takimoto, G., Quattrochi, J., Montaña, C.G., 2007. Getting to the fat of the matter: models, methods and assumptions for dealing with lipids in stable isotope analyses. Oecologia 152, 179–89. doi:10.1007/s00442-006-0630-x</w:t>
      </w:r>
      <w:r w:rsidRPr="001F5A87">
        <w:rPr>
          <w:noProof/>
          <w:color w:val="000000" w:themeColor="text1"/>
        </w:rPr>
        <w:t xml:space="preserve"> </w:t>
      </w:r>
    </w:p>
    <w:p w:rsidR="00F618F3" w:rsidRPr="001F5A87" w:rsidRDefault="00F618F3" w:rsidP="00F618F3">
      <w:pPr>
        <w:pStyle w:val="NormalWeb"/>
        <w:spacing w:line="480" w:lineRule="auto"/>
        <w:ind w:left="480" w:hanging="480"/>
        <w:divId w:val="1272324193"/>
        <w:rPr>
          <w:noProof/>
          <w:color w:val="000000" w:themeColor="text1"/>
        </w:rPr>
      </w:pPr>
      <w:r>
        <w:rPr>
          <w:noProof/>
          <w:color w:val="000000" w:themeColor="text1"/>
        </w:rPr>
        <w:lastRenderedPageBreak/>
        <w:t>R Core Team, 2014. R: A languagte and environment for statistical computing. R Foundation For Statistical Computing, Vienna, Austria. URL http://www.R-project.org/</w:t>
      </w:r>
    </w:p>
    <w:p w:rsidR="00F618F3" w:rsidRPr="001F1E20" w:rsidRDefault="00F618F3" w:rsidP="00F618F3">
      <w:pPr>
        <w:pStyle w:val="NormalWeb"/>
        <w:spacing w:line="480" w:lineRule="auto"/>
        <w:ind w:left="480" w:hanging="480"/>
        <w:divId w:val="1272324193"/>
        <w:rPr>
          <w:noProof/>
        </w:rPr>
      </w:pPr>
      <w:r w:rsidRPr="001F1E20">
        <w:rPr>
          <w:noProof/>
        </w:rPr>
        <w:t>Schmidt, K., Atkinson, A., Stubing, D., McClelland, J., Montoya, J., Voss, M., 2003. Trophic relationships among Southern Ocean copepods and krill: some uses and limitations of a stable isotope approach. Limnol. Oceanogr. 48, 277–289.</w:t>
      </w:r>
    </w:p>
    <w:p w:rsidR="00F618F3" w:rsidRPr="001F1E20" w:rsidRDefault="00F618F3" w:rsidP="00F618F3">
      <w:pPr>
        <w:pStyle w:val="NormalWeb"/>
        <w:spacing w:line="480" w:lineRule="auto"/>
        <w:ind w:left="480" w:hanging="480"/>
        <w:divId w:val="1272324193"/>
        <w:rPr>
          <w:noProof/>
        </w:rPr>
      </w:pPr>
      <w:r w:rsidRPr="001F1E20">
        <w:rPr>
          <w:noProof/>
        </w:rPr>
        <w:t xml:space="preserve">Sierszen, M., Kelly, J., Corry, T., Scharold, J., Yurista, P., 2011. Benthic and pelagic contributions to </w:t>
      </w:r>
      <w:r w:rsidRPr="001838BD">
        <w:rPr>
          <w:i/>
          <w:noProof/>
        </w:rPr>
        <w:t>Mysis</w:t>
      </w:r>
      <w:r w:rsidRPr="001F1E20">
        <w:rPr>
          <w:noProof/>
        </w:rPr>
        <w:t xml:space="preserve"> nutrition across Lake Superior. Can. J. Fish. Aquat. Sci. 68, 1051–1063. doi:10.1139/F2011-033</w:t>
      </w:r>
    </w:p>
    <w:p w:rsidR="00F618F3" w:rsidRPr="001F1E20" w:rsidRDefault="00F618F3" w:rsidP="00F618F3">
      <w:pPr>
        <w:pStyle w:val="NormalWeb"/>
        <w:spacing w:line="480" w:lineRule="auto"/>
        <w:ind w:left="480" w:hanging="480"/>
        <w:divId w:val="1272324193"/>
        <w:rPr>
          <w:noProof/>
        </w:rPr>
      </w:pPr>
      <w:r w:rsidRPr="001F1E20">
        <w:rPr>
          <w:noProof/>
        </w:rPr>
        <w:t>Smyntek, P.M., Teece, M.</w:t>
      </w:r>
      <w:r>
        <w:rPr>
          <w:noProof/>
        </w:rPr>
        <w:t>A</w:t>
      </w:r>
      <w:r w:rsidRPr="001F1E20">
        <w:rPr>
          <w:noProof/>
        </w:rPr>
        <w:t>., Schulz, K.L., Thackeray, S.J., 2007. A standard protocol for stable isotope analysis of zooplankton in aquatic food web research using mass balance correction models. Limnol. Oceanogr. 52, 2135–2146. doi:10.4319/lo.2007.52.5.2135</w:t>
      </w:r>
    </w:p>
    <w:p w:rsidR="00F618F3" w:rsidRPr="001F1E20" w:rsidRDefault="00F618F3" w:rsidP="00F618F3">
      <w:pPr>
        <w:pStyle w:val="NormalWeb"/>
        <w:spacing w:line="480" w:lineRule="auto"/>
        <w:ind w:left="480" w:hanging="480"/>
        <w:divId w:val="1272324193"/>
        <w:rPr>
          <w:noProof/>
        </w:rPr>
      </w:pPr>
      <w:r w:rsidRPr="001F1E20">
        <w:rPr>
          <w:noProof/>
        </w:rPr>
        <w:t>Stockwell, J.D., Yule, D.L., Hrabik, T.R., Sierszen, M.E., Isaac, E.J., 2014. Habitat coupling in a large lake system: delivery of an energy subsidy by an offshore planktivore to the nearshore zone of Lake Superior. Freshw. Biol.</w:t>
      </w:r>
      <w:r>
        <w:rPr>
          <w:noProof/>
        </w:rPr>
        <w:t>97, 1197-1212</w:t>
      </w:r>
      <w:r w:rsidRPr="001F1E20">
        <w:rPr>
          <w:noProof/>
        </w:rPr>
        <w:t>. doi:10.1111/fwb.12340</w:t>
      </w:r>
    </w:p>
    <w:p w:rsidR="00F618F3" w:rsidRPr="001F1E20" w:rsidRDefault="00F618F3" w:rsidP="00F618F3">
      <w:pPr>
        <w:pStyle w:val="NormalWeb"/>
        <w:spacing w:line="480" w:lineRule="auto"/>
        <w:ind w:left="480" w:hanging="480"/>
        <w:divId w:val="1272324193"/>
        <w:rPr>
          <w:noProof/>
        </w:rPr>
      </w:pPr>
      <w:r w:rsidRPr="001F1E20">
        <w:rPr>
          <w:noProof/>
        </w:rPr>
        <w:t>Tieszen, L., Boutton, T., Tesdahl, K., Slade, N., 1983. Fractionation and turnover of stable carbon isotopes in animal tissues: implications for δ</w:t>
      </w:r>
      <w:r w:rsidRPr="001838BD">
        <w:rPr>
          <w:noProof/>
          <w:vertAlign w:val="superscript"/>
        </w:rPr>
        <w:t>13</w:t>
      </w:r>
      <w:r w:rsidRPr="001F1E20">
        <w:rPr>
          <w:noProof/>
        </w:rPr>
        <w:t>C analysis of diet. Oecologia 57, 32–37.</w:t>
      </w:r>
    </w:p>
    <w:p w:rsidR="004B1307" w:rsidRDefault="00F618F3" w:rsidP="001F1E20">
      <w:pPr>
        <w:pStyle w:val="NormalWeb"/>
        <w:spacing w:before="0" w:beforeAutospacing="0" w:after="0" w:afterAutospacing="0" w:line="480" w:lineRule="auto"/>
        <w:ind w:left="480" w:hanging="480"/>
        <w:divId w:val="1080251135"/>
      </w:pPr>
      <w:r>
        <w:fldChar w:fldCharType="end"/>
      </w:r>
      <w:bookmarkStart w:id="5" w:name="_Toc404326269"/>
    </w:p>
    <w:p w:rsidR="004B1307" w:rsidRDefault="004B1307" w:rsidP="005B02A4">
      <w:pPr>
        <w:spacing w:line="480" w:lineRule="auto"/>
        <w:rPr>
          <w:rFonts w:eastAsiaTheme="minorEastAsia"/>
        </w:rPr>
      </w:pPr>
      <w:r>
        <w:br w:type="page"/>
      </w:r>
    </w:p>
    <w:p w:rsidR="00401BCF" w:rsidRPr="00EB13B4" w:rsidRDefault="00401BCF" w:rsidP="005B02A4">
      <w:pPr>
        <w:pStyle w:val="NormalWeb"/>
        <w:spacing w:before="0" w:beforeAutospacing="0" w:after="0" w:afterAutospacing="0" w:line="480" w:lineRule="auto"/>
        <w:ind w:left="475" w:hanging="475"/>
        <w:divId w:val="1979147619"/>
        <w:rPr>
          <w:b/>
        </w:rPr>
      </w:pPr>
      <w:r w:rsidRPr="00EB13B4">
        <w:rPr>
          <w:b/>
        </w:rPr>
        <w:lastRenderedPageBreak/>
        <w:t>List of Tables</w:t>
      </w:r>
    </w:p>
    <w:p w:rsidR="00401BCF" w:rsidRDefault="00401BCF" w:rsidP="00182ED3">
      <w:pPr>
        <w:pStyle w:val="TableCap"/>
        <w:ind w:left="0" w:firstLine="0"/>
        <w:rPr>
          <w:b w:val="0"/>
        </w:rPr>
      </w:pPr>
    </w:p>
    <w:p w:rsidR="00401BCF" w:rsidRPr="002B5B10" w:rsidRDefault="00401BCF" w:rsidP="00182ED3">
      <w:pPr>
        <w:pStyle w:val="TableCap"/>
        <w:ind w:left="0" w:firstLine="0"/>
        <w:rPr>
          <w:b w:val="0"/>
          <w:sz w:val="24"/>
        </w:rPr>
      </w:pPr>
      <w:r w:rsidRPr="002B5B10">
        <w:rPr>
          <w:b w:val="0"/>
          <w:sz w:val="24"/>
        </w:rPr>
        <w:t xml:space="preserve">Table 1: Mean (± SD) length (mm), </w:t>
      </w:r>
      <w:r w:rsidRPr="002B5B10">
        <w:rPr>
          <w:b w:val="0"/>
          <w:color w:val="000000"/>
          <w:sz w:val="24"/>
        </w:rPr>
        <w:t>δ</w:t>
      </w:r>
      <w:r w:rsidRPr="002B5B10">
        <w:rPr>
          <w:b w:val="0"/>
          <w:color w:val="000000"/>
          <w:sz w:val="24"/>
          <w:vertAlign w:val="superscript"/>
        </w:rPr>
        <w:t>15</w:t>
      </w:r>
      <w:r w:rsidRPr="002B5B10">
        <w:rPr>
          <w:b w:val="0"/>
          <w:color w:val="000000"/>
          <w:sz w:val="24"/>
        </w:rPr>
        <w:t>N,</w:t>
      </w:r>
      <w:r w:rsidRPr="002B5B10">
        <w:rPr>
          <w:b w:val="0"/>
          <w:sz w:val="24"/>
        </w:rPr>
        <w:t xml:space="preserve"> </w:t>
      </w:r>
      <w:r w:rsidRPr="002B5B10">
        <w:rPr>
          <w:b w:val="0"/>
          <w:color w:val="000000"/>
          <w:sz w:val="24"/>
        </w:rPr>
        <w:t>δ</w:t>
      </w:r>
      <w:r w:rsidRPr="002B5B10">
        <w:rPr>
          <w:b w:val="0"/>
          <w:color w:val="000000"/>
          <w:sz w:val="24"/>
          <w:vertAlign w:val="superscript"/>
        </w:rPr>
        <w:t>13</w:t>
      </w:r>
      <w:r w:rsidRPr="002B5B10">
        <w:rPr>
          <w:b w:val="0"/>
          <w:color w:val="000000"/>
          <w:sz w:val="24"/>
        </w:rPr>
        <w:t>C, and C</w:t>
      </w:r>
      <w:proofErr w:type="gramStart"/>
      <w:r w:rsidRPr="002B5B10">
        <w:rPr>
          <w:b w:val="0"/>
          <w:color w:val="000000"/>
          <w:sz w:val="24"/>
        </w:rPr>
        <w:t>:N</w:t>
      </w:r>
      <w:proofErr w:type="gramEnd"/>
      <w:r w:rsidRPr="002B5B10">
        <w:rPr>
          <w:b w:val="0"/>
          <w:color w:val="000000"/>
          <w:sz w:val="24"/>
        </w:rPr>
        <w:t xml:space="preserve"> </w:t>
      </w:r>
      <w:r w:rsidR="000C74CC" w:rsidRPr="002B5B10">
        <w:rPr>
          <w:b w:val="0"/>
          <w:sz w:val="24"/>
        </w:rPr>
        <w:t xml:space="preserve">of experimental </w:t>
      </w:r>
      <w:r w:rsidR="000C74CC" w:rsidRPr="002B5B10">
        <w:rPr>
          <w:b w:val="0"/>
          <w:i/>
          <w:sz w:val="24"/>
        </w:rPr>
        <w:t>Mysis</w:t>
      </w:r>
      <w:r w:rsidR="000C74CC" w:rsidRPr="002B5B10">
        <w:rPr>
          <w:b w:val="0"/>
          <w:color w:val="000000"/>
          <w:sz w:val="24"/>
        </w:rPr>
        <w:t xml:space="preserve"> </w:t>
      </w:r>
      <w:r w:rsidRPr="002B5B10">
        <w:rPr>
          <w:b w:val="0"/>
          <w:color w:val="000000"/>
          <w:sz w:val="24"/>
        </w:rPr>
        <w:t>and percent of individuals sampled</w:t>
      </w:r>
      <w:r w:rsidR="000C74CC">
        <w:rPr>
          <w:b w:val="0"/>
          <w:color w:val="000000"/>
          <w:sz w:val="24"/>
        </w:rPr>
        <w:t xml:space="preserve"> that were </w:t>
      </w:r>
      <w:r w:rsidR="000C74CC" w:rsidRPr="002B5B10">
        <w:rPr>
          <w:b w:val="0"/>
          <w:color w:val="000000"/>
          <w:sz w:val="24"/>
        </w:rPr>
        <w:t>fecund</w:t>
      </w:r>
      <w:r w:rsidRPr="002B5B10">
        <w:rPr>
          <w:b w:val="0"/>
          <w:sz w:val="24"/>
        </w:rPr>
        <w:t xml:space="preserve">. Sample names relate to different sample groups of </w:t>
      </w:r>
      <w:r w:rsidRPr="002B5B10">
        <w:rPr>
          <w:b w:val="0"/>
          <w:i/>
          <w:sz w:val="24"/>
        </w:rPr>
        <w:t>Mysis</w:t>
      </w:r>
      <w:r w:rsidRPr="002B5B10">
        <w:rPr>
          <w:b w:val="0"/>
          <w:sz w:val="24"/>
        </w:rPr>
        <w:t xml:space="preserve"> or collected source material.</w:t>
      </w:r>
      <w:bookmarkEnd w:id="5"/>
      <w:r w:rsidRPr="002B5B10">
        <w:rPr>
          <w:b w:val="0"/>
          <w:sz w:val="24"/>
        </w:rPr>
        <w:t xml:space="preserve"> </w:t>
      </w:r>
    </w:p>
    <w:tbl>
      <w:tblPr>
        <w:tblW w:w="9300" w:type="dxa"/>
        <w:tblInd w:w="93" w:type="dxa"/>
        <w:tblLook w:val="04A0" w:firstRow="1" w:lastRow="0" w:firstColumn="1" w:lastColumn="0" w:noHBand="0" w:noVBand="1"/>
      </w:tblPr>
      <w:tblGrid>
        <w:gridCol w:w="1660"/>
        <w:gridCol w:w="820"/>
        <w:gridCol w:w="1340"/>
        <w:gridCol w:w="1020"/>
        <w:gridCol w:w="1480"/>
        <w:gridCol w:w="1580"/>
        <w:gridCol w:w="1400"/>
      </w:tblGrid>
      <w:tr w:rsidR="00401BCF" w:rsidRPr="006A39D5" w:rsidTr="006C0EA1">
        <w:trPr>
          <w:trHeight w:val="375"/>
        </w:trPr>
        <w:tc>
          <w:tcPr>
            <w:tcW w:w="1660" w:type="dxa"/>
            <w:tcBorders>
              <w:top w:val="single" w:sz="12" w:space="0" w:color="auto"/>
              <w:left w:val="nil"/>
              <w:bottom w:val="single" w:sz="4" w:space="0" w:color="auto"/>
              <w:right w:val="nil"/>
            </w:tcBorders>
            <w:shd w:val="clear" w:color="auto" w:fill="auto"/>
            <w:noWrap/>
            <w:vAlign w:val="bottom"/>
            <w:hideMark/>
          </w:tcPr>
          <w:p w:rsidR="00401BCF" w:rsidRPr="00B81825" w:rsidRDefault="00401BCF" w:rsidP="000E02F1">
            <w:pPr>
              <w:spacing w:line="480" w:lineRule="auto"/>
              <w:jc w:val="center"/>
              <w:rPr>
                <w:color w:val="000000"/>
              </w:rPr>
            </w:pPr>
            <w:r w:rsidRPr="00B81825">
              <w:rPr>
                <w:color w:val="000000"/>
              </w:rPr>
              <w:t>Sample</w:t>
            </w:r>
          </w:p>
        </w:tc>
        <w:tc>
          <w:tcPr>
            <w:tcW w:w="820" w:type="dxa"/>
            <w:tcBorders>
              <w:top w:val="single" w:sz="12" w:space="0" w:color="auto"/>
              <w:left w:val="nil"/>
              <w:bottom w:val="single" w:sz="4" w:space="0" w:color="auto"/>
              <w:right w:val="nil"/>
            </w:tcBorders>
            <w:shd w:val="clear" w:color="auto" w:fill="auto"/>
            <w:noWrap/>
            <w:vAlign w:val="bottom"/>
            <w:hideMark/>
          </w:tcPr>
          <w:p w:rsidR="00401BCF" w:rsidRPr="00B81825" w:rsidRDefault="00401BCF" w:rsidP="000E02F1">
            <w:pPr>
              <w:spacing w:line="480" w:lineRule="auto"/>
              <w:jc w:val="center"/>
              <w:rPr>
                <w:color w:val="000000"/>
              </w:rPr>
            </w:pPr>
            <w:r w:rsidRPr="00B81825">
              <w:rPr>
                <w:color w:val="000000"/>
              </w:rPr>
              <w:t>n</w:t>
            </w:r>
          </w:p>
        </w:tc>
        <w:tc>
          <w:tcPr>
            <w:tcW w:w="1340" w:type="dxa"/>
            <w:tcBorders>
              <w:top w:val="single" w:sz="12" w:space="0" w:color="auto"/>
              <w:left w:val="nil"/>
              <w:bottom w:val="single" w:sz="4" w:space="0" w:color="auto"/>
              <w:right w:val="nil"/>
            </w:tcBorders>
            <w:shd w:val="clear" w:color="auto" w:fill="auto"/>
            <w:noWrap/>
            <w:vAlign w:val="bottom"/>
            <w:hideMark/>
          </w:tcPr>
          <w:p w:rsidR="00401BCF" w:rsidRPr="00B81825" w:rsidRDefault="00401BCF" w:rsidP="000E02F1">
            <w:pPr>
              <w:spacing w:line="480" w:lineRule="auto"/>
              <w:jc w:val="center"/>
              <w:rPr>
                <w:color w:val="000000"/>
              </w:rPr>
            </w:pPr>
            <w:r w:rsidRPr="00B81825">
              <w:rPr>
                <w:color w:val="000000"/>
              </w:rPr>
              <w:t>Length (mm)</w:t>
            </w:r>
          </w:p>
        </w:tc>
        <w:tc>
          <w:tcPr>
            <w:tcW w:w="1020" w:type="dxa"/>
            <w:tcBorders>
              <w:top w:val="single" w:sz="12" w:space="0" w:color="auto"/>
              <w:left w:val="nil"/>
              <w:bottom w:val="single" w:sz="4" w:space="0" w:color="auto"/>
              <w:right w:val="nil"/>
            </w:tcBorders>
            <w:shd w:val="clear" w:color="auto" w:fill="auto"/>
            <w:noWrap/>
            <w:vAlign w:val="bottom"/>
            <w:hideMark/>
          </w:tcPr>
          <w:p w:rsidR="00401BCF" w:rsidRPr="00B81825" w:rsidRDefault="00401BCF" w:rsidP="000E02F1">
            <w:pPr>
              <w:spacing w:line="480" w:lineRule="auto"/>
              <w:jc w:val="center"/>
              <w:rPr>
                <w:color w:val="000000"/>
              </w:rPr>
            </w:pPr>
            <w:r w:rsidRPr="00B81825">
              <w:rPr>
                <w:color w:val="000000"/>
              </w:rPr>
              <w:t>% Fecund</w:t>
            </w:r>
          </w:p>
        </w:tc>
        <w:tc>
          <w:tcPr>
            <w:tcW w:w="1480" w:type="dxa"/>
            <w:tcBorders>
              <w:top w:val="single" w:sz="12" w:space="0" w:color="auto"/>
              <w:left w:val="nil"/>
              <w:bottom w:val="single" w:sz="4" w:space="0" w:color="auto"/>
              <w:right w:val="nil"/>
            </w:tcBorders>
            <w:shd w:val="clear" w:color="auto" w:fill="auto"/>
            <w:noWrap/>
            <w:vAlign w:val="bottom"/>
            <w:hideMark/>
          </w:tcPr>
          <w:p w:rsidR="00401BCF" w:rsidRPr="00B81825" w:rsidRDefault="00401BCF" w:rsidP="000E02F1">
            <w:pPr>
              <w:spacing w:line="480" w:lineRule="auto"/>
              <w:jc w:val="center"/>
              <w:rPr>
                <w:color w:val="000000"/>
              </w:rPr>
            </w:pPr>
            <w:r w:rsidRPr="00B81825">
              <w:rPr>
                <w:color w:val="000000"/>
              </w:rPr>
              <w:t>δ</w:t>
            </w:r>
            <w:r w:rsidRPr="00B81825">
              <w:rPr>
                <w:color w:val="000000"/>
                <w:vertAlign w:val="superscript"/>
              </w:rPr>
              <w:t>15</w:t>
            </w:r>
            <w:r w:rsidRPr="00B81825">
              <w:rPr>
                <w:color w:val="000000"/>
              </w:rPr>
              <w:t>N</w:t>
            </w:r>
          </w:p>
        </w:tc>
        <w:tc>
          <w:tcPr>
            <w:tcW w:w="1580" w:type="dxa"/>
            <w:tcBorders>
              <w:top w:val="single" w:sz="12" w:space="0" w:color="auto"/>
              <w:left w:val="nil"/>
              <w:bottom w:val="single" w:sz="4" w:space="0" w:color="auto"/>
              <w:right w:val="nil"/>
            </w:tcBorders>
            <w:shd w:val="clear" w:color="auto" w:fill="auto"/>
            <w:noWrap/>
            <w:vAlign w:val="bottom"/>
            <w:hideMark/>
          </w:tcPr>
          <w:p w:rsidR="00401BCF" w:rsidRPr="00B81825" w:rsidRDefault="00401BCF" w:rsidP="000E02F1">
            <w:pPr>
              <w:spacing w:line="480" w:lineRule="auto"/>
              <w:jc w:val="center"/>
              <w:rPr>
                <w:color w:val="000000"/>
              </w:rPr>
            </w:pPr>
            <w:r w:rsidRPr="00B81825">
              <w:rPr>
                <w:color w:val="000000"/>
              </w:rPr>
              <w:t>δ</w:t>
            </w:r>
            <w:r w:rsidRPr="00B81825">
              <w:rPr>
                <w:color w:val="000000"/>
                <w:vertAlign w:val="superscript"/>
              </w:rPr>
              <w:t>13</w:t>
            </w:r>
            <w:r w:rsidRPr="00B81825">
              <w:rPr>
                <w:color w:val="000000"/>
              </w:rPr>
              <w:t>C</w:t>
            </w:r>
          </w:p>
        </w:tc>
        <w:tc>
          <w:tcPr>
            <w:tcW w:w="1400" w:type="dxa"/>
            <w:tcBorders>
              <w:top w:val="single" w:sz="12" w:space="0" w:color="auto"/>
              <w:left w:val="nil"/>
              <w:bottom w:val="single" w:sz="4" w:space="0" w:color="auto"/>
              <w:right w:val="nil"/>
            </w:tcBorders>
            <w:shd w:val="clear" w:color="auto" w:fill="auto"/>
            <w:noWrap/>
            <w:vAlign w:val="bottom"/>
            <w:hideMark/>
          </w:tcPr>
          <w:p w:rsidR="00401BCF" w:rsidRPr="00B81825" w:rsidRDefault="00401BCF" w:rsidP="000E02F1">
            <w:pPr>
              <w:spacing w:line="480" w:lineRule="auto"/>
              <w:jc w:val="center"/>
              <w:rPr>
                <w:color w:val="000000"/>
              </w:rPr>
            </w:pPr>
            <w:r w:rsidRPr="00B81825">
              <w:rPr>
                <w:color w:val="000000"/>
              </w:rPr>
              <w:t>C:N</w:t>
            </w:r>
          </w:p>
        </w:tc>
      </w:tr>
      <w:tr w:rsidR="00401BCF" w:rsidRPr="006A39D5" w:rsidTr="006C0EA1">
        <w:trPr>
          <w:trHeight w:val="375"/>
        </w:trPr>
        <w:tc>
          <w:tcPr>
            <w:tcW w:w="1660" w:type="dxa"/>
            <w:tcBorders>
              <w:top w:val="nil"/>
              <w:left w:val="nil"/>
              <w:bottom w:val="nil"/>
              <w:right w:val="nil"/>
            </w:tcBorders>
            <w:shd w:val="clear" w:color="auto" w:fill="auto"/>
            <w:noWrap/>
            <w:vAlign w:val="bottom"/>
            <w:hideMark/>
          </w:tcPr>
          <w:p w:rsidR="00401BCF" w:rsidRPr="00B81825" w:rsidRDefault="00401BCF" w:rsidP="009B3973">
            <w:pPr>
              <w:spacing w:line="480" w:lineRule="auto"/>
              <w:rPr>
                <w:color w:val="000000"/>
              </w:rPr>
            </w:pPr>
            <w:r w:rsidRPr="00B81825">
              <w:rPr>
                <w:color w:val="000000"/>
              </w:rPr>
              <w:t xml:space="preserve">Pre-exp. </w:t>
            </w:r>
            <w:r w:rsidRPr="00B81825">
              <w:rPr>
                <w:i/>
                <w:color w:val="000000"/>
              </w:rPr>
              <w:t>Mysis</w:t>
            </w:r>
          </w:p>
        </w:tc>
        <w:tc>
          <w:tcPr>
            <w:tcW w:w="820" w:type="dxa"/>
            <w:tcBorders>
              <w:top w:val="nil"/>
              <w:left w:val="nil"/>
              <w:bottom w:val="nil"/>
              <w:right w:val="nil"/>
            </w:tcBorders>
            <w:shd w:val="clear" w:color="auto" w:fill="auto"/>
            <w:noWrap/>
            <w:vAlign w:val="bottom"/>
            <w:hideMark/>
          </w:tcPr>
          <w:p w:rsidR="00401BCF" w:rsidRPr="00B81825" w:rsidRDefault="00401BCF" w:rsidP="009B3973">
            <w:pPr>
              <w:spacing w:line="480" w:lineRule="auto"/>
              <w:jc w:val="center"/>
              <w:rPr>
                <w:color w:val="000000"/>
              </w:rPr>
            </w:pPr>
            <w:r w:rsidRPr="00B81825">
              <w:rPr>
                <w:color w:val="000000"/>
              </w:rPr>
              <w:t>10</w:t>
            </w:r>
          </w:p>
        </w:tc>
        <w:tc>
          <w:tcPr>
            <w:tcW w:w="1340" w:type="dxa"/>
            <w:tcBorders>
              <w:top w:val="nil"/>
              <w:left w:val="nil"/>
              <w:bottom w:val="nil"/>
              <w:right w:val="nil"/>
            </w:tcBorders>
            <w:shd w:val="clear" w:color="auto" w:fill="auto"/>
            <w:noWrap/>
            <w:vAlign w:val="bottom"/>
            <w:hideMark/>
          </w:tcPr>
          <w:p w:rsidR="00401BCF" w:rsidRPr="00B81825" w:rsidRDefault="00401BCF" w:rsidP="009B3973">
            <w:pPr>
              <w:spacing w:line="480" w:lineRule="auto"/>
              <w:jc w:val="right"/>
              <w:rPr>
                <w:color w:val="000000"/>
              </w:rPr>
            </w:pPr>
            <w:r w:rsidRPr="00B81825">
              <w:rPr>
                <w:color w:val="000000"/>
              </w:rPr>
              <w:t>16.3</w:t>
            </w:r>
            <w:r w:rsidR="00503DF7">
              <w:rPr>
                <w:color w:val="000000"/>
              </w:rPr>
              <w:t xml:space="preserve"> </w:t>
            </w:r>
            <w:r w:rsidRPr="00B81825">
              <w:rPr>
                <w:color w:val="000000"/>
              </w:rPr>
              <w:t>±</w:t>
            </w:r>
            <w:r w:rsidR="00503DF7">
              <w:rPr>
                <w:color w:val="000000"/>
              </w:rPr>
              <w:t xml:space="preserve"> </w:t>
            </w:r>
            <w:r w:rsidRPr="00B81825">
              <w:rPr>
                <w:color w:val="000000"/>
              </w:rPr>
              <w:t>2.21</w:t>
            </w:r>
          </w:p>
        </w:tc>
        <w:tc>
          <w:tcPr>
            <w:tcW w:w="1020" w:type="dxa"/>
            <w:tcBorders>
              <w:top w:val="nil"/>
              <w:left w:val="nil"/>
              <w:bottom w:val="nil"/>
              <w:right w:val="nil"/>
            </w:tcBorders>
            <w:shd w:val="clear" w:color="auto" w:fill="auto"/>
            <w:noWrap/>
            <w:vAlign w:val="bottom"/>
            <w:hideMark/>
          </w:tcPr>
          <w:p w:rsidR="00401BCF" w:rsidRPr="00B81825" w:rsidRDefault="00401BCF" w:rsidP="009B3973">
            <w:pPr>
              <w:spacing w:line="480" w:lineRule="auto"/>
              <w:jc w:val="right"/>
              <w:rPr>
                <w:color w:val="000000"/>
              </w:rPr>
            </w:pPr>
            <w:r w:rsidRPr="00B81825">
              <w:rPr>
                <w:color w:val="000000"/>
              </w:rPr>
              <w:t>0.50</w:t>
            </w:r>
          </w:p>
        </w:tc>
        <w:tc>
          <w:tcPr>
            <w:tcW w:w="1480" w:type="dxa"/>
            <w:tcBorders>
              <w:top w:val="nil"/>
              <w:left w:val="nil"/>
              <w:bottom w:val="nil"/>
              <w:right w:val="nil"/>
            </w:tcBorders>
            <w:shd w:val="clear" w:color="auto" w:fill="auto"/>
            <w:noWrap/>
            <w:vAlign w:val="bottom"/>
            <w:hideMark/>
          </w:tcPr>
          <w:p w:rsidR="00401BCF" w:rsidRPr="00B81825" w:rsidRDefault="00401BCF" w:rsidP="009B3973">
            <w:pPr>
              <w:spacing w:line="480" w:lineRule="auto"/>
              <w:jc w:val="right"/>
              <w:rPr>
                <w:color w:val="000000"/>
              </w:rPr>
            </w:pPr>
            <w:r w:rsidRPr="00B81825">
              <w:rPr>
                <w:color w:val="000000"/>
              </w:rPr>
              <w:t>13.2±0.47</w:t>
            </w:r>
          </w:p>
        </w:tc>
        <w:tc>
          <w:tcPr>
            <w:tcW w:w="1580" w:type="dxa"/>
            <w:tcBorders>
              <w:top w:val="nil"/>
              <w:left w:val="nil"/>
              <w:bottom w:val="nil"/>
              <w:right w:val="nil"/>
            </w:tcBorders>
            <w:shd w:val="clear" w:color="auto" w:fill="auto"/>
            <w:noWrap/>
            <w:vAlign w:val="bottom"/>
            <w:hideMark/>
          </w:tcPr>
          <w:p w:rsidR="00401BCF" w:rsidRPr="00B81825" w:rsidRDefault="00401BCF" w:rsidP="009B3973">
            <w:pPr>
              <w:spacing w:line="480" w:lineRule="auto"/>
              <w:jc w:val="right"/>
              <w:rPr>
                <w:color w:val="000000"/>
              </w:rPr>
            </w:pPr>
            <w:r w:rsidRPr="00B81825">
              <w:rPr>
                <w:color w:val="000000"/>
              </w:rPr>
              <w:t>-28.</w:t>
            </w:r>
            <w:r w:rsidR="009B3973">
              <w:rPr>
                <w:color w:val="000000"/>
              </w:rPr>
              <w:t>9</w:t>
            </w:r>
            <w:r w:rsidRPr="00B81825">
              <w:rPr>
                <w:color w:val="000000"/>
              </w:rPr>
              <w:t>±1.43</w:t>
            </w:r>
          </w:p>
        </w:tc>
        <w:tc>
          <w:tcPr>
            <w:tcW w:w="1400" w:type="dxa"/>
            <w:tcBorders>
              <w:top w:val="nil"/>
              <w:left w:val="nil"/>
              <w:bottom w:val="nil"/>
              <w:right w:val="nil"/>
            </w:tcBorders>
            <w:shd w:val="clear" w:color="auto" w:fill="auto"/>
            <w:noWrap/>
            <w:vAlign w:val="bottom"/>
            <w:hideMark/>
          </w:tcPr>
          <w:p w:rsidR="00401BCF" w:rsidRPr="00B81825" w:rsidRDefault="00401BCF" w:rsidP="009B3973">
            <w:pPr>
              <w:spacing w:line="480" w:lineRule="auto"/>
              <w:jc w:val="right"/>
              <w:rPr>
                <w:color w:val="000000"/>
              </w:rPr>
            </w:pPr>
            <w:r w:rsidRPr="00B81825">
              <w:rPr>
                <w:color w:val="000000"/>
              </w:rPr>
              <w:t>4.</w:t>
            </w:r>
            <w:r w:rsidR="009B3973">
              <w:rPr>
                <w:color w:val="000000"/>
              </w:rPr>
              <w:t>5</w:t>
            </w:r>
            <w:r w:rsidRPr="00B81825">
              <w:rPr>
                <w:color w:val="000000"/>
              </w:rPr>
              <w:t>±0.55</w:t>
            </w:r>
          </w:p>
        </w:tc>
      </w:tr>
      <w:tr w:rsidR="009B3973" w:rsidRPr="006A39D5" w:rsidTr="006C0EA1">
        <w:trPr>
          <w:trHeight w:val="315"/>
        </w:trPr>
        <w:tc>
          <w:tcPr>
            <w:tcW w:w="1660" w:type="dxa"/>
            <w:tcBorders>
              <w:top w:val="nil"/>
              <w:left w:val="nil"/>
              <w:bottom w:val="nil"/>
              <w:right w:val="nil"/>
            </w:tcBorders>
            <w:shd w:val="clear" w:color="auto" w:fill="auto"/>
            <w:noWrap/>
            <w:vAlign w:val="bottom"/>
          </w:tcPr>
          <w:p w:rsidR="009B3973" w:rsidRPr="00B81825" w:rsidRDefault="009B3973" w:rsidP="006C0EA1">
            <w:pPr>
              <w:spacing w:line="480" w:lineRule="auto"/>
              <w:rPr>
                <w:color w:val="000000"/>
              </w:rPr>
            </w:pPr>
            <w:r w:rsidRPr="00B81825">
              <w:rPr>
                <w:color w:val="000000"/>
              </w:rPr>
              <w:t xml:space="preserve">Starved </w:t>
            </w:r>
            <w:r w:rsidRPr="00B81825">
              <w:rPr>
                <w:i/>
                <w:color w:val="000000"/>
              </w:rPr>
              <w:t>Mysis</w:t>
            </w:r>
          </w:p>
        </w:tc>
        <w:tc>
          <w:tcPr>
            <w:tcW w:w="820" w:type="dxa"/>
            <w:tcBorders>
              <w:top w:val="nil"/>
              <w:left w:val="nil"/>
              <w:bottom w:val="nil"/>
              <w:right w:val="nil"/>
            </w:tcBorders>
            <w:shd w:val="clear" w:color="auto" w:fill="auto"/>
            <w:noWrap/>
            <w:vAlign w:val="bottom"/>
          </w:tcPr>
          <w:p w:rsidR="009B3973" w:rsidRPr="00B81825" w:rsidRDefault="009B3973" w:rsidP="006C0EA1">
            <w:pPr>
              <w:spacing w:line="480" w:lineRule="auto"/>
              <w:jc w:val="center"/>
              <w:rPr>
                <w:color w:val="000000"/>
              </w:rPr>
            </w:pPr>
            <w:r w:rsidRPr="00B81825">
              <w:rPr>
                <w:color w:val="000000"/>
              </w:rPr>
              <w:t>23</w:t>
            </w:r>
          </w:p>
        </w:tc>
        <w:tc>
          <w:tcPr>
            <w:tcW w:w="1340" w:type="dxa"/>
            <w:tcBorders>
              <w:top w:val="nil"/>
              <w:left w:val="nil"/>
              <w:bottom w:val="nil"/>
              <w:right w:val="nil"/>
            </w:tcBorders>
            <w:shd w:val="clear" w:color="auto" w:fill="auto"/>
            <w:noWrap/>
            <w:vAlign w:val="bottom"/>
          </w:tcPr>
          <w:p w:rsidR="009B3973" w:rsidRPr="00B81825" w:rsidRDefault="009B3973" w:rsidP="006C0EA1">
            <w:pPr>
              <w:spacing w:line="480" w:lineRule="auto"/>
              <w:jc w:val="right"/>
              <w:rPr>
                <w:color w:val="000000"/>
              </w:rPr>
            </w:pPr>
            <w:r w:rsidRPr="00B81825">
              <w:rPr>
                <w:color w:val="000000"/>
              </w:rPr>
              <w:t>14.</w:t>
            </w:r>
            <w:r>
              <w:rPr>
                <w:color w:val="000000"/>
              </w:rPr>
              <w:t xml:space="preserve">6 </w:t>
            </w:r>
            <w:r w:rsidRPr="00B81825">
              <w:rPr>
                <w:color w:val="000000"/>
              </w:rPr>
              <w:t>±</w:t>
            </w:r>
            <w:r>
              <w:rPr>
                <w:color w:val="000000"/>
              </w:rPr>
              <w:t xml:space="preserve"> </w:t>
            </w:r>
            <w:r w:rsidRPr="00B81825">
              <w:rPr>
                <w:color w:val="000000"/>
              </w:rPr>
              <w:t>2.50</w:t>
            </w:r>
          </w:p>
        </w:tc>
        <w:tc>
          <w:tcPr>
            <w:tcW w:w="1020" w:type="dxa"/>
            <w:tcBorders>
              <w:top w:val="nil"/>
              <w:left w:val="nil"/>
              <w:bottom w:val="nil"/>
              <w:right w:val="nil"/>
            </w:tcBorders>
            <w:shd w:val="clear" w:color="auto" w:fill="auto"/>
            <w:noWrap/>
            <w:vAlign w:val="bottom"/>
          </w:tcPr>
          <w:p w:rsidR="009B3973" w:rsidRPr="00B81825" w:rsidRDefault="009B3973" w:rsidP="006C0EA1">
            <w:pPr>
              <w:spacing w:line="480" w:lineRule="auto"/>
              <w:jc w:val="right"/>
              <w:rPr>
                <w:color w:val="000000"/>
              </w:rPr>
            </w:pPr>
            <w:r w:rsidRPr="00B81825">
              <w:rPr>
                <w:color w:val="000000"/>
              </w:rPr>
              <w:t>0.39</w:t>
            </w:r>
          </w:p>
        </w:tc>
        <w:tc>
          <w:tcPr>
            <w:tcW w:w="1480" w:type="dxa"/>
            <w:tcBorders>
              <w:top w:val="nil"/>
              <w:left w:val="nil"/>
              <w:bottom w:val="nil"/>
              <w:right w:val="nil"/>
            </w:tcBorders>
            <w:shd w:val="clear" w:color="auto" w:fill="auto"/>
            <w:noWrap/>
            <w:vAlign w:val="bottom"/>
          </w:tcPr>
          <w:p w:rsidR="009B3973" w:rsidRPr="00B81825" w:rsidRDefault="009B3973" w:rsidP="006C0EA1">
            <w:pPr>
              <w:spacing w:line="480" w:lineRule="auto"/>
              <w:jc w:val="right"/>
              <w:rPr>
                <w:color w:val="000000"/>
              </w:rPr>
            </w:pPr>
            <w:r w:rsidRPr="00B81825">
              <w:rPr>
                <w:color w:val="000000"/>
              </w:rPr>
              <w:t>13.7±0.72</w:t>
            </w:r>
          </w:p>
        </w:tc>
        <w:tc>
          <w:tcPr>
            <w:tcW w:w="1580" w:type="dxa"/>
            <w:tcBorders>
              <w:top w:val="nil"/>
              <w:left w:val="nil"/>
              <w:bottom w:val="nil"/>
              <w:right w:val="nil"/>
            </w:tcBorders>
            <w:shd w:val="clear" w:color="auto" w:fill="auto"/>
            <w:noWrap/>
            <w:vAlign w:val="bottom"/>
          </w:tcPr>
          <w:p w:rsidR="009B3973" w:rsidRPr="00B81825" w:rsidRDefault="009B3973" w:rsidP="006C0EA1">
            <w:pPr>
              <w:spacing w:line="480" w:lineRule="auto"/>
              <w:jc w:val="right"/>
              <w:rPr>
                <w:color w:val="000000"/>
              </w:rPr>
            </w:pPr>
            <w:r w:rsidRPr="00B81825">
              <w:rPr>
                <w:color w:val="000000"/>
              </w:rPr>
              <w:t>-27.</w:t>
            </w:r>
            <w:r>
              <w:rPr>
                <w:color w:val="000000"/>
              </w:rPr>
              <w:t>4</w:t>
            </w:r>
            <w:r w:rsidRPr="00B81825">
              <w:rPr>
                <w:color w:val="000000"/>
              </w:rPr>
              <w:t>±1.15</w:t>
            </w:r>
          </w:p>
        </w:tc>
        <w:tc>
          <w:tcPr>
            <w:tcW w:w="1400" w:type="dxa"/>
            <w:tcBorders>
              <w:top w:val="nil"/>
              <w:left w:val="nil"/>
              <w:bottom w:val="nil"/>
              <w:right w:val="nil"/>
            </w:tcBorders>
            <w:shd w:val="clear" w:color="auto" w:fill="auto"/>
            <w:noWrap/>
            <w:vAlign w:val="bottom"/>
          </w:tcPr>
          <w:p w:rsidR="009B3973" w:rsidRPr="00B81825" w:rsidRDefault="009B3973" w:rsidP="006C0EA1">
            <w:pPr>
              <w:spacing w:line="480" w:lineRule="auto"/>
              <w:jc w:val="right"/>
              <w:rPr>
                <w:color w:val="000000"/>
              </w:rPr>
            </w:pPr>
            <w:r w:rsidRPr="00B81825">
              <w:rPr>
                <w:color w:val="000000"/>
              </w:rPr>
              <w:t>4.</w:t>
            </w:r>
            <w:r>
              <w:rPr>
                <w:color w:val="000000"/>
              </w:rPr>
              <w:t>3</w:t>
            </w:r>
            <w:r w:rsidRPr="00B81825">
              <w:rPr>
                <w:color w:val="000000"/>
              </w:rPr>
              <w:t>±0.35</w:t>
            </w:r>
          </w:p>
        </w:tc>
      </w:tr>
      <w:tr w:rsidR="009B3973" w:rsidRPr="006A39D5" w:rsidTr="006C0EA1">
        <w:trPr>
          <w:trHeight w:val="315"/>
        </w:trPr>
        <w:tc>
          <w:tcPr>
            <w:tcW w:w="166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rPr>
                <w:color w:val="000000"/>
              </w:rPr>
            </w:pPr>
            <w:r w:rsidRPr="00B81825">
              <w:rPr>
                <w:color w:val="000000"/>
              </w:rPr>
              <w:t xml:space="preserve">Algae </w:t>
            </w:r>
            <w:r w:rsidRPr="00B81825">
              <w:rPr>
                <w:i/>
                <w:color w:val="000000"/>
              </w:rPr>
              <w:t>Mysis</w:t>
            </w:r>
          </w:p>
        </w:tc>
        <w:tc>
          <w:tcPr>
            <w:tcW w:w="82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jc w:val="center"/>
              <w:rPr>
                <w:color w:val="000000"/>
              </w:rPr>
            </w:pPr>
            <w:r w:rsidRPr="00B81825">
              <w:rPr>
                <w:color w:val="000000"/>
              </w:rPr>
              <w:t>25</w:t>
            </w:r>
          </w:p>
        </w:tc>
        <w:tc>
          <w:tcPr>
            <w:tcW w:w="134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jc w:val="right"/>
              <w:rPr>
                <w:color w:val="000000"/>
              </w:rPr>
            </w:pPr>
            <w:r w:rsidRPr="00B81825">
              <w:rPr>
                <w:color w:val="000000"/>
              </w:rPr>
              <w:t>15.2</w:t>
            </w:r>
            <w:r>
              <w:rPr>
                <w:color w:val="000000"/>
              </w:rPr>
              <w:t xml:space="preserve"> </w:t>
            </w:r>
            <w:r w:rsidRPr="00B81825">
              <w:rPr>
                <w:color w:val="000000"/>
              </w:rPr>
              <w:t>±</w:t>
            </w:r>
            <w:r>
              <w:rPr>
                <w:color w:val="000000"/>
              </w:rPr>
              <w:t xml:space="preserve"> </w:t>
            </w:r>
            <w:r w:rsidRPr="00B81825">
              <w:rPr>
                <w:color w:val="000000"/>
              </w:rPr>
              <w:t>2.81</w:t>
            </w:r>
          </w:p>
        </w:tc>
        <w:tc>
          <w:tcPr>
            <w:tcW w:w="102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jc w:val="right"/>
              <w:rPr>
                <w:color w:val="000000"/>
              </w:rPr>
            </w:pPr>
            <w:r w:rsidRPr="00B81825">
              <w:rPr>
                <w:color w:val="000000"/>
              </w:rPr>
              <w:t>0.52</w:t>
            </w:r>
          </w:p>
        </w:tc>
        <w:tc>
          <w:tcPr>
            <w:tcW w:w="148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jc w:val="right"/>
              <w:rPr>
                <w:color w:val="000000"/>
              </w:rPr>
            </w:pPr>
            <w:r w:rsidRPr="00B81825">
              <w:rPr>
                <w:color w:val="000000"/>
              </w:rPr>
              <w:t>13.</w:t>
            </w:r>
            <w:r>
              <w:rPr>
                <w:color w:val="000000"/>
              </w:rPr>
              <w:t>5</w:t>
            </w:r>
            <w:r w:rsidRPr="00B81825">
              <w:rPr>
                <w:color w:val="000000"/>
              </w:rPr>
              <w:t>±0.61</w:t>
            </w:r>
          </w:p>
        </w:tc>
        <w:tc>
          <w:tcPr>
            <w:tcW w:w="158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jc w:val="right"/>
              <w:rPr>
                <w:color w:val="000000"/>
              </w:rPr>
            </w:pPr>
            <w:r w:rsidRPr="00B81825">
              <w:rPr>
                <w:color w:val="000000"/>
              </w:rPr>
              <w:t>-27.5±1.36</w:t>
            </w:r>
          </w:p>
        </w:tc>
        <w:tc>
          <w:tcPr>
            <w:tcW w:w="140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jc w:val="right"/>
              <w:rPr>
                <w:color w:val="000000"/>
              </w:rPr>
            </w:pPr>
            <w:r w:rsidRPr="00B81825">
              <w:rPr>
                <w:color w:val="000000"/>
              </w:rPr>
              <w:t>4.</w:t>
            </w:r>
            <w:r>
              <w:rPr>
                <w:color w:val="000000"/>
              </w:rPr>
              <w:t>5</w:t>
            </w:r>
            <w:r w:rsidRPr="00B81825">
              <w:rPr>
                <w:color w:val="000000"/>
              </w:rPr>
              <w:t>±0.39</w:t>
            </w:r>
          </w:p>
        </w:tc>
      </w:tr>
      <w:tr w:rsidR="009B3973" w:rsidRPr="006A39D5" w:rsidTr="006C0EA1">
        <w:trPr>
          <w:trHeight w:val="315"/>
        </w:trPr>
        <w:tc>
          <w:tcPr>
            <w:tcW w:w="166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rPr>
                <w:color w:val="000000"/>
              </w:rPr>
            </w:pPr>
            <w:proofErr w:type="spellStart"/>
            <w:r w:rsidRPr="00B81825">
              <w:rPr>
                <w:i/>
                <w:color w:val="000000"/>
              </w:rPr>
              <w:t>Artemia</w:t>
            </w:r>
            <w:proofErr w:type="spellEnd"/>
            <w:r w:rsidRPr="00B81825">
              <w:rPr>
                <w:color w:val="000000"/>
              </w:rPr>
              <w:t xml:space="preserve"> </w:t>
            </w:r>
            <w:r w:rsidRPr="00B81825">
              <w:rPr>
                <w:i/>
                <w:color w:val="000000"/>
              </w:rPr>
              <w:t>Mysis</w:t>
            </w:r>
          </w:p>
        </w:tc>
        <w:tc>
          <w:tcPr>
            <w:tcW w:w="82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jc w:val="center"/>
              <w:rPr>
                <w:color w:val="000000"/>
              </w:rPr>
            </w:pPr>
            <w:r w:rsidRPr="00B81825">
              <w:rPr>
                <w:color w:val="000000"/>
              </w:rPr>
              <w:t>21</w:t>
            </w:r>
          </w:p>
        </w:tc>
        <w:tc>
          <w:tcPr>
            <w:tcW w:w="134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jc w:val="right"/>
              <w:rPr>
                <w:color w:val="000000"/>
              </w:rPr>
            </w:pPr>
            <w:r w:rsidRPr="00B81825">
              <w:rPr>
                <w:color w:val="000000"/>
              </w:rPr>
              <w:t>15.2</w:t>
            </w:r>
            <w:r>
              <w:rPr>
                <w:color w:val="000000"/>
              </w:rPr>
              <w:t xml:space="preserve"> </w:t>
            </w:r>
            <w:r w:rsidRPr="00B81825">
              <w:rPr>
                <w:color w:val="000000"/>
              </w:rPr>
              <w:t>±</w:t>
            </w:r>
            <w:r>
              <w:rPr>
                <w:color w:val="000000"/>
              </w:rPr>
              <w:t xml:space="preserve"> </w:t>
            </w:r>
            <w:r w:rsidRPr="00B81825">
              <w:rPr>
                <w:color w:val="000000"/>
              </w:rPr>
              <w:t>2.86</w:t>
            </w:r>
          </w:p>
        </w:tc>
        <w:tc>
          <w:tcPr>
            <w:tcW w:w="102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jc w:val="right"/>
              <w:rPr>
                <w:color w:val="000000"/>
              </w:rPr>
            </w:pPr>
            <w:r w:rsidRPr="00B81825">
              <w:rPr>
                <w:color w:val="000000"/>
              </w:rPr>
              <w:t>0.52</w:t>
            </w:r>
          </w:p>
        </w:tc>
        <w:tc>
          <w:tcPr>
            <w:tcW w:w="148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jc w:val="right"/>
              <w:rPr>
                <w:color w:val="000000"/>
              </w:rPr>
            </w:pPr>
            <w:r w:rsidRPr="00B81825">
              <w:rPr>
                <w:color w:val="000000"/>
              </w:rPr>
              <w:t>13.</w:t>
            </w:r>
            <w:r>
              <w:rPr>
                <w:color w:val="000000"/>
              </w:rPr>
              <w:t>4</w:t>
            </w:r>
            <w:r w:rsidRPr="00B81825">
              <w:rPr>
                <w:color w:val="000000"/>
              </w:rPr>
              <w:t>±0.53</w:t>
            </w:r>
          </w:p>
        </w:tc>
        <w:tc>
          <w:tcPr>
            <w:tcW w:w="158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jc w:val="right"/>
              <w:rPr>
                <w:color w:val="000000"/>
              </w:rPr>
            </w:pPr>
            <w:r w:rsidRPr="00B81825">
              <w:rPr>
                <w:color w:val="000000"/>
              </w:rPr>
              <w:t>-27.3±1.21</w:t>
            </w:r>
          </w:p>
        </w:tc>
        <w:tc>
          <w:tcPr>
            <w:tcW w:w="140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jc w:val="right"/>
              <w:rPr>
                <w:color w:val="000000"/>
              </w:rPr>
            </w:pPr>
            <w:r w:rsidRPr="00B81825">
              <w:rPr>
                <w:color w:val="000000"/>
              </w:rPr>
              <w:t>4.3±0.33</w:t>
            </w:r>
          </w:p>
        </w:tc>
      </w:tr>
      <w:tr w:rsidR="009B3973" w:rsidRPr="006A39D5" w:rsidTr="006C0EA1">
        <w:trPr>
          <w:trHeight w:val="315"/>
        </w:trPr>
        <w:tc>
          <w:tcPr>
            <w:tcW w:w="166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rPr>
                <w:color w:val="000000"/>
              </w:rPr>
            </w:pPr>
            <w:r w:rsidRPr="00B81825">
              <w:rPr>
                <w:color w:val="000000"/>
              </w:rPr>
              <w:t>Green Algae</w:t>
            </w:r>
          </w:p>
        </w:tc>
        <w:tc>
          <w:tcPr>
            <w:tcW w:w="82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jc w:val="center"/>
              <w:rPr>
                <w:color w:val="000000"/>
              </w:rPr>
            </w:pPr>
            <w:r>
              <w:rPr>
                <w:color w:val="000000"/>
              </w:rPr>
              <w:t xml:space="preserve">  </w:t>
            </w:r>
            <w:r w:rsidRPr="00B81825">
              <w:rPr>
                <w:color w:val="000000"/>
              </w:rPr>
              <w:t>3</w:t>
            </w:r>
          </w:p>
        </w:tc>
        <w:tc>
          <w:tcPr>
            <w:tcW w:w="134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jc w:val="center"/>
              <w:rPr>
                <w:color w:val="000000"/>
              </w:rPr>
            </w:pPr>
            <w:r w:rsidRPr="00B81825">
              <w:rPr>
                <w:color w:val="000000"/>
              </w:rPr>
              <w:t>X</w:t>
            </w:r>
          </w:p>
        </w:tc>
        <w:tc>
          <w:tcPr>
            <w:tcW w:w="102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jc w:val="center"/>
              <w:rPr>
                <w:color w:val="000000"/>
              </w:rPr>
            </w:pPr>
            <w:r w:rsidRPr="00B81825">
              <w:rPr>
                <w:color w:val="000000"/>
              </w:rPr>
              <w:t>X</w:t>
            </w:r>
          </w:p>
        </w:tc>
        <w:tc>
          <w:tcPr>
            <w:tcW w:w="148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jc w:val="right"/>
              <w:rPr>
                <w:color w:val="000000"/>
              </w:rPr>
            </w:pPr>
            <w:r w:rsidRPr="00B81825">
              <w:rPr>
                <w:color w:val="000000"/>
              </w:rPr>
              <w:t>-8.</w:t>
            </w:r>
            <w:r>
              <w:rPr>
                <w:color w:val="000000"/>
              </w:rPr>
              <w:t>2</w:t>
            </w:r>
            <w:r w:rsidRPr="00B81825">
              <w:rPr>
                <w:color w:val="000000"/>
              </w:rPr>
              <w:t>±0.06</w:t>
            </w:r>
          </w:p>
        </w:tc>
        <w:tc>
          <w:tcPr>
            <w:tcW w:w="158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jc w:val="right"/>
              <w:rPr>
                <w:color w:val="000000"/>
              </w:rPr>
            </w:pPr>
            <w:r w:rsidRPr="00B81825">
              <w:rPr>
                <w:color w:val="000000"/>
              </w:rPr>
              <w:t>-21.5±0.06</w:t>
            </w:r>
          </w:p>
        </w:tc>
        <w:tc>
          <w:tcPr>
            <w:tcW w:w="1400" w:type="dxa"/>
            <w:tcBorders>
              <w:top w:val="nil"/>
              <w:left w:val="nil"/>
              <w:bottom w:val="nil"/>
              <w:right w:val="nil"/>
            </w:tcBorders>
            <w:shd w:val="clear" w:color="auto" w:fill="auto"/>
            <w:noWrap/>
            <w:vAlign w:val="bottom"/>
            <w:hideMark/>
          </w:tcPr>
          <w:p w:rsidR="009B3973" w:rsidRPr="00B81825" w:rsidRDefault="009B3973" w:rsidP="009B3973">
            <w:pPr>
              <w:spacing w:line="480" w:lineRule="auto"/>
              <w:jc w:val="right"/>
              <w:rPr>
                <w:color w:val="000000"/>
              </w:rPr>
            </w:pPr>
            <w:r w:rsidRPr="00B81825">
              <w:rPr>
                <w:color w:val="000000"/>
              </w:rPr>
              <w:t>21.2±0.21</w:t>
            </w:r>
          </w:p>
        </w:tc>
      </w:tr>
      <w:tr w:rsidR="009B3973" w:rsidRPr="006A39D5" w:rsidTr="006C0EA1">
        <w:trPr>
          <w:trHeight w:val="315"/>
        </w:trPr>
        <w:tc>
          <w:tcPr>
            <w:tcW w:w="1660" w:type="dxa"/>
            <w:tcBorders>
              <w:top w:val="nil"/>
              <w:left w:val="nil"/>
              <w:bottom w:val="single" w:sz="12" w:space="0" w:color="auto"/>
              <w:right w:val="nil"/>
            </w:tcBorders>
            <w:shd w:val="clear" w:color="auto" w:fill="auto"/>
            <w:noWrap/>
            <w:vAlign w:val="bottom"/>
            <w:hideMark/>
          </w:tcPr>
          <w:p w:rsidR="009B3973" w:rsidRPr="00B81825" w:rsidRDefault="009B3973" w:rsidP="009B3973">
            <w:pPr>
              <w:spacing w:line="480" w:lineRule="auto"/>
              <w:rPr>
                <w:i/>
                <w:color w:val="000000"/>
              </w:rPr>
            </w:pPr>
            <w:proofErr w:type="spellStart"/>
            <w:r w:rsidRPr="00B81825">
              <w:rPr>
                <w:i/>
                <w:color w:val="000000"/>
              </w:rPr>
              <w:t>Artemia</w:t>
            </w:r>
            <w:proofErr w:type="spellEnd"/>
          </w:p>
        </w:tc>
        <w:tc>
          <w:tcPr>
            <w:tcW w:w="820" w:type="dxa"/>
            <w:tcBorders>
              <w:top w:val="nil"/>
              <w:left w:val="nil"/>
              <w:bottom w:val="single" w:sz="12" w:space="0" w:color="auto"/>
              <w:right w:val="nil"/>
            </w:tcBorders>
            <w:shd w:val="clear" w:color="auto" w:fill="auto"/>
            <w:noWrap/>
            <w:vAlign w:val="bottom"/>
            <w:hideMark/>
          </w:tcPr>
          <w:p w:rsidR="009B3973" w:rsidRPr="00B81825" w:rsidRDefault="009B3973" w:rsidP="009B3973">
            <w:pPr>
              <w:spacing w:line="480" w:lineRule="auto"/>
              <w:jc w:val="center"/>
              <w:rPr>
                <w:color w:val="000000"/>
              </w:rPr>
            </w:pPr>
            <w:r>
              <w:rPr>
                <w:color w:val="000000"/>
              </w:rPr>
              <w:t xml:space="preserve">  </w:t>
            </w:r>
            <w:r w:rsidRPr="00B81825">
              <w:rPr>
                <w:color w:val="000000"/>
              </w:rPr>
              <w:t>3</w:t>
            </w:r>
          </w:p>
        </w:tc>
        <w:tc>
          <w:tcPr>
            <w:tcW w:w="1340" w:type="dxa"/>
            <w:tcBorders>
              <w:top w:val="nil"/>
              <w:left w:val="nil"/>
              <w:bottom w:val="single" w:sz="12" w:space="0" w:color="auto"/>
              <w:right w:val="nil"/>
            </w:tcBorders>
            <w:shd w:val="clear" w:color="auto" w:fill="auto"/>
            <w:noWrap/>
            <w:vAlign w:val="bottom"/>
            <w:hideMark/>
          </w:tcPr>
          <w:p w:rsidR="009B3973" w:rsidRPr="00B81825" w:rsidRDefault="009B3973" w:rsidP="009B3973">
            <w:pPr>
              <w:spacing w:line="480" w:lineRule="auto"/>
              <w:jc w:val="center"/>
              <w:rPr>
                <w:color w:val="000000"/>
              </w:rPr>
            </w:pPr>
            <w:r w:rsidRPr="00B81825">
              <w:rPr>
                <w:color w:val="000000"/>
              </w:rPr>
              <w:t>X</w:t>
            </w:r>
          </w:p>
        </w:tc>
        <w:tc>
          <w:tcPr>
            <w:tcW w:w="1020" w:type="dxa"/>
            <w:tcBorders>
              <w:top w:val="nil"/>
              <w:left w:val="nil"/>
              <w:bottom w:val="single" w:sz="12" w:space="0" w:color="auto"/>
              <w:right w:val="nil"/>
            </w:tcBorders>
            <w:shd w:val="clear" w:color="auto" w:fill="auto"/>
            <w:noWrap/>
            <w:vAlign w:val="bottom"/>
            <w:hideMark/>
          </w:tcPr>
          <w:p w:rsidR="009B3973" w:rsidRPr="00B81825" w:rsidRDefault="009B3973" w:rsidP="009B3973">
            <w:pPr>
              <w:spacing w:line="480" w:lineRule="auto"/>
              <w:jc w:val="center"/>
              <w:rPr>
                <w:color w:val="000000"/>
              </w:rPr>
            </w:pPr>
            <w:r w:rsidRPr="00B81825">
              <w:rPr>
                <w:color w:val="000000"/>
              </w:rPr>
              <w:t>X</w:t>
            </w:r>
          </w:p>
        </w:tc>
        <w:tc>
          <w:tcPr>
            <w:tcW w:w="1480" w:type="dxa"/>
            <w:tcBorders>
              <w:top w:val="nil"/>
              <w:left w:val="nil"/>
              <w:bottom w:val="single" w:sz="12" w:space="0" w:color="auto"/>
              <w:right w:val="nil"/>
            </w:tcBorders>
            <w:shd w:val="clear" w:color="auto" w:fill="auto"/>
            <w:noWrap/>
            <w:vAlign w:val="bottom"/>
            <w:hideMark/>
          </w:tcPr>
          <w:p w:rsidR="009B3973" w:rsidRPr="00B81825" w:rsidRDefault="009B3973" w:rsidP="009B3973">
            <w:pPr>
              <w:spacing w:line="480" w:lineRule="auto"/>
              <w:jc w:val="right"/>
              <w:rPr>
                <w:color w:val="000000"/>
              </w:rPr>
            </w:pPr>
            <w:r w:rsidRPr="00B81825">
              <w:rPr>
                <w:color w:val="000000"/>
              </w:rPr>
              <w:t>13.</w:t>
            </w:r>
            <w:r>
              <w:rPr>
                <w:color w:val="000000"/>
              </w:rPr>
              <w:t>3</w:t>
            </w:r>
            <w:r w:rsidRPr="00B81825">
              <w:rPr>
                <w:color w:val="000000"/>
              </w:rPr>
              <w:t>±0.06</w:t>
            </w:r>
          </w:p>
        </w:tc>
        <w:tc>
          <w:tcPr>
            <w:tcW w:w="1580" w:type="dxa"/>
            <w:tcBorders>
              <w:top w:val="nil"/>
              <w:left w:val="nil"/>
              <w:bottom w:val="single" w:sz="12" w:space="0" w:color="auto"/>
              <w:right w:val="nil"/>
            </w:tcBorders>
            <w:shd w:val="clear" w:color="auto" w:fill="auto"/>
            <w:noWrap/>
            <w:vAlign w:val="bottom"/>
            <w:hideMark/>
          </w:tcPr>
          <w:p w:rsidR="009B3973" w:rsidRPr="00B81825" w:rsidRDefault="009B3973" w:rsidP="009B3973">
            <w:pPr>
              <w:spacing w:line="480" w:lineRule="auto"/>
              <w:jc w:val="right"/>
              <w:rPr>
                <w:color w:val="000000"/>
              </w:rPr>
            </w:pPr>
            <w:r w:rsidRPr="00B81825">
              <w:rPr>
                <w:color w:val="000000"/>
              </w:rPr>
              <w:t>-21.8±0.06</w:t>
            </w:r>
          </w:p>
        </w:tc>
        <w:tc>
          <w:tcPr>
            <w:tcW w:w="1400" w:type="dxa"/>
            <w:tcBorders>
              <w:top w:val="nil"/>
              <w:left w:val="nil"/>
              <w:bottom w:val="single" w:sz="12" w:space="0" w:color="auto"/>
              <w:right w:val="nil"/>
            </w:tcBorders>
            <w:shd w:val="clear" w:color="auto" w:fill="auto"/>
            <w:noWrap/>
            <w:vAlign w:val="bottom"/>
            <w:hideMark/>
          </w:tcPr>
          <w:p w:rsidR="009B3973" w:rsidRPr="00B81825" w:rsidRDefault="009B3973" w:rsidP="009B3973">
            <w:pPr>
              <w:spacing w:line="480" w:lineRule="auto"/>
              <w:jc w:val="right"/>
              <w:rPr>
                <w:color w:val="000000"/>
              </w:rPr>
            </w:pPr>
            <w:r w:rsidRPr="00B81825">
              <w:rPr>
                <w:color w:val="000000"/>
              </w:rPr>
              <w:t>4.4±0.06</w:t>
            </w:r>
          </w:p>
        </w:tc>
      </w:tr>
    </w:tbl>
    <w:p w:rsidR="00401BCF" w:rsidRDefault="00401BCF" w:rsidP="009B3973">
      <w:pPr>
        <w:spacing w:line="480" w:lineRule="auto"/>
        <w:rPr>
          <w:noProof/>
        </w:rPr>
      </w:pPr>
    </w:p>
    <w:p w:rsidR="00385D86" w:rsidRDefault="00385D86">
      <w:pPr>
        <w:rPr>
          <w:noProof/>
        </w:rPr>
      </w:pPr>
      <w:r>
        <w:rPr>
          <w:noProof/>
        </w:rPr>
        <w:br w:type="page"/>
      </w:r>
    </w:p>
    <w:p w:rsidR="00401BCF" w:rsidRDefault="00401BCF" w:rsidP="00401BCF">
      <w:pPr>
        <w:rPr>
          <w:noProof/>
        </w:rPr>
      </w:pPr>
    </w:p>
    <w:p w:rsidR="00401BCF" w:rsidRPr="00401BCF" w:rsidRDefault="00401BCF" w:rsidP="00182ED3">
      <w:pPr>
        <w:keepNext/>
        <w:spacing w:line="480" w:lineRule="auto"/>
        <w:rPr>
          <w:b/>
          <w:noProof/>
        </w:rPr>
      </w:pPr>
      <w:r w:rsidRPr="00401BCF">
        <w:rPr>
          <w:b/>
          <w:noProof/>
        </w:rPr>
        <w:t>Figure Captions:</w:t>
      </w:r>
    </w:p>
    <w:p w:rsidR="00401BCF" w:rsidRDefault="00401BCF" w:rsidP="00182ED3">
      <w:pPr>
        <w:keepNext/>
        <w:spacing w:line="480" w:lineRule="auto"/>
        <w:rPr>
          <w:noProof/>
        </w:rPr>
      </w:pPr>
    </w:p>
    <w:p w:rsidR="00401BCF" w:rsidRDefault="00401BCF" w:rsidP="00182ED3">
      <w:pPr>
        <w:pStyle w:val="FigCap"/>
        <w:spacing w:before="0" w:after="0" w:line="480" w:lineRule="auto"/>
        <w:jc w:val="left"/>
        <w:rPr>
          <w:b w:val="0"/>
          <w:sz w:val="24"/>
          <w:szCs w:val="24"/>
        </w:rPr>
      </w:pPr>
      <w:bookmarkStart w:id="6" w:name="_Toc404326250"/>
      <w:r w:rsidRPr="003003F8">
        <w:rPr>
          <w:b w:val="0"/>
          <w:sz w:val="24"/>
          <w:szCs w:val="24"/>
        </w:rPr>
        <w:t xml:space="preserve">Figure 1: Images of </w:t>
      </w:r>
      <w:r w:rsidRPr="003003F8">
        <w:rPr>
          <w:b w:val="0"/>
          <w:i/>
          <w:sz w:val="24"/>
          <w:szCs w:val="24"/>
        </w:rPr>
        <w:t>Mysis</w:t>
      </w:r>
      <w:r w:rsidRPr="003003F8">
        <w:rPr>
          <w:b w:val="0"/>
          <w:sz w:val="24"/>
          <w:szCs w:val="24"/>
        </w:rPr>
        <w:t xml:space="preserve"> with guts empty (A), filled with green algae (B), and filled with </w:t>
      </w:r>
      <w:proofErr w:type="spellStart"/>
      <w:r w:rsidRPr="003003F8">
        <w:rPr>
          <w:b w:val="0"/>
          <w:i/>
          <w:sz w:val="24"/>
          <w:szCs w:val="24"/>
        </w:rPr>
        <w:t>Artemia</w:t>
      </w:r>
      <w:proofErr w:type="spellEnd"/>
      <w:r w:rsidRPr="003003F8">
        <w:rPr>
          <w:b w:val="0"/>
          <w:sz w:val="24"/>
          <w:szCs w:val="24"/>
        </w:rPr>
        <w:t xml:space="preserve"> (C). Guts are outlined with white boxes. Photographs were taken between 6.3 and 30</w:t>
      </w:r>
      <w:r w:rsidR="00074A8C">
        <w:rPr>
          <w:b w:val="0"/>
          <w:sz w:val="24"/>
          <w:szCs w:val="24"/>
        </w:rPr>
        <w:t>.0</w:t>
      </w:r>
      <w:r w:rsidRPr="003003F8">
        <w:rPr>
          <w:b w:val="0"/>
          <w:sz w:val="24"/>
          <w:szCs w:val="24"/>
        </w:rPr>
        <w:t>X magnification with an Infinity1 camera mounted on an Olympus SZS9 dissecting microscope.</w:t>
      </w:r>
      <w:bookmarkEnd w:id="6"/>
    </w:p>
    <w:p w:rsidR="001B0D3B" w:rsidRPr="003003F8" w:rsidRDefault="001B0D3B" w:rsidP="00182ED3">
      <w:pPr>
        <w:pStyle w:val="FigCap"/>
        <w:spacing w:before="0" w:after="0" w:line="480" w:lineRule="auto"/>
        <w:jc w:val="left"/>
        <w:rPr>
          <w:b w:val="0"/>
          <w:sz w:val="24"/>
          <w:szCs w:val="24"/>
        </w:rPr>
      </w:pPr>
    </w:p>
    <w:p w:rsidR="006C0EA1" w:rsidRPr="002A7DE7" w:rsidRDefault="00401BCF" w:rsidP="002A7DE7">
      <w:pPr>
        <w:pStyle w:val="FigCap"/>
        <w:spacing w:before="0" w:after="0" w:line="480" w:lineRule="auto"/>
        <w:jc w:val="left"/>
        <w:rPr>
          <w:b w:val="0"/>
          <w:sz w:val="24"/>
          <w:szCs w:val="24"/>
        </w:rPr>
      </w:pPr>
      <w:bookmarkStart w:id="7" w:name="_Toc404326251"/>
      <w:r w:rsidRPr="003003F8">
        <w:rPr>
          <w:b w:val="0"/>
          <w:sz w:val="24"/>
          <w:szCs w:val="24"/>
        </w:rPr>
        <w:t xml:space="preserve">Figure 2: </w:t>
      </w:r>
      <w:r w:rsidR="000E02F1">
        <w:rPr>
          <w:b w:val="0"/>
          <w:sz w:val="24"/>
          <w:szCs w:val="24"/>
        </w:rPr>
        <w:t>Indicator variable</w:t>
      </w:r>
      <w:r w:rsidRPr="003003F8">
        <w:rPr>
          <w:b w:val="0"/>
          <w:sz w:val="24"/>
          <w:szCs w:val="24"/>
        </w:rPr>
        <w:t xml:space="preserve"> regressions of </w:t>
      </w:r>
      <w:bookmarkStart w:id="8" w:name="OLE_LINK1"/>
      <w:r w:rsidRPr="003003F8">
        <w:rPr>
          <w:b w:val="0"/>
          <w:sz w:val="24"/>
          <w:szCs w:val="24"/>
        </w:rPr>
        <w:t>δ</w:t>
      </w:r>
      <w:r w:rsidRPr="003003F8">
        <w:rPr>
          <w:b w:val="0"/>
          <w:sz w:val="24"/>
          <w:szCs w:val="24"/>
          <w:vertAlign w:val="superscript"/>
        </w:rPr>
        <w:t>13</w:t>
      </w:r>
      <w:r w:rsidRPr="003003F8">
        <w:rPr>
          <w:b w:val="0"/>
          <w:sz w:val="24"/>
          <w:szCs w:val="24"/>
        </w:rPr>
        <w:t>C</w:t>
      </w:r>
      <w:bookmarkEnd w:id="8"/>
      <w:r w:rsidRPr="003003F8">
        <w:rPr>
          <w:b w:val="0"/>
          <w:sz w:val="24"/>
          <w:szCs w:val="24"/>
        </w:rPr>
        <w:t>, δ</w:t>
      </w:r>
      <w:r w:rsidRPr="003003F8">
        <w:rPr>
          <w:b w:val="0"/>
          <w:sz w:val="24"/>
          <w:szCs w:val="24"/>
          <w:vertAlign w:val="superscript"/>
        </w:rPr>
        <w:t>15</w:t>
      </w:r>
      <w:r w:rsidRPr="003003F8">
        <w:rPr>
          <w:b w:val="0"/>
          <w:sz w:val="24"/>
          <w:szCs w:val="24"/>
        </w:rPr>
        <w:t>N, and C</w:t>
      </w:r>
      <w:proofErr w:type="gramStart"/>
      <w:r w:rsidRPr="003003F8">
        <w:rPr>
          <w:b w:val="0"/>
          <w:sz w:val="24"/>
          <w:szCs w:val="24"/>
        </w:rPr>
        <w:t>:N</w:t>
      </w:r>
      <w:proofErr w:type="gramEnd"/>
      <w:r w:rsidRPr="003003F8">
        <w:rPr>
          <w:b w:val="0"/>
          <w:sz w:val="24"/>
          <w:szCs w:val="24"/>
        </w:rPr>
        <w:t xml:space="preserve"> as a function of body length for experimental </w:t>
      </w:r>
      <w:r w:rsidRPr="003003F8">
        <w:rPr>
          <w:b w:val="0"/>
          <w:i/>
          <w:sz w:val="24"/>
          <w:szCs w:val="24"/>
        </w:rPr>
        <w:t>Mysis</w:t>
      </w:r>
      <w:r w:rsidRPr="003003F8">
        <w:rPr>
          <w:b w:val="0"/>
          <w:sz w:val="24"/>
          <w:szCs w:val="24"/>
        </w:rPr>
        <w:t xml:space="preserve"> with three different gut contents: green algae (</w:t>
      </w:r>
      <w:r w:rsidR="005232E5">
        <w:rPr>
          <w:b w:val="0"/>
          <w:sz w:val="24"/>
          <w:szCs w:val="24"/>
        </w:rPr>
        <w:t>A</w:t>
      </w:r>
      <w:r w:rsidRPr="003003F8">
        <w:rPr>
          <w:b w:val="0"/>
          <w:sz w:val="24"/>
          <w:szCs w:val="24"/>
        </w:rPr>
        <w:t xml:space="preserve">lgae), </w:t>
      </w:r>
      <w:proofErr w:type="spellStart"/>
      <w:r w:rsidRPr="003003F8">
        <w:rPr>
          <w:b w:val="0"/>
          <w:i/>
          <w:sz w:val="24"/>
          <w:szCs w:val="24"/>
        </w:rPr>
        <w:t>Artemia</w:t>
      </w:r>
      <w:proofErr w:type="spellEnd"/>
      <w:r w:rsidR="005232E5">
        <w:rPr>
          <w:b w:val="0"/>
          <w:sz w:val="24"/>
          <w:szCs w:val="24"/>
        </w:rPr>
        <w:t>,</w:t>
      </w:r>
      <w:r w:rsidR="000E02F1">
        <w:rPr>
          <w:b w:val="0"/>
          <w:sz w:val="24"/>
          <w:szCs w:val="24"/>
        </w:rPr>
        <w:t xml:space="preserve"> </w:t>
      </w:r>
      <w:r w:rsidR="005232E5">
        <w:rPr>
          <w:b w:val="0"/>
          <w:sz w:val="24"/>
          <w:szCs w:val="24"/>
        </w:rPr>
        <w:t>and nothing (E</w:t>
      </w:r>
      <w:r w:rsidRPr="003003F8">
        <w:rPr>
          <w:b w:val="0"/>
          <w:sz w:val="24"/>
          <w:szCs w:val="24"/>
        </w:rPr>
        <w:t>mpty)</w:t>
      </w:r>
      <w:bookmarkEnd w:id="7"/>
      <w:r w:rsidR="001B0D3B">
        <w:rPr>
          <w:b w:val="0"/>
          <w:sz w:val="24"/>
          <w:szCs w:val="24"/>
        </w:rPr>
        <w:t>.</w:t>
      </w:r>
      <w:bookmarkStart w:id="9" w:name="_GoBack"/>
      <w:bookmarkEnd w:id="9"/>
    </w:p>
    <w:sectPr w:rsidR="006C0EA1" w:rsidRPr="002A7DE7" w:rsidSect="003003F8">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730" w:rsidRDefault="008A1730" w:rsidP="008905AD">
      <w:r>
        <w:separator/>
      </w:r>
    </w:p>
  </w:endnote>
  <w:endnote w:type="continuationSeparator" w:id="0">
    <w:p w:rsidR="008A1730" w:rsidRDefault="008A1730" w:rsidP="00890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PSPAL-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8886838"/>
      <w:docPartObj>
        <w:docPartGallery w:val="Page Numbers (Bottom of Page)"/>
        <w:docPartUnique/>
      </w:docPartObj>
    </w:sdtPr>
    <w:sdtEndPr>
      <w:rPr>
        <w:noProof/>
      </w:rPr>
    </w:sdtEndPr>
    <w:sdtContent>
      <w:p w:rsidR="009173A0" w:rsidRDefault="009173A0">
        <w:pPr>
          <w:pStyle w:val="Footer"/>
          <w:jc w:val="right"/>
        </w:pPr>
        <w:r>
          <w:fldChar w:fldCharType="begin"/>
        </w:r>
        <w:r w:rsidRPr="009B3973">
          <w:instrText xml:space="preserve"> PAGE   \* MERGEFORMAT </w:instrText>
        </w:r>
        <w:r>
          <w:fldChar w:fldCharType="separate"/>
        </w:r>
        <w:r w:rsidR="002A7DE7">
          <w:rPr>
            <w:noProof/>
          </w:rPr>
          <w:t>16</w:t>
        </w:r>
        <w:r>
          <w:rPr>
            <w:noProof/>
          </w:rPr>
          <w:fldChar w:fldCharType="end"/>
        </w:r>
      </w:p>
    </w:sdtContent>
  </w:sdt>
  <w:p w:rsidR="009173A0" w:rsidRDefault="009173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730" w:rsidRDefault="008A1730" w:rsidP="008905AD">
      <w:r>
        <w:separator/>
      </w:r>
    </w:p>
  </w:footnote>
  <w:footnote w:type="continuationSeparator" w:id="0">
    <w:p w:rsidR="008A1730" w:rsidRDefault="008A1730" w:rsidP="008905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3F8"/>
    <w:rsid w:val="0001556B"/>
    <w:rsid w:val="000224B2"/>
    <w:rsid w:val="000270E8"/>
    <w:rsid w:val="00074A8C"/>
    <w:rsid w:val="000809AA"/>
    <w:rsid w:val="000B5B2F"/>
    <w:rsid w:val="000C0950"/>
    <w:rsid w:val="000C25DB"/>
    <w:rsid w:val="000C28A5"/>
    <w:rsid w:val="000C3D66"/>
    <w:rsid w:val="000C74CC"/>
    <w:rsid w:val="000D22D6"/>
    <w:rsid w:val="000E02F1"/>
    <w:rsid w:val="000F0762"/>
    <w:rsid w:val="000F1987"/>
    <w:rsid w:val="001576DF"/>
    <w:rsid w:val="00182ED3"/>
    <w:rsid w:val="001868A5"/>
    <w:rsid w:val="001B0D3B"/>
    <w:rsid w:val="001B27D0"/>
    <w:rsid w:val="001B2D70"/>
    <w:rsid w:val="001C2CA7"/>
    <w:rsid w:val="001D055B"/>
    <w:rsid w:val="001D6F47"/>
    <w:rsid w:val="001F1E20"/>
    <w:rsid w:val="001F5A87"/>
    <w:rsid w:val="0020067C"/>
    <w:rsid w:val="00216237"/>
    <w:rsid w:val="00217F3E"/>
    <w:rsid w:val="00220DE1"/>
    <w:rsid w:val="00237CEB"/>
    <w:rsid w:val="00255F32"/>
    <w:rsid w:val="00256630"/>
    <w:rsid w:val="00257E03"/>
    <w:rsid w:val="00277E30"/>
    <w:rsid w:val="0028266C"/>
    <w:rsid w:val="002913DD"/>
    <w:rsid w:val="00292302"/>
    <w:rsid w:val="002A7DE7"/>
    <w:rsid w:val="002B5B10"/>
    <w:rsid w:val="002B63CE"/>
    <w:rsid w:val="002B73E0"/>
    <w:rsid w:val="002C0EDE"/>
    <w:rsid w:val="002C5716"/>
    <w:rsid w:val="002D7EDB"/>
    <w:rsid w:val="002F1523"/>
    <w:rsid w:val="002F610F"/>
    <w:rsid w:val="003003F8"/>
    <w:rsid w:val="00306C16"/>
    <w:rsid w:val="0031479F"/>
    <w:rsid w:val="00315C31"/>
    <w:rsid w:val="00335733"/>
    <w:rsid w:val="00336AAD"/>
    <w:rsid w:val="00341718"/>
    <w:rsid w:val="00354A2A"/>
    <w:rsid w:val="00362995"/>
    <w:rsid w:val="00385D86"/>
    <w:rsid w:val="00390AB5"/>
    <w:rsid w:val="00396DCD"/>
    <w:rsid w:val="003B449B"/>
    <w:rsid w:val="003D1357"/>
    <w:rsid w:val="003D2623"/>
    <w:rsid w:val="003D571E"/>
    <w:rsid w:val="00400808"/>
    <w:rsid w:val="00401BCF"/>
    <w:rsid w:val="00417DBE"/>
    <w:rsid w:val="00430990"/>
    <w:rsid w:val="0043756E"/>
    <w:rsid w:val="00444FC7"/>
    <w:rsid w:val="004A47D7"/>
    <w:rsid w:val="004B1307"/>
    <w:rsid w:val="004D66F5"/>
    <w:rsid w:val="004F12E1"/>
    <w:rsid w:val="00503DF7"/>
    <w:rsid w:val="00511914"/>
    <w:rsid w:val="005232E5"/>
    <w:rsid w:val="00525A70"/>
    <w:rsid w:val="0054688E"/>
    <w:rsid w:val="005470BC"/>
    <w:rsid w:val="00552A14"/>
    <w:rsid w:val="0056673D"/>
    <w:rsid w:val="005841ED"/>
    <w:rsid w:val="00590F66"/>
    <w:rsid w:val="005A705B"/>
    <w:rsid w:val="005B02A4"/>
    <w:rsid w:val="005D183C"/>
    <w:rsid w:val="005D3773"/>
    <w:rsid w:val="005D73EF"/>
    <w:rsid w:val="005E7C1D"/>
    <w:rsid w:val="005F0C0A"/>
    <w:rsid w:val="0061015A"/>
    <w:rsid w:val="00627CE0"/>
    <w:rsid w:val="00631300"/>
    <w:rsid w:val="00637530"/>
    <w:rsid w:val="00640298"/>
    <w:rsid w:val="006524F2"/>
    <w:rsid w:val="00684F0E"/>
    <w:rsid w:val="00690313"/>
    <w:rsid w:val="0069327F"/>
    <w:rsid w:val="006C0EA1"/>
    <w:rsid w:val="006D68B1"/>
    <w:rsid w:val="00701BE3"/>
    <w:rsid w:val="0072304A"/>
    <w:rsid w:val="00751631"/>
    <w:rsid w:val="00765B10"/>
    <w:rsid w:val="00772754"/>
    <w:rsid w:val="00777957"/>
    <w:rsid w:val="00780E31"/>
    <w:rsid w:val="00797AC3"/>
    <w:rsid w:val="007B2C32"/>
    <w:rsid w:val="007B3108"/>
    <w:rsid w:val="007C3F2F"/>
    <w:rsid w:val="007D4DFE"/>
    <w:rsid w:val="007E06ED"/>
    <w:rsid w:val="00813FAF"/>
    <w:rsid w:val="00831397"/>
    <w:rsid w:val="008320C2"/>
    <w:rsid w:val="00846683"/>
    <w:rsid w:val="008528BA"/>
    <w:rsid w:val="00865F29"/>
    <w:rsid w:val="0088449B"/>
    <w:rsid w:val="008905AD"/>
    <w:rsid w:val="008905D0"/>
    <w:rsid w:val="008A1730"/>
    <w:rsid w:val="008A6035"/>
    <w:rsid w:val="008C4CC7"/>
    <w:rsid w:val="008D4AFC"/>
    <w:rsid w:val="009074EC"/>
    <w:rsid w:val="00907CC6"/>
    <w:rsid w:val="009173A0"/>
    <w:rsid w:val="00932DAB"/>
    <w:rsid w:val="00934A93"/>
    <w:rsid w:val="00935894"/>
    <w:rsid w:val="00940C44"/>
    <w:rsid w:val="00941186"/>
    <w:rsid w:val="009531EE"/>
    <w:rsid w:val="009629D6"/>
    <w:rsid w:val="009B3973"/>
    <w:rsid w:val="009D3262"/>
    <w:rsid w:val="00A1004D"/>
    <w:rsid w:val="00A139D0"/>
    <w:rsid w:val="00A169BC"/>
    <w:rsid w:val="00A36AE0"/>
    <w:rsid w:val="00A41580"/>
    <w:rsid w:val="00A55D38"/>
    <w:rsid w:val="00A60942"/>
    <w:rsid w:val="00A643F7"/>
    <w:rsid w:val="00A76D8A"/>
    <w:rsid w:val="00A77F4A"/>
    <w:rsid w:val="00A92374"/>
    <w:rsid w:val="00AB0732"/>
    <w:rsid w:val="00AB2CD3"/>
    <w:rsid w:val="00AE13DA"/>
    <w:rsid w:val="00AF2B4E"/>
    <w:rsid w:val="00B05F94"/>
    <w:rsid w:val="00B23F4F"/>
    <w:rsid w:val="00B45A1F"/>
    <w:rsid w:val="00B86FF5"/>
    <w:rsid w:val="00BA0F81"/>
    <w:rsid w:val="00BA1FD2"/>
    <w:rsid w:val="00BA45BC"/>
    <w:rsid w:val="00BC5F5F"/>
    <w:rsid w:val="00C026F1"/>
    <w:rsid w:val="00C31265"/>
    <w:rsid w:val="00C5002A"/>
    <w:rsid w:val="00C53DC7"/>
    <w:rsid w:val="00C53DD6"/>
    <w:rsid w:val="00C76E11"/>
    <w:rsid w:val="00C874C3"/>
    <w:rsid w:val="00C90812"/>
    <w:rsid w:val="00CB6611"/>
    <w:rsid w:val="00CD46EF"/>
    <w:rsid w:val="00CE631B"/>
    <w:rsid w:val="00CF3AC6"/>
    <w:rsid w:val="00D1699E"/>
    <w:rsid w:val="00D36809"/>
    <w:rsid w:val="00D53E54"/>
    <w:rsid w:val="00D840F2"/>
    <w:rsid w:val="00D91646"/>
    <w:rsid w:val="00DB72BA"/>
    <w:rsid w:val="00DC595E"/>
    <w:rsid w:val="00DC5CBE"/>
    <w:rsid w:val="00DE2EFF"/>
    <w:rsid w:val="00E17BE2"/>
    <w:rsid w:val="00E40F9C"/>
    <w:rsid w:val="00E43224"/>
    <w:rsid w:val="00E6733C"/>
    <w:rsid w:val="00E959E4"/>
    <w:rsid w:val="00E973D8"/>
    <w:rsid w:val="00EB13B4"/>
    <w:rsid w:val="00ED0ED8"/>
    <w:rsid w:val="00ED0FCE"/>
    <w:rsid w:val="00ED22E2"/>
    <w:rsid w:val="00ED2F66"/>
    <w:rsid w:val="00ED3E69"/>
    <w:rsid w:val="00EE0251"/>
    <w:rsid w:val="00EE7710"/>
    <w:rsid w:val="00F11AB4"/>
    <w:rsid w:val="00F618F3"/>
    <w:rsid w:val="00F65071"/>
    <w:rsid w:val="00F87A02"/>
    <w:rsid w:val="00FA2623"/>
    <w:rsid w:val="00FA3431"/>
    <w:rsid w:val="00FC63A9"/>
    <w:rsid w:val="00FC6F69"/>
    <w:rsid w:val="00FC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3F8"/>
    <w:rPr>
      <w:sz w:val="24"/>
      <w:szCs w:val="24"/>
    </w:rPr>
  </w:style>
  <w:style w:type="paragraph" w:styleId="Heading1">
    <w:name w:val="heading 1"/>
    <w:basedOn w:val="Normal"/>
    <w:next w:val="Normal"/>
    <w:link w:val="Heading1Char"/>
    <w:qFormat/>
    <w:rsid w:val="00A55D38"/>
    <w:pPr>
      <w:keepNext/>
      <w:spacing w:line="480" w:lineRule="auto"/>
      <w:jc w:val="center"/>
      <w:outlineLvl w:val="0"/>
    </w:pPr>
    <w:rPr>
      <w:b/>
    </w:rPr>
  </w:style>
  <w:style w:type="paragraph" w:styleId="Heading2">
    <w:name w:val="heading 2"/>
    <w:basedOn w:val="Normal"/>
    <w:next w:val="Normal"/>
    <w:link w:val="Heading2Char"/>
    <w:qFormat/>
    <w:rsid w:val="00A55D3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55D3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55D38"/>
    <w:rPr>
      <w:b/>
      <w:sz w:val="24"/>
      <w:szCs w:val="24"/>
    </w:rPr>
  </w:style>
  <w:style w:type="character" w:customStyle="1" w:styleId="Heading2Char">
    <w:name w:val="Heading 2 Char"/>
    <w:basedOn w:val="DefaultParagraphFont"/>
    <w:link w:val="Heading2"/>
    <w:rsid w:val="00A55D38"/>
    <w:rPr>
      <w:rFonts w:ascii="Arial" w:hAnsi="Arial" w:cs="Arial"/>
      <w:b/>
      <w:bCs/>
      <w:i/>
      <w:iCs/>
      <w:sz w:val="28"/>
      <w:szCs w:val="28"/>
    </w:rPr>
  </w:style>
  <w:style w:type="character" w:customStyle="1" w:styleId="Heading3Char">
    <w:name w:val="Heading 3 Char"/>
    <w:basedOn w:val="DefaultParagraphFont"/>
    <w:link w:val="Heading3"/>
    <w:rsid w:val="00A55D38"/>
    <w:rPr>
      <w:rFonts w:ascii="Arial" w:hAnsi="Arial" w:cs="Arial"/>
      <w:b/>
      <w:bCs/>
      <w:sz w:val="26"/>
      <w:szCs w:val="26"/>
    </w:rPr>
  </w:style>
  <w:style w:type="paragraph" w:styleId="Caption">
    <w:name w:val="caption"/>
    <w:basedOn w:val="Normal"/>
    <w:next w:val="Normal"/>
    <w:qFormat/>
    <w:rsid w:val="00A55D38"/>
    <w:pPr>
      <w:spacing w:before="120" w:after="120"/>
    </w:pPr>
    <w:rPr>
      <w:b/>
      <w:bCs/>
      <w:sz w:val="20"/>
      <w:szCs w:val="20"/>
    </w:rPr>
  </w:style>
  <w:style w:type="paragraph" w:styleId="Title">
    <w:name w:val="Title"/>
    <w:basedOn w:val="Normal"/>
    <w:link w:val="TitleChar"/>
    <w:qFormat/>
    <w:rsid w:val="00A55D38"/>
    <w:pPr>
      <w:jc w:val="center"/>
    </w:pPr>
    <w:rPr>
      <w:b/>
      <w:szCs w:val="20"/>
    </w:rPr>
  </w:style>
  <w:style w:type="character" w:customStyle="1" w:styleId="TitleChar">
    <w:name w:val="Title Char"/>
    <w:basedOn w:val="DefaultParagraphFont"/>
    <w:link w:val="Title"/>
    <w:rsid w:val="00A55D38"/>
    <w:rPr>
      <w:b/>
      <w:sz w:val="24"/>
    </w:rPr>
  </w:style>
  <w:style w:type="paragraph" w:customStyle="1" w:styleId="ChapterNum">
    <w:name w:val="ChapterNum"/>
    <w:basedOn w:val="Heading1"/>
    <w:link w:val="ChapterNumChar"/>
    <w:rsid w:val="003003F8"/>
    <w:pPr>
      <w:ind w:left="187"/>
    </w:pPr>
  </w:style>
  <w:style w:type="paragraph" w:customStyle="1" w:styleId="ChapSub">
    <w:name w:val="ChapSub"/>
    <w:basedOn w:val="Normal"/>
    <w:rsid w:val="003003F8"/>
    <w:pPr>
      <w:keepNext/>
      <w:spacing w:line="480" w:lineRule="auto"/>
      <w:ind w:left="187"/>
      <w:jc w:val="center"/>
      <w:outlineLvl w:val="0"/>
    </w:pPr>
    <w:rPr>
      <w:b/>
    </w:rPr>
  </w:style>
  <w:style w:type="paragraph" w:customStyle="1" w:styleId="FigCap">
    <w:name w:val="FigCap"/>
    <w:basedOn w:val="Caption"/>
    <w:rsid w:val="003003F8"/>
    <w:pPr>
      <w:spacing w:after="600"/>
      <w:ind w:left="187"/>
      <w:jc w:val="center"/>
    </w:pPr>
  </w:style>
  <w:style w:type="paragraph" w:customStyle="1" w:styleId="TableCap">
    <w:name w:val="TableCap"/>
    <w:basedOn w:val="Normal"/>
    <w:rsid w:val="003003F8"/>
    <w:pPr>
      <w:spacing w:line="480" w:lineRule="auto"/>
      <w:ind w:left="187" w:firstLine="720"/>
    </w:pPr>
    <w:rPr>
      <w:b/>
      <w:sz w:val="20"/>
    </w:rPr>
  </w:style>
  <w:style w:type="character" w:customStyle="1" w:styleId="ChapterNumChar">
    <w:name w:val="ChapterNum Char"/>
    <w:basedOn w:val="Heading1Char"/>
    <w:link w:val="ChapterNum"/>
    <w:rsid w:val="003003F8"/>
    <w:rPr>
      <w:b/>
      <w:sz w:val="24"/>
      <w:szCs w:val="24"/>
    </w:rPr>
  </w:style>
  <w:style w:type="paragraph" w:styleId="BalloonText">
    <w:name w:val="Balloon Text"/>
    <w:basedOn w:val="Normal"/>
    <w:link w:val="BalloonTextChar"/>
    <w:uiPriority w:val="99"/>
    <w:semiHidden/>
    <w:unhideWhenUsed/>
    <w:rsid w:val="003003F8"/>
    <w:rPr>
      <w:rFonts w:ascii="Tahoma" w:hAnsi="Tahoma" w:cs="Tahoma"/>
      <w:sz w:val="16"/>
      <w:szCs w:val="16"/>
    </w:rPr>
  </w:style>
  <w:style w:type="character" w:customStyle="1" w:styleId="BalloonTextChar">
    <w:name w:val="Balloon Text Char"/>
    <w:basedOn w:val="DefaultParagraphFont"/>
    <w:link w:val="BalloonText"/>
    <w:uiPriority w:val="99"/>
    <w:semiHidden/>
    <w:rsid w:val="003003F8"/>
    <w:rPr>
      <w:rFonts w:ascii="Tahoma" w:hAnsi="Tahoma" w:cs="Tahoma"/>
      <w:sz w:val="16"/>
      <w:szCs w:val="16"/>
    </w:rPr>
  </w:style>
  <w:style w:type="paragraph" w:styleId="NormalWeb">
    <w:name w:val="Normal (Web)"/>
    <w:basedOn w:val="Normal"/>
    <w:uiPriority w:val="99"/>
    <w:unhideWhenUsed/>
    <w:rsid w:val="003003F8"/>
    <w:pPr>
      <w:spacing w:before="100" w:beforeAutospacing="1" w:after="100" w:afterAutospacing="1"/>
    </w:pPr>
    <w:rPr>
      <w:rFonts w:eastAsiaTheme="minorEastAsia"/>
    </w:rPr>
  </w:style>
  <w:style w:type="character" w:styleId="Hyperlink">
    <w:name w:val="Hyperlink"/>
    <w:basedOn w:val="DefaultParagraphFont"/>
    <w:uiPriority w:val="99"/>
    <w:unhideWhenUsed/>
    <w:rsid w:val="003003F8"/>
    <w:rPr>
      <w:color w:val="0000FF" w:themeColor="hyperlink"/>
      <w:u w:val="single"/>
    </w:rPr>
  </w:style>
  <w:style w:type="character" w:styleId="LineNumber">
    <w:name w:val="line number"/>
    <w:basedOn w:val="DefaultParagraphFont"/>
    <w:uiPriority w:val="99"/>
    <w:semiHidden/>
    <w:unhideWhenUsed/>
    <w:rsid w:val="003003F8"/>
  </w:style>
  <w:style w:type="character" w:styleId="CommentReference">
    <w:name w:val="annotation reference"/>
    <w:basedOn w:val="DefaultParagraphFont"/>
    <w:uiPriority w:val="99"/>
    <w:semiHidden/>
    <w:unhideWhenUsed/>
    <w:rsid w:val="005A705B"/>
    <w:rPr>
      <w:sz w:val="16"/>
      <w:szCs w:val="16"/>
    </w:rPr>
  </w:style>
  <w:style w:type="paragraph" w:styleId="CommentText">
    <w:name w:val="annotation text"/>
    <w:basedOn w:val="Normal"/>
    <w:link w:val="CommentTextChar"/>
    <w:uiPriority w:val="99"/>
    <w:semiHidden/>
    <w:unhideWhenUsed/>
    <w:rsid w:val="005A705B"/>
    <w:rPr>
      <w:sz w:val="20"/>
      <w:szCs w:val="20"/>
    </w:rPr>
  </w:style>
  <w:style w:type="character" w:customStyle="1" w:styleId="CommentTextChar">
    <w:name w:val="Comment Text Char"/>
    <w:basedOn w:val="DefaultParagraphFont"/>
    <w:link w:val="CommentText"/>
    <w:uiPriority w:val="99"/>
    <w:semiHidden/>
    <w:rsid w:val="005A705B"/>
  </w:style>
  <w:style w:type="paragraph" w:styleId="CommentSubject">
    <w:name w:val="annotation subject"/>
    <w:basedOn w:val="CommentText"/>
    <w:next w:val="CommentText"/>
    <w:link w:val="CommentSubjectChar"/>
    <w:uiPriority w:val="99"/>
    <w:semiHidden/>
    <w:unhideWhenUsed/>
    <w:rsid w:val="005A705B"/>
    <w:rPr>
      <w:b/>
      <w:bCs/>
    </w:rPr>
  </w:style>
  <w:style w:type="character" w:customStyle="1" w:styleId="CommentSubjectChar">
    <w:name w:val="Comment Subject Char"/>
    <w:basedOn w:val="CommentTextChar"/>
    <w:link w:val="CommentSubject"/>
    <w:uiPriority w:val="99"/>
    <w:semiHidden/>
    <w:rsid w:val="005A705B"/>
    <w:rPr>
      <w:b/>
      <w:bCs/>
    </w:rPr>
  </w:style>
  <w:style w:type="paragraph" w:styleId="Revision">
    <w:name w:val="Revision"/>
    <w:hidden/>
    <w:uiPriority w:val="99"/>
    <w:semiHidden/>
    <w:rsid w:val="00257E03"/>
    <w:rPr>
      <w:sz w:val="24"/>
      <w:szCs w:val="24"/>
    </w:rPr>
  </w:style>
  <w:style w:type="paragraph" w:styleId="Header">
    <w:name w:val="header"/>
    <w:basedOn w:val="Normal"/>
    <w:link w:val="HeaderChar"/>
    <w:uiPriority w:val="99"/>
    <w:unhideWhenUsed/>
    <w:rsid w:val="008905AD"/>
    <w:pPr>
      <w:tabs>
        <w:tab w:val="center" w:pos="4680"/>
        <w:tab w:val="right" w:pos="9360"/>
      </w:tabs>
    </w:pPr>
  </w:style>
  <w:style w:type="character" w:customStyle="1" w:styleId="HeaderChar">
    <w:name w:val="Header Char"/>
    <w:basedOn w:val="DefaultParagraphFont"/>
    <w:link w:val="Header"/>
    <w:uiPriority w:val="99"/>
    <w:rsid w:val="008905AD"/>
    <w:rPr>
      <w:sz w:val="24"/>
      <w:szCs w:val="24"/>
    </w:rPr>
  </w:style>
  <w:style w:type="paragraph" w:styleId="Footer">
    <w:name w:val="footer"/>
    <w:basedOn w:val="Normal"/>
    <w:link w:val="FooterChar"/>
    <w:uiPriority w:val="99"/>
    <w:unhideWhenUsed/>
    <w:rsid w:val="008905AD"/>
    <w:pPr>
      <w:tabs>
        <w:tab w:val="center" w:pos="4680"/>
        <w:tab w:val="right" w:pos="9360"/>
      </w:tabs>
    </w:pPr>
  </w:style>
  <w:style w:type="character" w:customStyle="1" w:styleId="FooterChar">
    <w:name w:val="Footer Char"/>
    <w:basedOn w:val="DefaultParagraphFont"/>
    <w:link w:val="Footer"/>
    <w:uiPriority w:val="99"/>
    <w:rsid w:val="008905AD"/>
    <w:rPr>
      <w:sz w:val="24"/>
      <w:szCs w:val="24"/>
    </w:rPr>
  </w:style>
  <w:style w:type="character" w:styleId="PlaceholderText">
    <w:name w:val="Placeholder Text"/>
    <w:basedOn w:val="DefaultParagraphFont"/>
    <w:uiPriority w:val="99"/>
    <w:semiHidden/>
    <w:rsid w:val="00AF2B4E"/>
    <w:rPr>
      <w:color w:val="808080"/>
    </w:rPr>
  </w:style>
  <w:style w:type="paragraph" w:styleId="HTMLPreformatted">
    <w:name w:val="HTML Preformatted"/>
    <w:basedOn w:val="Normal"/>
    <w:link w:val="HTMLPreformattedChar"/>
    <w:uiPriority w:val="99"/>
    <w:semiHidden/>
    <w:unhideWhenUsed/>
    <w:rsid w:val="00A16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169BC"/>
    <w:rPr>
      <w:rFonts w:ascii="Courier New" w:hAnsi="Courier New" w:cs="Courier New"/>
    </w:rPr>
  </w:style>
  <w:style w:type="character" w:customStyle="1" w:styleId="apple-converted-space">
    <w:name w:val="apple-converted-space"/>
    <w:basedOn w:val="DefaultParagraphFont"/>
    <w:rsid w:val="006D68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3F8"/>
    <w:rPr>
      <w:sz w:val="24"/>
      <w:szCs w:val="24"/>
    </w:rPr>
  </w:style>
  <w:style w:type="paragraph" w:styleId="Heading1">
    <w:name w:val="heading 1"/>
    <w:basedOn w:val="Normal"/>
    <w:next w:val="Normal"/>
    <w:link w:val="Heading1Char"/>
    <w:qFormat/>
    <w:rsid w:val="00A55D38"/>
    <w:pPr>
      <w:keepNext/>
      <w:spacing w:line="480" w:lineRule="auto"/>
      <w:jc w:val="center"/>
      <w:outlineLvl w:val="0"/>
    </w:pPr>
    <w:rPr>
      <w:b/>
    </w:rPr>
  </w:style>
  <w:style w:type="paragraph" w:styleId="Heading2">
    <w:name w:val="heading 2"/>
    <w:basedOn w:val="Normal"/>
    <w:next w:val="Normal"/>
    <w:link w:val="Heading2Char"/>
    <w:qFormat/>
    <w:rsid w:val="00A55D3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55D3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55D38"/>
    <w:rPr>
      <w:b/>
      <w:sz w:val="24"/>
      <w:szCs w:val="24"/>
    </w:rPr>
  </w:style>
  <w:style w:type="character" w:customStyle="1" w:styleId="Heading2Char">
    <w:name w:val="Heading 2 Char"/>
    <w:basedOn w:val="DefaultParagraphFont"/>
    <w:link w:val="Heading2"/>
    <w:rsid w:val="00A55D38"/>
    <w:rPr>
      <w:rFonts w:ascii="Arial" w:hAnsi="Arial" w:cs="Arial"/>
      <w:b/>
      <w:bCs/>
      <w:i/>
      <w:iCs/>
      <w:sz w:val="28"/>
      <w:szCs w:val="28"/>
    </w:rPr>
  </w:style>
  <w:style w:type="character" w:customStyle="1" w:styleId="Heading3Char">
    <w:name w:val="Heading 3 Char"/>
    <w:basedOn w:val="DefaultParagraphFont"/>
    <w:link w:val="Heading3"/>
    <w:rsid w:val="00A55D38"/>
    <w:rPr>
      <w:rFonts w:ascii="Arial" w:hAnsi="Arial" w:cs="Arial"/>
      <w:b/>
      <w:bCs/>
      <w:sz w:val="26"/>
      <w:szCs w:val="26"/>
    </w:rPr>
  </w:style>
  <w:style w:type="paragraph" w:styleId="Caption">
    <w:name w:val="caption"/>
    <w:basedOn w:val="Normal"/>
    <w:next w:val="Normal"/>
    <w:qFormat/>
    <w:rsid w:val="00A55D38"/>
    <w:pPr>
      <w:spacing w:before="120" w:after="120"/>
    </w:pPr>
    <w:rPr>
      <w:b/>
      <w:bCs/>
      <w:sz w:val="20"/>
      <w:szCs w:val="20"/>
    </w:rPr>
  </w:style>
  <w:style w:type="paragraph" w:styleId="Title">
    <w:name w:val="Title"/>
    <w:basedOn w:val="Normal"/>
    <w:link w:val="TitleChar"/>
    <w:qFormat/>
    <w:rsid w:val="00A55D38"/>
    <w:pPr>
      <w:jc w:val="center"/>
    </w:pPr>
    <w:rPr>
      <w:b/>
      <w:szCs w:val="20"/>
    </w:rPr>
  </w:style>
  <w:style w:type="character" w:customStyle="1" w:styleId="TitleChar">
    <w:name w:val="Title Char"/>
    <w:basedOn w:val="DefaultParagraphFont"/>
    <w:link w:val="Title"/>
    <w:rsid w:val="00A55D38"/>
    <w:rPr>
      <w:b/>
      <w:sz w:val="24"/>
    </w:rPr>
  </w:style>
  <w:style w:type="paragraph" w:customStyle="1" w:styleId="ChapterNum">
    <w:name w:val="ChapterNum"/>
    <w:basedOn w:val="Heading1"/>
    <w:link w:val="ChapterNumChar"/>
    <w:rsid w:val="003003F8"/>
    <w:pPr>
      <w:ind w:left="187"/>
    </w:pPr>
  </w:style>
  <w:style w:type="paragraph" w:customStyle="1" w:styleId="ChapSub">
    <w:name w:val="ChapSub"/>
    <w:basedOn w:val="Normal"/>
    <w:rsid w:val="003003F8"/>
    <w:pPr>
      <w:keepNext/>
      <w:spacing w:line="480" w:lineRule="auto"/>
      <w:ind w:left="187"/>
      <w:jc w:val="center"/>
      <w:outlineLvl w:val="0"/>
    </w:pPr>
    <w:rPr>
      <w:b/>
    </w:rPr>
  </w:style>
  <w:style w:type="paragraph" w:customStyle="1" w:styleId="FigCap">
    <w:name w:val="FigCap"/>
    <w:basedOn w:val="Caption"/>
    <w:rsid w:val="003003F8"/>
    <w:pPr>
      <w:spacing w:after="600"/>
      <w:ind w:left="187"/>
      <w:jc w:val="center"/>
    </w:pPr>
  </w:style>
  <w:style w:type="paragraph" w:customStyle="1" w:styleId="TableCap">
    <w:name w:val="TableCap"/>
    <w:basedOn w:val="Normal"/>
    <w:rsid w:val="003003F8"/>
    <w:pPr>
      <w:spacing w:line="480" w:lineRule="auto"/>
      <w:ind w:left="187" w:firstLine="720"/>
    </w:pPr>
    <w:rPr>
      <w:b/>
      <w:sz w:val="20"/>
    </w:rPr>
  </w:style>
  <w:style w:type="character" w:customStyle="1" w:styleId="ChapterNumChar">
    <w:name w:val="ChapterNum Char"/>
    <w:basedOn w:val="Heading1Char"/>
    <w:link w:val="ChapterNum"/>
    <w:rsid w:val="003003F8"/>
    <w:rPr>
      <w:b/>
      <w:sz w:val="24"/>
      <w:szCs w:val="24"/>
    </w:rPr>
  </w:style>
  <w:style w:type="paragraph" w:styleId="BalloonText">
    <w:name w:val="Balloon Text"/>
    <w:basedOn w:val="Normal"/>
    <w:link w:val="BalloonTextChar"/>
    <w:uiPriority w:val="99"/>
    <w:semiHidden/>
    <w:unhideWhenUsed/>
    <w:rsid w:val="003003F8"/>
    <w:rPr>
      <w:rFonts w:ascii="Tahoma" w:hAnsi="Tahoma" w:cs="Tahoma"/>
      <w:sz w:val="16"/>
      <w:szCs w:val="16"/>
    </w:rPr>
  </w:style>
  <w:style w:type="character" w:customStyle="1" w:styleId="BalloonTextChar">
    <w:name w:val="Balloon Text Char"/>
    <w:basedOn w:val="DefaultParagraphFont"/>
    <w:link w:val="BalloonText"/>
    <w:uiPriority w:val="99"/>
    <w:semiHidden/>
    <w:rsid w:val="003003F8"/>
    <w:rPr>
      <w:rFonts w:ascii="Tahoma" w:hAnsi="Tahoma" w:cs="Tahoma"/>
      <w:sz w:val="16"/>
      <w:szCs w:val="16"/>
    </w:rPr>
  </w:style>
  <w:style w:type="paragraph" w:styleId="NormalWeb">
    <w:name w:val="Normal (Web)"/>
    <w:basedOn w:val="Normal"/>
    <w:uiPriority w:val="99"/>
    <w:unhideWhenUsed/>
    <w:rsid w:val="003003F8"/>
    <w:pPr>
      <w:spacing w:before="100" w:beforeAutospacing="1" w:after="100" w:afterAutospacing="1"/>
    </w:pPr>
    <w:rPr>
      <w:rFonts w:eastAsiaTheme="minorEastAsia"/>
    </w:rPr>
  </w:style>
  <w:style w:type="character" w:styleId="Hyperlink">
    <w:name w:val="Hyperlink"/>
    <w:basedOn w:val="DefaultParagraphFont"/>
    <w:uiPriority w:val="99"/>
    <w:unhideWhenUsed/>
    <w:rsid w:val="003003F8"/>
    <w:rPr>
      <w:color w:val="0000FF" w:themeColor="hyperlink"/>
      <w:u w:val="single"/>
    </w:rPr>
  </w:style>
  <w:style w:type="character" w:styleId="LineNumber">
    <w:name w:val="line number"/>
    <w:basedOn w:val="DefaultParagraphFont"/>
    <w:uiPriority w:val="99"/>
    <w:semiHidden/>
    <w:unhideWhenUsed/>
    <w:rsid w:val="003003F8"/>
  </w:style>
  <w:style w:type="character" w:styleId="CommentReference">
    <w:name w:val="annotation reference"/>
    <w:basedOn w:val="DefaultParagraphFont"/>
    <w:uiPriority w:val="99"/>
    <w:semiHidden/>
    <w:unhideWhenUsed/>
    <w:rsid w:val="005A705B"/>
    <w:rPr>
      <w:sz w:val="16"/>
      <w:szCs w:val="16"/>
    </w:rPr>
  </w:style>
  <w:style w:type="paragraph" w:styleId="CommentText">
    <w:name w:val="annotation text"/>
    <w:basedOn w:val="Normal"/>
    <w:link w:val="CommentTextChar"/>
    <w:uiPriority w:val="99"/>
    <w:semiHidden/>
    <w:unhideWhenUsed/>
    <w:rsid w:val="005A705B"/>
    <w:rPr>
      <w:sz w:val="20"/>
      <w:szCs w:val="20"/>
    </w:rPr>
  </w:style>
  <w:style w:type="character" w:customStyle="1" w:styleId="CommentTextChar">
    <w:name w:val="Comment Text Char"/>
    <w:basedOn w:val="DefaultParagraphFont"/>
    <w:link w:val="CommentText"/>
    <w:uiPriority w:val="99"/>
    <w:semiHidden/>
    <w:rsid w:val="005A705B"/>
  </w:style>
  <w:style w:type="paragraph" w:styleId="CommentSubject">
    <w:name w:val="annotation subject"/>
    <w:basedOn w:val="CommentText"/>
    <w:next w:val="CommentText"/>
    <w:link w:val="CommentSubjectChar"/>
    <w:uiPriority w:val="99"/>
    <w:semiHidden/>
    <w:unhideWhenUsed/>
    <w:rsid w:val="005A705B"/>
    <w:rPr>
      <w:b/>
      <w:bCs/>
    </w:rPr>
  </w:style>
  <w:style w:type="character" w:customStyle="1" w:styleId="CommentSubjectChar">
    <w:name w:val="Comment Subject Char"/>
    <w:basedOn w:val="CommentTextChar"/>
    <w:link w:val="CommentSubject"/>
    <w:uiPriority w:val="99"/>
    <w:semiHidden/>
    <w:rsid w:val="005A705B"/>
    <w:rPr>
      <w:b/>
      <w:bCs/>
    </w:rPr>
  </w:style>
  <w:style w:type="paragraph" w:styleId="Revision">
    <w:name w:val="Revision"/>
    <w:hidden/>
    <w:uiPriority w:val="99"/>
    <w:semiHidden/>
    <w:rsid w:val="00257E03"/>
    <w:rPr>
      <w:sz w:val="24"/>
      <w:szCs w:val="24"/>
    </w:rPr>
  </w:style>
  <w:style w:type="paragraph" w:styleId="Header">
    <w:name w:val="header"/>
    <w:basedOn w:val="Normal"/>
    <w:link w:val="HeaderChar"/>
    <w:uiPriority w:val="99"/>
    <w:unhideWhenUsed/>
    <w:rsid w:val="008905AD"/>
    <w:pPr>
      <w:tabs>
        <w:tab w:val="center" w:pos="4680"/>
        <w:tab w:val="right" w:pos="9360"/>
      </w:tabs>
    </w:pPr>
  </w:style>
  <w:style w:type="character" w:customStyle="1" w:styleId="HeaderChar">
    <w:name w:val="Header Char"/>
    <w:basedOn w:val="DefaultParagraphFont"/>
    <w:link w:val="Header"/>
    <w:uiPriority w:val="99"/>
    <w:rsid w:val="008905AD"/>
    <w:rPr>
      <w:sz w:val="24"/>
      <w:szCs w:val="24"/>
    </w:rPr>
  </w:style>
  <w:style w:type="paragraph" w:styleId="Footer">
    <w:name w:val="footer"/>
    <w:basedOn w:val="Normal"/>
    <w:link w:val="FooterChar"/>
    <w:uiPriority w:val="99"/>
    <w:unhideWhenUsed/>
    <w:rsid w:val="008905AD"/>
    <w:pPr>
      <w:tabs>
        <w:tab w:val="center" w:pos="4680"/>
        <w:tab w:val="right" w:pos="9360"/>
      </w:tabs>
    </w:pPr>
  </w:style>
  <w:style w:type="character" w:customStyle="1" w:styleId="FooterChar">
    <w:name w:val="Footer Char"/>
    <w:basedOn w:val="DefaultParagraphFont"/>
    <w:link w:val="Footer"/>
    <w:uiPriority w:val="99"/>
    <w:rsid w:val="008905AD"/>
    <w:rPr>
      <w:sz w:val="24"/>
      <w:szCs w:val="24"/>
    </w:rPr>
  </w:style>
  <w:style w:type="character" w:styleId="PlaceholderText">
    <w:name w:val="Placeholder Text"/>
    <w:basedOn w:val="DefaultParagraphFont"/>
    <w:uiPriority w:val="99"/>
    <w:semiHidden/>
    <w:rsid w:val="00AF2B4E"/>
    <w:rPr>
      <w:color w:val="808080"/>
    </w:rPr>
  </w:style>
  <w:style w:type="paragraph" w:styleId="HTMLPreformatted">
    <w:name w:val="HTML Preformatted"/>
    <w:basedOn w:val="Normal"/>
    <w:link w:val="HTMLPreformattedChar"/>
    <w:uiPriority w:val="99"/>
    <w:semiHidden/>
    <w:unhideWhenUsed/>
    <w:rsid w:val="00A16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169BC"/>
    <w:rPr>
      <w:rFonts w:ascii="Courier New" w:hAnsi="Courier New" w:cs="Courier New"/>
    </w:rPr>
  </w:style>
  <w:style w:type="character" w:customStyle="1" w:styleId="apple-converted-space">
    <w:name w:val="apple-converted-space"/>
    <w:basedOn w:val="DefaultParagraphFont"/>
    <w:rsid w:val="006D6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11490">
      <w:bodyDiv w:val="1"/>
      <w:marLeft w:val="0"/>
      <w:marRight w:val="0"/>
      <w:marTop w:val="0"/>
      <w:marBottom w:val="0"/>
      <w:divBdr>
        <w:top w:val="none" w:sz="0" w:space="0" w:color="auto"/>
        <w:left w:val="none" w:sz="0" w:space="0" w:color="auto"/>
        <w:bottom w:val="none" w:sz="0" w:space="0" w:color="auto"/>
        <w:right w:val="none" w:sz="0" w:space="0" w:color="auto"/>
      </w:divBdr>
      <w:divsChild>
        <w:div w:id="163983098">
          <w:marLeft w:val="0"/>
          <w:marRight w:val="0"/>
          <w:marTop w:val="0"/>
          <w:marBottom w:val="0"/>
          <w:divBdr>
            <w:top w:val="none" w:sz="0" w:space="0" w:color="auto"/>
            <w:left w:val="none" w:sz="0" w:space="0" w:color="auto"/>
            <w:bottom w:val="none" w:sz="0" w:space="0" w:color="auto"/>
            <w:right w:val="none" w:sz="0" w:space="0" w:color="auto"/>
          </w:divBdr>
          <w:divsChild>
            <w:div w:id="1578973461">
              <w:marLeft w:val="0"/>
              <w:marRight w:val="0"/>
              <w:marTop w:val="0"/>
              <w:marBottom w:val="0"/>
              <w:divBdr>
                <w:top w:val="none" w:sz="0" w:space="0" w:color="auto"/>
                <w:left w:val="none" w:sz="0" w:space="0" w:color="auto"/>
                <w:bottom w:val="none" w:sz="0" w:space="0" w:color="auto"/>
                <w:right w:val="none" w:sz="0" w:space="0" w:color="auto"/>
              </w:divBdr>
              <w:divsChild>
                <w:div w:id="1826512758">
                  <w:marLeft w:val="0"/>
                  <w:marRight w:val="0"/>
                  <w:marTop w:val="0"/>
                  <w:marBottom w:val="0"/>
                  <w:divBdr>
                    <w:top w:val="none" w:sz="0" w:space="0" w:color="auto"/>
                    <w:left w:val="none" w:sz="0" w:space="0" w:color="auto"/>
                    <w:bottom w:val="none" w:sz="0" w:space="0" w:color="auto"/>
                    <w:right w:val="none" w:sz="0" w:space="0" w:color="auto"/>
                  </w:divBdr>
                  <w:divsChild>
                    <w:div w:id="2022734073">
                      <w:marLeft w:val="0"/>
                      <w:marRight w:val="0"/>
                      <w:marTop w:val="0"/>
                      <w:marBottom w:val="0"/>
                      <w:divBdr>
                        <w:top w:val="none" w:sz="0" w:space="0" w:color="auto"/>
                        <w:left w:val="none" w:sz="0" w:space="0" w:color="auto"/>
                        <w:bottom w:val="none" w:sz="0" w:space="0" w:color="auto"/>
                        <w:right w:val="none" w:sz="0" w:space="0" w:color="auto"/>
                      </w:divBdr>
                      <w:divsChild>
                        <w:div w:id="610741511">
                          <w:marLeft w:val="0"/>
                          <w:marRight w:val="0"/>
                          <w:marTop w:val="0"/>
                          <w:marBottom w:val="0"/>
                          <w:divBdr>
                            <w:top w:val="none" w:sz="0" w:space="0" w:color="auto"/>
                            <w:left w:val="none" w:sz="0" w:space="0" w:color="auto"/>
                            <w:bottom w:val="none" w:sz="0" w:space="0" w:color="auto"/>
                            <w:right w:val="none" w:sz="0" w:space="0" w:color="auto"/>
                          </w:divBdr>
                          <w:divsChild>
                            <w:div w:id="2046517270">
                              <w:marLeft w:val="0"/>
                              <w:marRight w:val="0"/>
                              <w:marTop w:val="0"/>
                              <w:marBottom w:val="0"/>
                              <w:divBdr>
                                <w:top w:val="none" w:sz="0" w:space="0" w:color="auto"/>
                                <w:left w:val="none" w:sz="0" w:space="0" w:color="auto"/>
                                <w:bottom w:val="none" w:sz="0" w:space="0" w:color="auto"/>
                                <w:right w:val="none" w:sz="0" w:space="0" w:color="auto"/>
                              </w:divBdr>
                              <w:divsChild>
                                <w:div w:id="2072263643">
                                  <w:marLeft w:val="0"/>
                                  <w:marRight w:val="0"/>
                                  <w:marTop w:val="0"/>
                                  <w:marBottom w:val="0"/>
                                  <w:divBdr>
                                    <w:top w:val="none" w:sz="0" w:space="0" w:color="auto"/>
                                    <w:left w:val="none" w:sz="0" w:space="0" w:color="auto"/>
                                    <w:bottom w:val="none" w:sz="0" w:space="0" w:color="auto"/>
                                    <w:right w:val="none" w:sz="0" w:space="0" w:color="auto"/>
                                  </w:divBdr>
                                  <w:divsChild>
                                    <w:div w:id="1900676471">
                                      <w:marLeft w:val="0"/>
                                      <w:marRight w:val="0"/>
                                      <w:marTop w:val="0"/>
                                      <w:marBottom w:val="0"/>
                                      <w:divBdr>
                                        <w:top w:val="none" w:sz="0" w:space="0" w:color="auto"/>
                                        <w:left w:val="none" w:sz="0" w:space="0" w:color="auto"/>
                                        <w:bottom w:val="none" w:sz="0" w:space="0" w:color="auto"/>
                                        <w:right w:val="none" w:sz="0" w:space="0" w:color="auto"/>
                                      </w:divBdr>
                                      <w:divsChild>
                                        <w:div w:id="1861582285">
                                          <w:marLeft w:val="0"/>
                                          <w:marRight w:val="0"/>
                                          <w:marTop w:val="0"/>
                                          <w:marBottom w:val="0"/>
                                          <w:divBdr>
                                            <w:top w:val="none" w:sz="0" w:space="0" w:color="auto"/>
                                            <w:left w:val="none" w:sz="0" w:space="0" w:color="auto"/>
                                            <w:bottom w:val="none" w:sz="0" w:space="0" w:color="auto"/>
                                            <w:right w:val="none" w:sz="0" w:space="0" w:color="auto"/>
                                          </w:divBdr>
                                          <w:divsChild>
                                            <w:div w:id="1620062661">
                                              <w:marLeft w:val="0"/>
                                              <w:marRight w:val="0"/>
                                              <w:marTop w:val="0"/>
                                              <w:marBottom w:val="0"/>
                                              <w:divBdr>
                                                <w:top w:val="none" w:sz="0" w:space="0" w:color="auto"/>
                                                <w:left w:val="none" w:sz="0" w:space="0" w:color="auto"/>
                                                <w:bottom w:val="none" w:sz="0" w:space="0" w:color="auto"/>
                                                <w:right w:val="none" w:sz="0" w:space="0" w:color="auto"/>
                                              </w:divBdr>
                                              <w:divsChild>
                                                <w:div w:id="538051006">
                                                  <w:marLeft w:val="0"/>
                                                  <w:marRight w:val="0"/>
                                                  <w:marTop w:val="0"/>
                                                  <w:marBottom w:val="0"/>
                                                  <w:divBdr>
                                                    <w:top w:val="none" w:sz="0" w:space="0" w:color="auto"/>
                                                    <w:left w:val="none" w:sz="0" w:space="0" w:color="auto"/>
                                                    <w:bottom w:val="none" w:sz="0" w:space="0" w:color="auto"/>
                                                    <w:right w:val="none" w:sz="0" w:space="0" w:color="auto"/>
                                                  </w:divBdr>
                                                  <w:divsChild>
                                                    <w:div w:id="267083780">
                                                      <w:marLeft w:val="0"/>
                                                      <w:marRight w:val="0"/>
                                                      <w:marTop w:val="0"/>
                                                      <w:marBottom w:val="0"/>
                                                      <w:divBdr>
                                                        <w:top w:val="none" w:sz="0" w:space="0" w:color="auto"/>
                                                        <w:left w:val="none" w:sz="0" w:space="0" w:color="auto"/>
                                                        <w:bottom w:val="none" w:sz="0" w:space="0" w:color="auto"/>
                                                        <w:right w:val="none" w:sz="0" w:space="0" w:color="auto"/>
                                                      </w:divBdr>
                                                      <w:divsChild>
                                                        <w:div w:id="810175739">
                                                          <w:marLeft w:val="0"/>
                                                          <w:marRight w:val="0"/>
                                                          <w:marTop w:val="0"/>
                                                          <w:marBottom w:val="0"/>
                                                          <w:divBdr>
                                                            <w:top w:val="none" w:sz="0" w:space="0" w:color="auto"/>
                                                            <w:left w:val="none" w:sz="0" w:space="0" w:color="auto"/>
                                                            <w:bottom w:val="none" w:sz="0" w:space="0" w:color="auto"/>
                                                            <w:right w:val="none" w:sz="0" w:space="0" w:color="auto"/>
                                                          </w:divBdr>
                                                          <w:divsChild>
                                                            <w:div w:id="1979147619">
                                                              <w:marLeft w:val="0"/>
                                                              <w:marRight w:val="0"/>
                                                              <w:marTop w:val="0"/>
                                                              <w:marBottom w:val="0"/>
                                                              <w:divBdr>
                                                                <w:top w:val="none" w:sz="0" w:space="0" w:color="auto"/>
                                                                <w:left w:val="none" w:sz="0" w:space="0" w:color="auto"/>
                                                                <w:bottom w:val="none" w:sz="0" w:space="0" w:color="auto"/>
                                                                <w:right w:val="none" w:sz="0" w:space="0" w:color="auto"/>
                                                              </w:divBdr>
                                                              <w:divsChild>
                                                                <w:div w:id="1647858276">
                                                                  <w:marLeft w:val="0"/>
                                                                  <w:marRight w:val="0"/>
                                                                  <w:marTop w:val="0"/>
                                                                  <w:marBottom w:val="0"/>
                                                                  <w:divBdr>
                                                                    <w:top w:val="none" w:sz="0" w:space="0" w:color="auto"/>
                                                                    <w:left w:val="none" w:sz="0" w:space="0" w:color="auto"/>
                                                                    <w:bottom w:val="none" w:sz="0" w:space="0" w:color="auto"/>
                                                                    <w:right w:val="none" w:sz="0" w:space="0" w:color="auto"/>
                                                                  </w:divBdr>
                                                                  <w:divsChild>
                                                                    <w:div w:id="1002318242">
                                                                      <w:marLeft w:val="0"/>
                                                                      <w:marRight w:val="0"/>
                                                                      <w:marTop w:val="0"/>
                                                                      <w:marBottom w:val="0"/>
                                                                      <w:divBdr>
                                                                        <w:top w:val="none" w:sz="0" w:space="0" w:color="auto"/>
                                                                        <w:left w:val="none" w:sz="0" w:space="0" w:color="auto"/>
                                                                        <w:bottom w:val="none" w:sz="0" w:space="0" w:color="auto"/>
                                                                        <w:right w:val="none" w:sz="0" w:space="0" w:color="auto"/>
                                                                      </w:divBdr>
                                                                      <w:divsChild>
                                                                        <w:div w:id="1080251135">
                                                                          <w:marLeft w:val="0"/>
                                                                          <w:marRight w:val="0"/>
                                                                          <w:marTop w:val="0"/>
                                                                          <w:marBottom w:val="0"/>
                                                                          <w:divBdr>
                                                                            <w:top w:val="none" w:sz="0" w:space="0" w:color="auto"/>
                                                                            <w:left w:val="none" w:sz="0" w:space="0" w:color="auto"/>
                                                                            <w:bottom w:val="none" w:sz="0" w:space="0" w:color="auto"/>
                                                                            <w:right w:val="none" w:sz="0" w:space="0" w:color="auto"/>
                                                                          </w:divBdr>
                                                                          <w:divsChild>
                                                                            <w:div w:id="1272324193">
                                                                              <w:marLeft w:val="0"/>
                                                                              <w:marRight w:val="0"/>
                                                                              <w:marTop w:val="0"/>
                                                                              <w:marBottom w:val="0"/>
                                                                              <w:divBdr>
                                                                                <w:top w:val="none" w:sz="0" w:space="0" w:color="auto"/>
                                                                                <w:left w:val="none" w:sz="0" w:space="0" w:color="auto"/>
                                                                                <w:bottom w:val="none" w:sz="0" w:space="0" w:color="auto"/>
                                                                                <w:right w:val="none" w:sz="0" w:space="0" w:color="auto"/>
                                                                              </w:divBdr>
                                                                              <w:divsChild>
                                                                                <w:div w:id="10088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8036186">
      <w:bodyDiv w:val="1"/>
      <w:marLeft w:val="0"/>
      <w:marRight w:val="0"/>
      <w:marTop w:val="0"/>
      <w:marBottom w:val="0"/>
      <w:divBdr>
        <w:top w:val="none" w:sz="0" w:space="0" w:color="auto"/>
        <w:left w:val="none" w:sz="0" w:space="0" w:color="auto"/>
        <w:bottom w:val="none" w:sz="0" w:space="0" w:color="auto"/>
        <w:right w:val="none" w:sz="0" w:space="0" w:color="auto"/>
      </w:divBdr>
    </w:div>
    <w:div w:id="516119418">
      <w:bodyDiv w:val="1"/>
      <w:marLeft w:val="0"/>
      <w:marRight w:val="0"/>
      <w:marTop w:val="0"/>
      <w:marBottom w:val="0"/>
      <w:divBdr>
        <w:top w:val="none" w:sz="0" w:space="0" w:color="auto"/>
        <w:left w:val="none" w:sz="0" w:space="0" w:color="auto"/>
        <w:bottom w:val="none" w:sz="0" w:space="0" w:color="auto"/>
        <w:right w:val="none" w:sz="0" w:space="0" w:color="auto"/>
      </w:divBdr>
    </w:div>
    <w:div w:id="67562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stockwell@uvm.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eter.eucli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83D57-52AC-419D-86D0-DA1FC15C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13253</Words>
  <Characters>75547</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Toshiba-User</cp:lastModifiedBy>
  <cp:revision>3</cp:revision>
  <cp:lastPrinted>2015-03-04T11:48:00Z</cp:lastPrinted>
  <dcterms:created xsi:type="dcterms:W3CDTF">2015-04-03T14:33:00Z</dcterms:created>
  <dcterms:modified xsi:type="dcterms:W3CDTF">2015-04-03T14:55:00Z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peuclide@kent.edu@www.mendeley.com</vt:lpwstr>
  </property>
  <property fmtid="{D5CDD505-2E9C-101B-9397-08002B2CF9AE}" pid="4" name="Mendeley Citation Style_1">
    <vt:lpwstr>http://www.zotero.org/styles/journal-of-great-lakes-research</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http://www.zotero.org/styles/freshwater-biology</vt:lpwstr>
  </property>
  <property fmtid="{D5CDD505-2E9C-101B-9397-08002B2CF9AE}" pid="12" name="Mendeley Recent Style Name 3_1">
    <vt:lpwstr>Freshwater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http://www.zotero.org/styles/journal-of-great-lakes-research</vt:lpwstr>
  </property>
  <property fmtid="{D5CDD505-2E9C-101B-9397-08002B2CF9AE}" pid="18" name="Mendeley Recent Style Name 6_1">
    <vt:lpwstr>Journal of Great Lakes Research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